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77" w:rsidRDefault="001F1477" w:rsidP="00307E94">
      <w:pPr>
        <w:pStyle w:val="1"/>
        <w:keepNext w:val="0"/>
        <w:keepLines w:val="0"/>
      </w:pPr>
      <w:bookmarkStart w:id="0" w:name="_GoBack"/>
      <w:bookmarkEnd w:id="0"/>
      <w:r>
        <w:rPr>
          <w:rtl/>
        </w:rPr>
        <w:t>טיוטת צו</w:t>
      </w:r>
    </w:p>
    <w:p w:rsidR="001F1477" w:rsidRDefault="001F1477" w:rsidP="00307E94">
      <w:pPr>
        <w:rPr>
          <w:rtl/>
        </w:rPr>
      </w:pPr>
    </w:p>
    <w:p w:rsidR="001F1477" w:rsidRDefault="001F1477" w:rsidP="00F24A78">
      <w:pPr>
        <w:pStyle w:val="4"/>
        <w:rPr>
          <w:rtl/>
        </w:rPr>
      </w:pPr>
      <w:r>
        <w:rPr>
          <w:rFonts w:hint="cs"/>
          <w:rtl/>
        </w:rPr>
        <w:t>שם הצו המוצע</w:t>
      </w:r>
    </w:p>
    <w:p w:rsidR="001F1477" w:rsidRDefault="001F1477" w:rsidP="00307E94">
      <w:r>
        <w:rPr>
          <w:rFonts w:hint="cs"/>
          <w:rtl/>
        </w:rPr>
        <w:t>צו היבוא והיצוא (פיקוח על ייצוא בתחום הכימי, הביולוגי והגרעיני) (תיקון), תשפ"ב - 2022</w:t>
      </w:r>
    </w:p>
    <w:p w:rsidR="001F1477" w:rsidRDefault="001F1477" w:rsidP="00307E94">
      <w:pPr>
        <w:rPr>
          <w:rtl/>
        </w:rPr>
      </w:pPr>
    </w:p>
    <w:p w:rsidR="001F1477" w:rsidRDefault="001F1477" w:rsidP="00307E94">
      <w:pPr>
        <w:rPr>
          <w:rtl/>
        </w:rPr>
      </w:pPr>
    </w:p>
    <w:p w:rsidR="001F1477" w:rsidRDefault="001F1477" w:rsidP="001F1477">
      <w:pPr>
        <w:pStyle w:val="4"/>
        <w:rPr>
          <w:rtl/>
        </w:rPr>
      </w:pPr>
      <w:r>
        <w:rPr>
          <w:rFonts w:hint="cs"/>
          <w:rtl/>
        </w:rPr>
        <w:t xml:space="preserve">מטרת הצו המוצע והצורך בו </w:t>
      </w:r>
    </w:p>
    <w:p w:rsidR="001F1477" w:rsidRDefault="001F1477" w:rsidP="00307E94">
      <w:pPr>
        <w:rPr>
          <w:rtl/>
        </w:rPr>
      </w:pPr>
      <w:r>
        <w:rPr>
          <w:rFonts w:hint="cs"/>
          <w:rtl/>
        </w:rPr>
        <w:t xml:space="preserve">כיום צו היבוא והיצוא (פיקוח על ייצוא בתחום הכימי, הביולוגי והגרעיני), תשס"ד </w:t>
      </w:r>
      <w:r>
        <w:rPr>
          <w:rtl/>
        </w:rPr>
        <w:t>–</w:t>
      </w:r>
      <w:r>
        <w:rPr>
          <w:rFonts w:hint="cs"/>
          <w:rtl/>
        </w:rPr>
        <w:t xml:space="preserve"> 2004 </w:t>
      </w:r>
      <w:r w:rsidR="00504FA2">
        <w:rPr>
          <w:rFonts w:hint="cs"/>
          <w:rtl/>
        </w:rPr>
        <w:t xml:space="preserve">קובע כי </w:t>
      </w:r>
      <w:proofErr w:type="spellStart"/>
      <w:r w:rsidR="00504FA2">
        <w:rPr>
          <w:rFonts w:hint="cs"/>
          <w:rtl/>
        </w:rPr>
        <w:t>רשיונות</w:t>
      </w:r>
      <w:proofErr w:type="spellEnd"/>
      <w:r w:rsidR="00504FA2">
        <w:rPr>
          <w:rFonts w:hint="cs"/>
          <w:rtl/>
        </w:rPr>
        <w:t xml:space="preserve"> מכוחו </w:t>
      </w:r>
      <w:proofErr w:type="spellStart"/>
      <w:r w:rsidR="00504FA2">
        <w:rPr>
          <w:rFonts w:hint="cs"/>
          <w:rtl/>
        </w:rPr>
        <w:t>ינתנו</w:t>
      </w:r>
      <w:proofErr w:type="spellEnd"/>
      <w:r>
        <w:rPr>
          <w:rFonts w:hint="cs"/>
          <w:rtl/>
        </w:rPr>
        <w:t xml:space="preserve"> רק על ידי מנהל מינהל סחר חוץ במשרד, מנהל אגף הפיקוח על היצוא הדו-שימושי במשרד או עובד אחר </w:t>
      </w:r>
      <w:proofErr w:type="spellStart"/>
      <w:r>
        <w:rPr>
          <w:rFonts w:hint="cs"/>
          <w:rtl/>
        </w:rPr>
        <w:t>במינהל</w:t>
      </w:r>
      <w:proofErr w:type="spellEnd"/>
      <w:r>
        <w:rPr>
          <w:rFonts w:hint="cs"/>
          <w:rtl/>
        </w:rPr>
        <w:t xml:space="preserve"> סחר חוץ שהמנהל הכללי של המשרד הסמיכו לעניין צו זה. בעקבות שינוי ארגוני במשרד הכלכלה והתעשייה, במסגרתו הועבר אגף הפיקוח על היצוא הדו שימושי ממנהל סחר חוץ למנהל הפיקוח על היהלומים והיצוא הדו שימושי, מוצע לתקן את ההגדרה ל"רשות" בסעיף 1 לצו, כך </w:t>
      </w:r>
      <w:proofErr w:type="spellStart"/>
      <w:r>
        <w:rPr>
          <w:rFonts w:hint="cs"/>
          <w:rtl/>
        </w:rPr>
        <w:t>שרשיונות</w:t>
      </w:r>
      <w:proofErr w:type="spellEnd"/>
      <w:r>
        <w:rPr>
          <w:rFonts w:hint="cs"/>
          <w:rtl/>
        </w:rPr>
        <w:t xml:space="preserve"> </w:t>
      </w:r>
      <w:proofErr w:type="spellStart"/>
      <w:r>
        <w:rPr>
          <w:rFonts w:hint="cs"/>
          <w:rtl/>
        </w:rPr>
        <w:t>ינתנו</w:t>
      </w:r>
      <w:proofErr w:type="spellEnd"/>
      <w:r>
        <w:rPr>
          <w:rFonts w:hint="cs"/>
          <w:rtl/>
        </w:rPr>
        <w:t xml:space="preserve"> על ידי </w:t>
      </w:r>
      <w:r w:rsidR="00544A58">
        <w:rPr>
          <w:rFonts w:hint="cs"/>
          <w:rtl/>
        </w:rPr>
        <w:t xml:space="preserve">מנהל אגף הפיקוח על היצוא הדו- שימושי או עובד אחר במשרד הכלכלה והתעשייה שהמנהל הכללי של המשרד הסמיכו לעניין צו זה. </w:t>
      </w:r>
    </w:p>
    <w:p w:rsidR="001F1477" w:rsidRDefault="001F1477" w:rsidP="00307E94">
      <w:pPr>
        <w:rPr>
          <w:rtl/>
        </w:rPr>
      </w:pPr>
    </w:p>
    <w:p w:rsidR="001F1477" w:rsidRDefault="001F1477" w:rsidP="00307E94">
      <w:pPr>
        <w:rPr>
          <w:rtl/>
        </w:rPr>
      </w:pPr>
    </w:p>
    <w:p w:rsidR="001F1477" w:rsidRDefault="001F1477" w:rsidP="00F24A78">
      <w:pPr>
        <w:pStyle w:val="4"/>
        <w:rPr>
          <w:rtl/>
        </w:rPr>
      </w:pPr>
      <w:r>
        <w:rPr>
          <w:rFonts w:hint="cs"/>
          <w:rtl/>
        </w:rPr>
        <w:t xml:space="preserve">להלן נוסח טיוטת הצו המוצע: </w:t>
      </w:r>
    </w:p>
    <w:p w:rsidR="001F1477" w:rsidRDefault="001F1477" w:rsidP="00307E94">
      <w:pPr>
        <w:bidi w:val="0"/>
        <w:rPr>
          <w:rtl/>
        </w:rPr>
      </w:pPr>
      <w:r>
        <w:rPr>
          <w:rtl/>
        </w:rPr>
        <w:br w:type="page"/>
      </w:r>
    </w:p>
    <w:p w:rsidR="001F1477" w:rsidRDefault="00544A58" w:rsidP="00544A58">
      <w:pPr>
        <w:pStyle w:val="HeadMitparsemetBaze"/>
        <w:keepNext w:val="0"/>
        <w:keepLines w:val="0"/>
        <w:pageBreakBefore w:val="0"/>
        <w:rPr>
          <w:rtl/>
        </w:rPr>
      </w:pPr>
      <w:r>
        <w:rPr>
          <w:rtl/>
        </w:rPr>
        <w:lastRenderedPageBreak/>
        <w:t>טיוטת צו מטעם משרד</w:t>
      </w:r>
      <w:r>
        <w:rPr>
          <w:rFonts w:hint="cs"/>
          <w:rtl/>
        </w:rPr>
        <w:t xml:space="preserve"> הכלכלה והתעשייה</w:t>
      </w:r>
      <w:r w:rsidR="001F1477">
        <w:rPr>
          <w:rtl/>
        </w:rPr>
        <w:t xml:space="preserve">: </w:t>
      </w:r>
    </w:p>
    <w:p w:rsidR="00544A58" w:rsidRPr="00544A58" w:rsidRDefault="00544A58" w:rsidP="00544A58">
      <w:pPr>
        <w:jc w:val="center"/>
        <w:rPr>
          <w:b/>
          <w:bCs/>
        </w:rPr>
      </w:pPr>
      <w:r>
        <w:rPr>
          <w:b/>
          <w:bCs/>
          <w:rtl/>
        </w:rPr>
        <w:t>טיוטת צ</w:t>
      </w:r>
      <w:r>
        <w:rPr>
          <w:rFonts w:hint="cs"/>
          <w:b/>
          <w:bCs/>
          <w:rtl/>
        </w:rPr>
        <w:t xml:space="preserve">ו </w:t>
      </w:r>
      <w:r w:rsidRPr="00544A58">
        <w:rPr>
          <w:rFonts w:hint="cs"/>
          <w:b/>
          <w:bCs/>
          <w:rtl/>
        </w:rPr>
        <w:t>היבוא והיצוא (פיקוח על ייצוא בתחום הכימי, הביולוגי והגרעיני) (תיקון), תשפ"ב - 2022</w:t>
      </w:r>
    </w:p>
    <w:p w:rsidR="001F1477" w:rsidRPr="00544A58" w:rsidRDefault="001F1477" w:rsidP="00544A58">
      <w:pPr>
        <w:pStyle w:val="HeadHatzaotHok"/>
        <w:keepNext w:val="0"/>
        <w:keepLines w:val="0"/>
        <w:jc w:val="both"/>
        <w:rPr>
          <w:rtl/>
        </w:rPr>
      </w:pPr>
    </w:p>
    <w:tbl>
      <w:tblPr>
        <w:bidiVisual/>
        <w:tblW w:w="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1F1477" w:rsidTr="00307E94">
        <w:trPr>
          <w:cantSplit/>
          <w:trHeight w:val="60"/>
        </w:trPr>
        <w:tc>
          <w:tcPr>
            <w:tcW w:w="1871" w:type="dxa"/>
          </w:tcPr>
          <w:p w:rsidR="001F1477" w:rsidRDefault="001F1477">
            <w:pPr>
              <w:pStyle w:val="TableSideHeading"/>
              <w:rPr>
                <w:rtl/>
              </w:rPr>
            </w:pPr>
          </w:p>
        </w:tc>
        <w:tc>
          <w:tcPr>
            <w:tcW w:w="624" w:type="dxa"/>
          </w:tcPr>
          <w:p w:rsidR="001F1477" w:rsidRDefault="001F1477">
            <w:pPr>
              <w:pStyle w:val="TableText"/>
            </w:pPr>
          </w:p>
        </w:tc>
        <w:tc>
          <w:tcPr>
            <w:tcW w:w="7146" w:type="dxa"/>
            <w:hideMark/>
          </w:tcPr>
          <w:p w:rsidR="001F1477" w:rsidRPr="00544A58" w:rsidRDefault="00544A58">
            <w:pPr>
              <w:pStyle w:val="TableBlock"/>
              <w:rPr>
                <w:rFonts w:ascii="David" w:hAnsi="David"/>
                <w:sz w:val="26"/>
              </w:rPr>
            </w:pPr>
            <w:r w:rsidRPr="00544A58">
              <w:rPr>
                <w:rFonts w:ascii="David" w:hAnsi="David"/>
                <w:color w:val="000000"/>
                <w:sz w:val="26"/>
                <w:shd w:val="clear" w:color="auto" w:fill="FFFFFF"/>
                <w:rtl/>
              </w:rPr>
              <w:t>בתוקף סמכותי לפי סעיף 2 לפקודת היבוא והיצוא [נוסח משולב], התשל"ט-1979 (להלן – הפקודה), ובאישור ועדת הכלכלה של הכנסת לפי סעיף 21א לחוק-יסוד: הכנסת, וסעיף 2(ב) לחוק העונשין, התשל"ז-1977, אני מצווה לאמור:</w:t>
            </w:r>
          </w:p>
        </w:tc>
      </w:tr>
      <w:tr w:rsidR="001F1477" w:rsidTr="00307E94">
        <w:trPr>
          <w:cantSplit/>
          <w:trHeight w:val="60"/>
        </w:trPr>
        <w:tc>
          <w:tcPr>
            <w:tcW w:w="1871" w:type="dxa"/>
          </w:tcPr>
          <w:p w:rsidR="001F1477" w:rsidRDefault="001F1477">
            <w:pPr>
              <w:pStyle w:val="TableSideHeading"/>
            </w:pPr>
          </w:p>
        </w:tc>
        <w:tc>
          <w:tcPr>
            <w:tcW w:w="624" w:type="dxa"/>
          </w:tcPr>
          <w:p w:rsidR="001F1477" w:rsidRDefault="001F1477">
            <w:pPr>
              <w:pStyle w:val="TableText"/>
            </w:pPr>
          </w:p>
        </w:tc>
        <w:tc>
          <w:tcPr>
            <w:tcW w:w="7146" w:type="dxa"/>
          </w:tcPr>
          <w:p w:rsidR="001F1477" w:rsidRDefault="001F1477">
            <w:pPr>
              <w:pStyle w:val="TableHead"/>
            </w:pPr>
          </w:p>
        </w:tc>
      </w:tr>
      <w:tr w:rsidR="001F1477" w:rsidTr="00307E94">
        <w:trPr>
          <w:cantSplit/>
          <w:trHeight w:val="60"/>
        </w:trPr>
        <w:tc>
          <w:tcPr>
            <w:tcW w:w="1871" w:type="dxa"/>
          </w:tcPr>
          <w:p w:rsidR="001F1477" w:rsidRDefault="00544A58">
            <w:pPr>
              <w:pStyle w:val="TableSideHeading"/>
            </w:pPr>
            <w:r>
              <w:rPr>
                <w:rFonts w:hint="cs"/>
                <w:rtl/>
              </w:rPr>
              <w:t>תיקון סעיף 1</w:t>
            </w:r>
          </w:p>
        </w:tc>
        <w:tc>
          <w:tcPr>
            <w:tcW w:w="624" w:type="dxa"/>
          </w:tcPr>
          <w:p w:rsidR="001F1477" w:rsidRDefault="001F1477" w:rsidP="001F1477">
            <w:pPr>
              <w:pStyle w:val="TableText"/>
              <w:numPr>
                <w:ilvl w:val="0"/>
                <w:numId w:val="2"/>
              </w:numPr>
            </w:pPr>
          </w:p>
        </w:tc>
        <w:tc>
          <w:tcPr>
            <w:tcW w:w="7146" w:type="dxa"/>
          </w:tcPr>
          <w:p w:rsidR="001F1477" w:rsidRDefault="00544A58" w:rsidP="001E74E3">
            <w:pPr>
              <w:pStyle w:val="TableBlock"/>
            </w:pPr>
            <w:r>
              <w:rPr>
                <w:rFonts w:hint="cs"/>
                <w:rtl/>
              </w:rPr>
              <w:t xml:space="preserve">בצו היבוא והיצוא (פיקוח על ייצוא בתחום הכימי, הביולוגי והגרעיני), תשס"ד </w:t>
            </w:r>
            <w:r>
              <w:rPr>
                <w:rtl/>
              </w:rPr>
              <w:t>–</w:t>
            </w:r>
            <w:r>
              <w:rPr>
                <w:rFonts w:hint="cs"/>
                <w:rtl/>
              </w:rPr>
              <w:t xml:space="preserve"> </w:t>
            </w:r>
            <w:r w:rsidR="001E74E3">
              <w:rPr>
                <w:rStyle w:val="a7"/>
                <w:rtl/>
              </w:rPr>
              <w:footnoteReference w:id="1"/>
            </w:r>
            <w:r>
              <w:rPr>
                <w:rFonts w:hint="cs"/>
                <w:rtl/>
              </w:rPr>
              <w:t xml:space="preserve">2004, בסעיף 1, </w:t>
            </w:r>
            <w:r w:rsidR="001E74E3">
              <w:rPr>
                <w:rFonts w:hint="cs"/>
                <w:rtl/>
              </w:rPr>
              <w:t>במקום ההגדרה "הרשות"</w:t>
            </w:r>
            <w:r>
              <w:rPr>
                <w:rFonts w:hint="cs"/>
                <w:rtl/>
              </w:rPr>
              <w:t xml:space="preserve"> יבוא:</w:t>
            </w:r>
          </w:p>
        </w:tc>
      </w:tr>
      <w:tr w:rsidR="00544A58" w:rsidTr="00307E94">
        <w:trPr>
          <w:cantSplit/>
          <w:trHeight w:val="60"/>
        </w:trPr>
        <w:tc>
          <w:tcPr>
            <w:tcW w:w="1871" w:type="dxa"/>
          </w:tcPr>
          <w:p w:rsidR="00544A58" w:rsidRDefault="00544A58">
            <w:pPr>
              <w:pStyle w:val="TableSideHeading"/>
              <w:rPr>
                <w:rtl/>
              </w:rPr>
            </w:pPr>
          </w:p>
        </w:tc>
        <w:tc>
          <w:tcPr>
            <w:tcW w:w="624" w:type="dxa"/>
          </w:tcPr>
          <w:p w:rsidR="00544A58" w:rsidRDefault="00544A58" w:rsidP="00544A58">
            <w:pPr>
              <w:pStyle w:val="TableText"/>
            </w:pPr>
          </w:p>
        </w:tc>
        <w:tc>
          <w:tcPr>
            <w:tcW w:w="7146" w:type="dxa"/>
          </w:tcPr>
          <w:p w:rsidR="00544A58" w:rsidRPr="00544A58" w:rsidRDefault="001E74E3" w:rsidP="00544A58">
            <w:pPr>
              <w:pStyle w:val="TableBlockOutdent"/>
              <w:rPr>
                <w:rtl/>
              </w:rPr>
            </w:pPr>
            <w:r>
              <w:rPr>
                <w:rFonts w:hint="cs"/>
                <w:rtl/>
              </w:rPr>
              <w:t>"</w:t>
            </w:r>
            <w:r w:rsidR="00544A58">
              <w:rPr>
                <w:rtl/>
              </w:rPr>
              <w:t>"</w:t>
            </w:r>
            <w:r>
              <w:rPr>
                <w:rFonts w:hint="cs"/>
                <w:rtl/>
              </w:rPr>
              <w:t xml:space="preserve">הרשות" </w:t>
            </w:r>
            <w:r>
              <w:rPr>
                <w:rtl/>
              </w:rPr>
              <w:t>–</w:t>
            </w:r>
            <w:r>
              <w:rPr>
                <w:rFonts w:hint="cs"/>
                <w:rtl/>
              </w:rPr>
              <w:t xml:space="preserve"> מנהל אגף הפיקוח על היצוא הדו-שימושי במשרד או עובד אחר במשרד שהמנהל הכללי של המשרד הסמיכו לעניין זה; הודעה על הסמכה כאמור תפורסם באתר האינטרנט של המשרד;". </w:t>
            </w:r>
          </w:p>
        </w:tc>
      </w:tr>
    </w:tbl>
    <w:p w:rsidR="001F1477" w:rsidRDefault="001F1477" w:rsidP="00307E94"/>
    <w:p w:rsidR="001F1477" w:rsidRDefault="001F1477" w:rsidP="00307E94">
      <w:pPr>
        <w:rPr>
          <w:rtl/>
        </w:rPr>
      </w:pPr>
    </w:p>
    <w:p w:rsidR="001F1477" w:rsidRDefault="001F1477" w:rsidP="00504FA2">
      <w:pPr>
        <w:rPr>
          <w:rFonts w:eastAsia="Calibri"/>
          <w:rtl/>
        </w:rPr>
      </w:pPr>
      <w:r>
        <w:rPr>
          <w:rFonts w:eastAsia="Calibri" w:hint="cs"/>
          <w:rtl/>
        </w:rPr>
        <w:t xml:space="preserve">___ ב________ </w:t>
      </w:r>
      <w:proofErr w:type="spellStart"/>
      <w:r>
        <w:rPr>
          <w:rFonts w:eastAsia="Calibri" w:hint="cs"/>
          <w:rtl/>
        </w:rPr>
        <w:t>התש</w:t>
      </w:r>
      <w:r w:rsidR="00504FA2">
        <w:rPr>
          <w:rFonts w:eastAsia="Calibri" w:hint="cs"/>
          <w:rtl/>
        </w:rPr>
        <w:t>פ"ב</w:t>
      </w:r>
      <w:proofErr w:type="spellEnd"/>
      <w:r>
        <w:rPr>
          <w:rFonts w:eastAsia="Calibri" w:hint="cs"/>
          <w:rtl/>
        </w:rPr>
        <w:t xml:space="preserve"> (___ ב________ 20</w:t>
      </w:r>
      <w:r w:rsidR="00504FA2">
        <w:rPr>
          <w:rFonts w:eastAsia="Calibri" w:hint="cs"/>
          <w:rtl/>
        </w:rPr>
        <w:t>22</w:t>
      </w:r>
      <w:r>
        <w:rPr>
          <w:rFonts w:eastAsia="Calibri" w:hint="cs"/>
          <w:rtl/>
        </w:rPr>
        <w:t>)</w:t>
      </w:r>
    </w:p>
    <w:p w:rsidR="001F1477" w:rsidRDefault="00504FA2" w:rsidP="00307E94">
      <w:pPr>
        <w:rPr>
          <w:rFonts w:eastAsia="Calibri"/>
          <w:rtl/>
        </w:rPr>
      </w:pPr>
      <w:r>
        <w:rPr>
          <w:rFonts w:eastAsia="Calibri" w:hint="cs"/>
          <w:rtl/>
        </w:rPr>
        <w:t xml:space="preserve"> </w:t>
      </w:r>
      <w:r w:rsidR="001F1477">
        <w:rPr>
          <w:rFonts w:eastAsia="Calibri" w:hint="cs"/>
          <w:rtl/>
        </w:rPr>
        <w:t>(</w:t>
      </w:r>
      <w:proofErr w:type="spellStart"/>
      <w:r w:rsidR="001F1477">
        <w:rPr>
          <w:rFonts w:eastAsia="Calibri" w:hint="cs"/>
          <w:rtl/>
        </w:rPr>
        <w:t>חמ</w:t>
      </w:r>
      <w:proofErr w:type="spellEnd"/>
      <w:r w:rsidR="001F1477">
        <w:rPr>
          <w:rFonts w:eastAsia="Calibri" w:hint="cs"/>
          <w:rtl/>
        </w:rPr>
        <w:t xml:space="preserve"> _____-3)</w:t>
      </w:r>
    </w:p>
    <w:p w:rsidR="001F1477" w:rsidRDefault="001F1477" w:rsidP="00307E94">
      <w:pPr>
        <w:rPr>
          <w:rFonts w:eastAsia="Calibri"/>
          <w:rtl/>
        </w:rPr>
      </w:pPr>
    </w:p>
    <w:p w:rsidR="001F1477" w:rsidRDefault="00504FA2" w:rsidP="00307E94">
      <w:pPr>
        <w:ind w:left="5760"/>
        <w:jc w:val="center"/>
        <w:rPr>
          <w:rFonts w:eastAsia="Calibri"/>
          <w:rtl/>
        </w:rPr>
      </w:pPr>
      <w:r>
        <w:rPr>
          <w:rFonts w:eastAsia="Calibri" w:hint="cs"/>
          <w:rtl/>
        </w:rPr>
        <w:t>אורנה ברביבאי</w:t>
      </w:r>
    </w:p>
    <w:p w:rsidR="00504FA2" w:rsidRDefault="00504FA2" w:rsidP="00307E94">
      <w:pPr>
        <w:ind w:left="5760"/>
        <w:jc w:val="center"/>
        <w:rPr>
          <w:rFonts w:eastAsia="Calibri"/>
          <w:rtl/>
        </w:rPr>
      </w:pPr>
      <w:r>
        <w:rPr>
          <w:rFonts w:eastAsia="Calibri" w:hint="cs"/>
          <w:rtl/>
        </w:rPr>
        <w:t>שרת הכלכלה והתעשייה</w:t>
      </w:r>
    </w:p>
    <w:p w:rsidR="00504FA2" w:rsidRDefault="00504FA2" w:rsidP="00307E94">
      <w:pPr>
        <w:ind w:left="5760"/>
        <w:jc w:val="center"/>
        <w:rPr>
          <w:rFonts w:eastAsia="Calibri"/>
          <w:rtl/>
        </w:rPr>
      </w:pPr>
    </w:p>
    <w:p w:rsidR="008A5BBE" w:rsidRDefault="008A5BBE" w:rsidP="00307E94">
      <w:pPr>
        <w:pStyle w:val="HeadDivreiHesber"/>
        <w:rPr>
          <w:rtl/>
        </w:rPr>
      </w:pPr>
    </w:p>
    <w:p w:rsidR="008A5BBE" w:rsidRDefault="008A5BBE" w:rsidP="00307E94">
      <w:pPr>
        <w:pStyle w:val="HeadDivreiHesber"/>
        <w:rPr>
          <w:rtl/>
        </w:rPr>
      </w:pPr>
    </w:p>
    <w:p w:rsidR="008A5BBE" w:rsidRDefault="008A5BBE" w:rsidP="00307E94">
      <w:pPr>
        <w:pStyle w:val="HeadDivreiHesber"/>
        <w:rPr>
          <w:rtl/>
        </w:rPr>
      </w:pPr>
    </w:p>
    <w:p w:rsidR="008A5BBE" w:rsidRDefault="008A5BBE" w:rsidP="00307E94">
      <w:pPr>
        <w:pStyle w:val="HeadDivreiHesber"/>
        <w:rPr>
          <w:rtl/>
        </w:rPr>
      </w:pPr>
    </w:p>
    <w:p w:rsidR="008A5BBE" w:rsidRDefault="008A5BBE" w:rsidP="00307E94">
      <w:pPr>
        <w:pStyle w:val="HeadDivreiHesber"/>
        <w:rPr>
          <w:rtl/>
        </w:rPr>
      </w:pPr>
    </w:p>
    <w:p w:rsidR="008A5BBE" w:rsidRDefault="008A5BBE" w:rsidP="00307E94">
      <w:pPr>
        <w:pStyle w:val="HeadDivreiHesber"/>
        <w:rPr>
          <w:rtl/>
        </w:rPr>
      </w:pPr>
    </w:p>
    <w:p w:rsidR="008A5BBE" w:rsidRDefault="008A5BBE" w:rsidP="00307E94">
      <w:pPr>
        <w:pStyle w:val="HeadDivreiHesber"/>
        <w:rPr>
          <w:rtl/>
        </w:rPr>
      </w:pPr>
    </w:p>
    <w:p w:rsidR="008A5BBE" w:rsidRDefault="008A5BBE" w:rsidP="00307E94">
      <w:pPr>
        <w:pStyle w:val="HeadDivreiHesber"/>
        <w:rPr>
          <w:rtl/>
        </w:rPr>
      </w:pPr>
    </w:p>
    <w:p w:rsidR="008A5BBE" w:rsidRDefault="008A5BBE" w:rsidP="00307E94">
      <w:pPr>
        <w:pStyle w:val="HeadDivreiHesber"/>
        <w:rPr>
          <w:rtl/>
        </w:rPr>
      </w:pPr>
    </w:p>
    <w:p w:rsidR="008A5BBE" w:rsidRDefault="008A5BBE" w:rsidP="00307E94">
      <w:pPr>
        <w:pStyle w:val="HeadDivreiHesber"/>
        <w:rPr>
          <w:rtl/>
        </w:rPr>
      </w:pPr>
    </w:p>
    <w:p w:rsidR="001F1477" w:rsidRDefault="001F1477" w:rsidP="00307E94">
      <w:pPr>
        <w:pStyle w:val="HeadDivreiHesber"/>
        <w:rPr>
          <w:rtl/>
        </w:rPr>
      </w:pPr>
      <w:r>
        <w:rPr>
          <w:rtl/>
        </w:rPr>
        <w:t>דברי הסבר</w:t>
      </w:r>
    </w:p>
    <w:p w:rsidR="00504FA2" w:rsidRDefault="00504FA2" w:rsidP="00504FA2">
      <w:pPr>
        <w:rPr>
          <w:rtl/>
        </w:rPr>
      </w:pPr>
      <w:r>
        <w:rPr>
          <w:rFonts w:hint="cs"/>
          <w:rtl/>
        </w:rPr>
        <w:t xml:space="preserve">כיום צו היבוא והיצוא (פיקוח על ייצוא בתחום הכימי, הביולוגי והגרעיני), תשס"ד </w:t>
      </w:r>
      <w:r>
        <w:rPr>
          <w:rtl/>
        </w:rPr>
        <w:t>–</w:t>
      </w:r>
      <w:r>
        <w:rPr>
          <w:rFonts w:hint="cs"/>
          <w:rtl/>
        </w:rPr>
        <w:t xml:space="preserve"> 2004 קובע כי </w:t>
      </w:r>
      <w:proofErr w:type="spellStart"/>
      <w:r>
        <w:rPr>
          <w:rFonts w:hint="cs"/>
          <w:rtl/>
        </w:rPr>
        <w:t>רשיונות</w:t>
      </w:r>
      <w:proofErr w:type="spellEnd"/>
      <w:r>
        <w:rPr>
          <w:rFonts w:hint="cs"/>
          <w:rtl/>
        </w:rPr>
        <w:t xml:space="preserve"> מכוחו </w:t>
      </w:r>
      <w:proofErr w:type="spellStart"/>
      <w:r>
        <w:rPr>
          <w:rFonts w:hint="cs"/>
          <w:rtl/>
        </w:rPr>
        <w:t>ינתנו</w:t>
      </w:r>
      <w:proofErr w:type="spellEnd"/>
      <w:r>
        <w:rPr>
          <w:rFonts w:hint="cs"/>
          <w:rtl/>
        </w:rPr>
        <w:t xml:space="preserve"> רק על ידי מנהל מינהל סחר חוץ במשרד, מנהל אגף הפיקוח על היצוא הדו-שימושי במשרד או עובד אחר </w:t>
      </w:r>
      <w:proofErr w:type="spellStart"/>
      <w:r>
        <w:rPr>
          <w:rFonts w:hint="cs"/>
          <w:rtl/>
        </w:rPr>
        <w:t>במינהל</w:t>
      </w:r>
      <w:proofErr w:type="spellEnd"/>
      <w:r>
        <w:rPr>
          <w:rFonts w:hint="cs"/>
          <w:rtl/>
        </w:rPr>
        <w:t xml:space="preserve"> סחר חוץ שהמנהל הכללי של המשרד הסמיכו לעניין צו זה. בעקבות שינוי ארגוני במשרד הכלכלה והתעשייה, במסגרתו הועבר אגף הפיקוח על היצוא הדו שימושי ממנהל סחר חוץ למנהל הפיקוח על היהלומים והיצוא הדו שימושי, מוצע לתקן את ההגדרה ל"רשות" בסעיף 1 לצו, כך </w:t>
      </w:r>
      <w:proofErr w:type="spellStart"/>
      <w:r>
        <w:rPr>
          <w:rFonts w:hint="cs"/>
          <w:rtl/>
        </w:rPr>
        <w:t>שרשיונות</w:t>
      </w:r>
      <w:proofErr w:type="spellEnd"/>
      <w:r>
        <w:rPr>
          <w:rFonts w:hint="cs"/>
          <w:rtl/>
        </w:rPr>
        <w:t xml:space="preserve"> </w:t>
      </w:r>
      <w:proofErr w:type="spellStart"/>
      <w:r>
        <w:rPr>
          <w:rFonts w:hint="cs"/>
          <w:rtl/>
        </w:rPr>
        <w:t>ינתנו</w:t>
      </w:r>
      <w:proofErr w:type="spellEnd"/>
      <w:r>
        <w:rPr>
          <w:rFonts w:hint="cs"/>
          <w:rtl/>
        </w:rPr>
        <w:t xml:space="preserve"> על ידי מנהל אגף הפיקוח על היצוא הדו- שימושי או עובד אחר במשרד הכלכלה והתעשייה שהמנהל הכללי של המשרד הסמיכו לעניין צו זה. </w:t>
      </w:r>
    </w:p>
    <w:p w:rsidR="001F1477" w:rsidRPr="00537828" w:rsidRDefault="001F1477" w:rsidP="00307E94">
      <w:pPr>
        <w:pStyle w:val="Hesber1st"/>
        <w:tabs>
          <w:tab w:val="clear" w:pos="680"/>
        </w:tabs>
        <w:rPr>
          <w:rtl/>
        </w:rPr>
      </w:pPr>
    </w:p>
    <w:p w:rsidR="00667FA0" w:rsidRDefault="00A7613A"/>
    <w:sectPr w:rsidR="00667FA0" w:rsidSect="001F1477">
      <w:pgSz w:w="12240" w:h="15840"/>
      <w:pgMar w:top="1701"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3A" w:rsidRDefault="00A7613A" w:rsidP="001E74E3">
      <w:pPr>
        <w:spacing w:line="240" w:lineRule="auto"/>
      </w:pPr>
      <w:r>
        <w:separator/>
      </w:r>
    </w:p>
  </w:endnote>
  <w:endnote w:type="continuationSeparator" w:id="0">
    <w:p w:rsidR="00A7613A" w:rsidRDefault="00A7613A" w:rsidP="001E7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3A" w:rsidRDefault="00A7613A" w:rsidP="001E74E3">
      <w:pPr>
        <w:spacing w:line="240" w:lineRule="auto"/>
        <w:ind w:left="0"/>
      </w:pPr>
      <w:r>
        <w:separator/>
      </w:r>
    </w:p>
  </w:footnote>
  <w:footnote w:type="continuationSeparator" w:id="0">
    <w:p w:rsidR="00A7613A" w:rsidRDefault="00A7613A" w:rsidP="001E74E3">
      <w:pPr>
        <w:spacing w:line="240" w:lineRule="auto"/>
      </w:pPr>
      <w:r>
        <w:continuationSeparator/>
      </w:r>
    </w:p>
  </w:footnote>
  <w:footnote w:id="1">
    <w:p w:rsidR="001E74E3" w:rsidRDefault="001E74E3" w:rsidP="001E74E3">
      <w:pPr>
        <w:pStyle w:val="a5"/>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התשס"ד</w:t>
      </w:r>
      <w:proofErr w:type="spellEnd"/>
      <w:r>
        <w:rPr>
          <w:rFonts w:hint="cs"/>
          <w:rtl/>
        </w:rPr>
        <w:t xml:space="preserve">, עמ' 387; </w:t>
      </w:r>
      <w:proofErr w:type="spellStart"/>
      <w:r>
        <w:rPr>
          <w:rFonts w:hint="cs"/>
          <w:rtl/>
        </w:rPr>
        <w:t>התשפ"א</w:t>
      </w:r>
      <w:proofErr w:type="spellEnd"/>
      <w:r>
        <w:rPr>
          <w:rFonts w:hint="cs"/>
          <w:rtl/>
        </w:rPr>
        <w:t>, עמ' 1541.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1"/>
  </w:num>
  <w:num w:numId="6">
    <w:abstractNumId w:val="15"/>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lvlOverride w:ilvl="0">
      <w:startOverride w:val="1"/>
    </w:lvlOverride>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77"/>
    <w:rsid w:val="0012311B"/>
    <w:rsid w:val="001E74E3"/>
    <w:rsid w:val="001F1477"/>
    <w:rsid w:val="002B5DD9"/>
    <w:rsid w:val="00485808"/>
    <w:rsid w:val="00504FA2"/>
    <w:rsid w:val="00544A58"/>
    <w:rsid w:val="00621ECB"/>
    <w:rsid w:val="008A5BBE"/>
    <w:rsid w:val="00A7613A"/>
    <w:rsid w:val="00A855B9"/>
    <w:rsid w:val="00E04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BACC7-6AFE-4B89-8BF5-4E64BF12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77"/>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1F1477"/>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1F1477"/>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1F1477"/>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1F1477"/>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1F1477"/>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F1477"/>
    <w:rPr>
      <w:rFonts w:asciiTheme="majorHAnsi" w:eastAsiaTheme="majorEastAsia" w:hAnsiTheme="majorHAnsi" w:cs="David"/>
      <w:bCs/>
      <w:sz w:val="32"/>
      <w:szCs w:val="36"/>
    </w:rPr>
  </w:style>
  <w:style w:type="character" w:customStyle="1" w:styleId="40">
    <w:name w:val="כותרת 4 תו"/>
    <w:basedOn w:val="a0"/>
    <w:link w:val="4"/>
    <w:uiPriority w:val="9"/>
    <w:rsid w:val="001F1477"/>
    <w:rPr>
      <w:rFonts w:ascii="David" w:hAnsi="David" w:cs="David"/>
      <w:b/>
      <w:bCs/>
      <w:color w:val="000000" w:themeColor="text1"/>
      <w:sz w:val="24"/>
      <w:szCs w:val="28"/>
    </w:rPr>
  </w:style>
  <w:style w:type="paragraph" w:customStyle="1" w:styleId="TableText">
    <w:name w:val="Table Text"/>
    <w:basedOn w:val="a"/>
    <w:rsid w:val="001F1477"/>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1F1477"/>
    <w:pPr>
      <w:outlineLvl w:val="2"/>
    </w:pPr>
  </w:style>
  <w:style w:type="paragraph" w:customStyle="1" w:styleId="TableBlock">
    <w:name w:val="Table Block"/>
    <w:basedOn w:val="TableText"/>
    <w:rsid w:val="001F1477"/>
    <w:pPr>
      <w:jc w:val="both"/>
    </w:pPr>
  </w:style>
  <w:style w:type="paragraph" w:customStyle="1" w:styleId="TableHead">
    <w:name w:val="Table Head"/>
    <w:basedOn w:val="TableText"/>
    <w:rsid w:val="001F1477"/>
    <w:pPr>
      <w:jc w:val="center"/>
      <w:outlineLvl w:val="1"/>
    </w:pPr>
    <w:rPr>
      <w:b/>
      <w:bCs/>
    </w:rPr>
  </w:style>
  <w:style w:type="paragraph" w:customStyle="1" w:styleId="HeadMitparsemetBaze">
    <w:name w:val="Head MitparsemetBaze"/>
    <w:basedOn w:val="a"/>
    <w:rsid w:val="001F1477"/>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1F1477"/>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1F1477"/>
    <w:pPr>
      <w:tabs>
        <w:tab w:val="left" w:pos="680"/>
        <w:tab w:val="left" w:pos="1020"/>
      </w:tabs>
      <w:ind w:firstLine="0"/>
    </w:pPr>
  </w:style>
  <w:style w:type="paragraph" w:customStyle="1" w:styleId="HeadDivreiHesber">
    <w:name w:val="Head DivreiHesber"/>
    <w:basedOn w:val="a"/>
    <w:rsid w:val="001F1477"/>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1F1477"/>
    <w:rPr>
      <w:rFonts w:asciiTheme="majorHAnsi" w:eastAsiaTheme="majorEastAsia" w:hAnsiTheme="majorHAnsi" w:cs="David"/>
      <w:bCs/>
      <w:sz w:val="26"/>
      <w:szCs w:val="36"/>
      <w:u w:val="single"/>
    </w:rPr>
  </w:style>
  <w:style w:type="character" w:customStyle="1" w:styleId="30">
    <w:name w:val="כותרת 3 תו"/>
    <w:basedOn w:val="a0"/>
    <w:link w:val="3"/>
    <w:rsid w:val="001F1477"/>
    <w:rPr>
      <w:rFonts w:asciiTheme="majorHAnsi" w:eastAsiaTheme="majorEastAsia" w:hAnsiTheme="majorHAnsi" w:cs="David"/>
      <w:sz w:val="24"/>
      <w:szCs w:val="28"/>
      <w:u w:val="double"/>
    </w:rPr>
  </w:style>
  <w:style w:type="character" w:customStyle="1" w:styleId="50">
    <w:name w:val="כותרת 5 תו"/>
    <w:basedOn w:val="a0"/>
    <w:link w:val="5"/>
    <w:uiPriority w:val="9"/>
    <w:rsid w:val="001F1477"/>
    <w:rPr>
      <w:rFonts w:ascii="David" w:hAnsi="David" w:cs="David"/>
      <w:color w:val="000000" w:themeColor="text1"/>
      <w:sz w:val="24"/>
      <w:szCs w:val="24"/>
    </w:rPr>
  </w:style>
  <w:style w:type="paragraph" w:customStyle="1" w:styleId="HeadHatzaotHok4Futer">
    <w:name w:val="Head HatzaotHok4Futer"/>
    <w:basedOn w:val="HeadHatzaotHok"/>
    <w:rsid w:val="001F1477"/>
    <w:pPr>
      <w:spacing w:before="120" w:after="120"/>
    </w:pPr>
    <w:rPr>
      <w:color w:val="FF0000"/>
      <w:w w:val="80"/>
    </w:rPr>
  </w:style>
  <w:style w:type="paragraph" w:styleId="a3">
    <w:name w:val="endnote text"/>
    <w:basedOn w:val="a"/>
    <w:link w:val="a4"/>
    <w:semiHidden/>
    <w:rsid w:val="001F1477"/>
    <w:pPr>
      <w:ind w:left="227" w:hanging="227"/>
    </w:pPr>
    <w:rPr>
      <w:sz w:val="14"/>
      <w:szCs w:val="22"/>
    </w:rPr>
  </w:style>
  <w:style w:type="character" w:customStyle="1" w:styleId="a4">
    <w:name w:val="טקסט הערת סיום תו"/>
    <w:basedOn w:val="a0"/>
    <w:link w:val="a3"/>
    <w:semiHidden/>
    <w:rsid w:val="001F1477"/>
    <w:rPr>
      <w:rFonts w:ascii="David" w:hAnsi="David" w:cs="David"/>
      <w:sz w:val="14"/>
    </w:rPr>
  </w:style>
  <w:style w:type="paragraph" w:customStyle="1" w:styleId="TableInnerSideHeading">
    <w:name w:val="Table InnerSideHeading"/>
    <w:basedOn w:val="TableSideHeading"/>
    <w:rsid w:val="001F1477"/>
    <w:pPr>
      <w:outlineLvl w:val="9"/>
    </w:pPr>
  </w:style>
  <w:style w:type="paragraph" w:customStyle="1" w:styleId="Hesber">
    <w:name w:val="Hesber"/>
    <w:basedOn w:val="a"/>
    <w:rsid w:val="001F1477"/>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1F1477"/>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1F1477"/>
    <w:rPr>
      <w:rFonts w:ascii="Arial" w:eastAsia="Arial Unicode MS" w:hAnsi="Arial" w:cs="David"/>
      <w:snapToGrid w:val="0"/>
      <w:sz w:val="14"/>
      <w:szCs w:val="20"/>
    </w:rPr>
  </w:style>
  <w:style w:type="character" w:styleId="a7">
    <w:name w:val="footnote reference"/>
    <w:aliases w:val="Footnote Reference"/>
    <w:basedOn w:val="a0"/>
    <w:semiHidden/>
    <w:rsid w:val="001F1477"/>
    <w:rPr>
      <w:vertAlign w:val="superscript"/>
    </w:rPr>
  </w:style>
  <w:style w:type="paragraph" w:customStyle="1" w:styleId="HesberHeading">
    <w:name w:val="Hesber Heading"/>
    <w:basedOn w:val="Hesber"/>
    <w:rsid w:val="001F1477"/>
    <w:pPr>
      <w:tabs>
        <w:tab w:val="left" w:pos="624"/>
        <w:tab w:val="left" w:pos="1247"/>
      </w:tabs>
    </w:pPr>
    <w:rPr>
      <w:b/>
      <w:bCs/>
    </w:rPr>
  </w:style>
  <w:style w:type="paragraph" w:customStyle="1" w:styleId="HesberWriters">
    <w:name w:val="Hesber Writers"/>
    <w:basedOn w:val="Hesber"/>
    <w:rsid w:val="001F1477"/>
    <w:pPr>
      <w:spacing w:before="120" w:after="120"/>
      <w:ind w:left="1418"/>
      <w:jc w:val="right"/>
    </w:pPr>
    <w:rPr>
      <w:b/>
      <w:bCs/>
    </w:rPr>
  </w:style>
  <w:style w:type="character" w:styleId="a8">
    <w:name w:val="endnote reference"/>
    <w:basedOn w:val="a0"/>
    <w:semiHidden/>
    <w:rsid w:val="001F1477"/>
    <w:rPr>
      <w:vertAlign w:val="superscript"/>
    </w:rPr>
  </w:style>
  <w:style w:type="paragraph" w:customStyle="1" w:styleId="TableBlockOutdent">
    <w:name w:val="Table BlockOutdent"/>
    <w:basedOn w:val="TableBlock"/>
    <w:rsid w:val="001F1477"/>
    <w:pPr>
      <w:ind w:left="624" w:hanging="624"/>
    </w:pPr>
  </w:style>
  <w:style w:type="paragraph" w:styleId="a9">
    <w:name w:val="header"/>
    <w:basedOn w:val="a"/>
    <w:link w:val="aa"/>
    <w:rsid w:val="001F1477"/>
    <w:pPr>
      <w:tabs>
        <w:tab w:val="center" w:pos="4153"/>
        <w:tab w:val="right" w:pos="8306"/>
      </w:tabs>
    </w:pPr>
  </w:style>
  <w:style w:type="character" w:customStyle="1" w:styleId="aa">
    <w:name w:val="כותרת עליונה תו"/>
    <w:basedOn w:val="a0"/>
    <w:link w:val="a9"/>
    <w:rsid w:val="001F1477"/>
    <w:rPr>
      <w:rFonts w:ascii="David" w:hAnsi="David" w:cs="David"/>
      <w:sz w:val="24"/>
      <w:szCs w:val="24"/>
    </w:rPr>
  </w:style>
  <w:style w:type="paragraph" w:styleId="ab">
    <w:name w:val="footer"/>
    <w:basedOn w:val="a"/>
    <w:link w:val="ac"/>
    <w:rsid w:val="001F1477"/>
    <w:pPr>
      <w:tabs>
        <w:tab w:val="center" w:pos="4153"/>
        <w:tab w:val="right" w:pos="8306"/>
      </w:tabs>
    </w:pPr>
  </w:style>
  <w:style w:type="character" w:customStyle="1" w:styleId="ac">
    <w:name w:val="כותרת תחתונה תו"/>
    <w:basedOn w:val="a0"/>
    <w:link w:val="ab"/>
    <w:rsid w:val="001F1477"/>
    <w:rPr>
      <w:rFonts w:ascii="David" w:hAnsi="David" w:cs="David"/>
      <w:sz w:val="24"/>
      <w:szCs w:val="24"/>
    </w:rPr>
  </w:style>
  <w:style w:type="character" w:styleId="ad">
    <w:name w:val="page number"/>
    <w:basedOn w:val="a0"/>
    <w:rsid w:val="001F1477"/>
  </w:style>
  <w:style w:type="paragraph" w:customStyle="1" w:styleId="Cover1-Reshumot">
    <w:name w:val="Cover 1-Reshumot"/>
    <w:basedOn w:val="a"/>
    <w:rsid w:val="001F1477"/>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1F1477"/>
    <w:rPr>
      <w:sz w:val="36"/>
      <w:szCs w:val="52"/>
    </w:rPr>
  </w:style>
  <w:style w:type="paragraph" w:customStyle="1" w:styleId="Cover3-Haknesset">
    <w:name w:val="Cover 3-Haknesset"/>
    <w:basedOn w:val="Cover1-Reshumot"/>
    <w:rsid w:val="001F1477"/>
    <w:rPr>
      <w:b/>
      <w:bCs/>
      <w:spacing w:val="60"/>
    </w:rPr>
  </w:style>
  <w:style w:type="paragraph" w:customStyle="1" w:styleId="Cover4-Date">
    <w:name w:val="Cover 4-Date"/>
    <w:basedOn w:val="a"/>
    <w:rsid w:val="001F1477"/>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1F1477"/>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1F1477"/>
    <w:pPr>
      <w:widowControl/>
      <w:spacing w:before="120" w:after="120"/>
      <w:outlineLvl w:val="9"/>
    </w:pPr>
    <w:rPr>
      <w:rtl/>
      <w:cs/>
    </w:rPr>
  </w:style>
  <w:style w:type="paragraph" w:styleId="TOC1">
    <w:name w:val="toc 1"/>
    <w:basedOn w:val="a"/>
    <w:next w:val="a"/>
    <w:autoRedefine/>
    <w:uiPriority w:val="39"/>
    <w:unhideWhenUsed/>
    <w:rsid w:val="001F1477"/>
    <w:pPr>
      <w:tabs>
        <w:tab w:val="right" w:leader="dot" w:pos="9629"/>
      </w:tabs>
      <w:spacing w:after="100"/>
    </w:pPr>
    <w:rPr>
      <w:bCs/>
      <w:szCs w:val="22"/>
    </w:rPr>
  </w:style>
  <w:style w:type="paragraph" w:styleId="TOC2">
    <w:name w:val="toc 2"/>
    <w:basedOn w:val="a"/>
    <w:next w:val="a"/>
    <w:uiPriority w:val="39"/>
    <w:unhideWhenUsed/>
    <w:rsid w:val="001F1477"/>
    <w:pPr>
      <w:tabs>
        <w:tab w:val="right" w:leader="dot" w:pos="9628"/>
      </w:tabs>
      <w:spacing w:after="100"/>
    </w:pPr>
    <w:rPr>
      <w:szCs w:val="22"/>
    </w:rPr>
  </w:style>
  <w:style w:type="character" w:styleId="Hyperlink">
    <w:name w:val="Hyperlink"/>
    <w:basedOn w:val="a0"/>
    <w:uiPriority w:val="99"/>
    <w:unhideWhenUsed/>
    <w:rsid w:val="001F1477"/>
    <w:rPr>
      <w:color w:val="0563C1" w:themeColor="hyperlink"/>
      <w:u w:val="single"/>
    </w:rPr>
  </w:style>
  <w:style w:type="paragraph" w:styleId="TOC3">
    <w:name w:val="toc 3"/>
    <w:basedOn w:val="a"/>
    <w:next w:val="a"/>
    <w:uiPriority w:val="39"/>
    <w:unhideWhenUsed/>
    <w:rsid w:val="001F1477"/>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1F1477"/>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1F1477"/>
    <w:pPr>
      <w:tabs>
        <w:tab w:val="right" w:leader="dot" w:pos="9628"/>
      </w:tabs>
      <w:spacing w:after="100"/>
      <w:ind w:left="567"/>
    </w:pPr>
    <w:rPr>
      <w:szCs w:val="22"/>
    </w:rPr>
  </w:style>
  <w:style w:type="paragraph" w:styleId="TOC6">
    <w:name w:val="toc 6"/>
    <w:basedOn w:val="a"/>
    <w:next w:val="a"/>
    <w:autoRedefine/>
    <w:semiHidden/>
    <w:unhideWhenUsed/>
    <w:rsid w:val="001F1477"/>
    <w:pPr>
      <w:spacing w:after="100"/>
      <w:ind w:left="850"/>
    </w:pPr>
  </w:style>
  <w:style w:type="paragraph" w:styleId="TOC7">
    <w:name w:val="toc 7"/>
    <w:basedOn w:val="a"/>
    <w:next w:val="a"/>
    <w:autoRedefine/>
    <w:semiHidden/>
    <w:unhideWhenUsed/>
    <w:rsid w:val="001F1477"/>
    <w:pPr>
      <w:spacing w:after="100"/>
      <w:ind w:left="1020"/>
    </w:pPr>
  </w:style>
  <w:style w:type="paragraph" w:styleId="TOC8">
    <w:name w:val="toc 8"/>
    <w:basedOn w:val="a"/>
    <w:next w:val="a"/>
    <w:autoRedefine/>
    <w:semiHidden/>
    <w:unhideWhenUsed/>
    <w:rsid w:val="001F1477"/>
    <w:pPr>
      <w:spacing w:after="100"/>
      <w:ind w:left="1190"/>
    </w:pPr>
  </w:style>
  <w:style w:type="paragraph" w:styleId="TOC9">
    <w:name w:val="toc 9"/>
    <w:basedOn w:val="a"/>
    <w:next w:val="a"/>
    <w:autoRedefine/>
    <w:semiHidden/>
    <w:unhideWhenUsed/>
    <w:rsid w:val="001F1477"/>
    <w:pPr>
      <w:spacing w:after="100"/>
      <w:ind w:left="1360"/>
    </w:pPr>
  </w:style>
  <w:style w:type="paragraph" w:customStyle="1" w:styleId="TableHead2">
    <w:name w:val="Table Head2"/>
    <w:basedOn w:val="TableHead"/>
    <w:qFormat/>
    <w:rsid w:val="001F1477"/>
    <w:pPr>
      <w:outlineLvl w:val="9"/>
    </w:pPr>
  </w:style>
  <w:style w:type="paragraph" w:customStyle="1" w:styleId="TableSideHeading2">
    <w:name w:val="Table SideHeading2"/>
    <w:basedOn w:val="TableSideHeading"/>
    <w:autoRedefine/>
    <w:qFormat/>
    <w:rsid w:val="001F1477"/>
    <w:pPr>
      <w:keepLines w:val="0"/>
      <w:outlineLvl w:val="9"/>
    </w:pPr>
  </w:style>
  <w:style w:type="paragraph" w:customStyle="1" w:styleId="0">
    <w:name w:val="סגנון שורה ראשונה:  0  ס''מ"/>
    <w:basedOn w:val="2"/>
    <w:rsid w:val="001F1477"/>
    <w:rPr>
      <w:rFonts w:eastAsia="Times New Roman"/>
    </w:rPr>
  </w:style>
  <w:style w:type="paragraph" w:styleId="af">
    <w:name w:val="List Paragraph"/>
    <w:basedOn w:val="a"/>
    <w:uiPriority w:val="34"/>
    <w:qFormat/>
    <w:rsid w:val="001F1477"/>
    <w:pPr>
      <w:widowControl/>
      <w:spacing w:line="259" w:lineRule="auto"/>
    </w:pPr>
    <w:rPr>
      <w:rFonts w:asciiTheme="minorHAnsi" w:hAnsiTheme="minorHAnsi"/>
      <w:sz w:val="22"/>
    </w:rPr>
  </w:style>
  <w:style w:type="table" w:styleId="af0">
    <w:name w:val="Table Grid"/>
    <w:basedOn w:val="a1"/>
    <w:rsid w:val="001F14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F147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1F147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1F1477"/>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1F1477"/>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8A5BBE"/>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8A5BB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1748</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גולדשטיין</dc:creator>
  <cp:keywords/>
  <dc:description/>
  <cp:lastModifiedBy>Merav Kaplan - Chamber Of Commerce</cp:lastModifiedBy>
  <cp:revision>2</cp:revision>
  <dcterms:created xsi:type="dcterms:W3CDTF">2022-09-28T05:41:00Z</dcterms:created>
  <dcterms:modified xsi:type="dcterms:W3CDTF">2022-09-28T05:41:00Z</dcterms:modified>
</cp:coreProperties>
</file>