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72" w:rsidRDefault="00956995" w:rsidP="00806C5E">
      <w:pPr>
        <w:spacing w:line="360" w:lineRule="atLeast"/>
        <w:outlineLvl w:val="0"/>
        <w:rPr>
          <w:b/>
          <w:bCs/>
          <w:sz w:val="32"/>
          <w:szCs w:val="32"/>
          <w:u w:val="single"/>
          <w:rtl/>
        </w:rPr>
      </w:pPr>
      <w:r w:rsidRPr="00956995">
        <w:rPr>
          <w:rFonts w:hint="cs"/>
          <w:b/>
          <w:bCs/>
          <w:sz w:val="32"/>
          <w:szCs w:val="32"/>
          <w:u w:val="single"/>
          <w:rtl/>
        </w:rPr>
        <w:t xml:space="preserve">דברי הסבר למקח </w:t>
      </w:r>
      <w:r w:rsidR="00A333B7">
        <w:rPr>
          <w:rFonts w:hint="cs"/>
          <w:b/>
          <w:bCs/>
          <w:sz w:val="32"/>
          <w:szCs w:val="32"/>
          <w:u w:val="single"/>
          <w:rtl/>
        </w:rPr>
        <w:t>20</w:t>
      </w:r>
      <w:r w:rsidR="00655749">
        <w:rPr>
          <w:rFonts w:hint="cs"/>
          <w:b/>
          <w:bCs/>
          <w:sz w:val="32"/>
          <w:szCs w:val="32"/>
          <w:u w:val="single"/>
          <w:rtl/>
        </w:rPr>
        <w:t>31</w:t>
      </w:r>
    </w:p>
    <w:p w:rsidR="00956995" w:rsidRDefault="00956995" w:rsidP="003071D7">
      <w:pPr>
        <w:spacing w:line="360" w:lineRule="atLeast"/>
        <w:rPr>
          <w:b/>
          <w:bCs/>
          <w:sz w:val="32"/>
          <w:szCs w:val="32"/>
          <w:u w:val="single"/>
          <w:rtl/>
        </w:rPr>
      </w:pPr>
    </w:p>
    <w:p w:rsidR="00A05F6F" w:rsidRDefault="00A333B7" w:rsidP="00806C5E">
      <w:pPr>
        <w:spacing w:line="360" w:lineRule="atLeast"/>
        <w:outlineLvl w:val="1"/>
        <w:rPr>
          <w:b/>
          <w:bCs/>
          <w:sz w:val="24"/>
          <w:szCs w:val="24"/>
          <w:u w:val="single"/>
          <w:rtl/>
        </w:rPr>
      </w:pPr>
      <w:r w:rsidRPr="003071D7">
        <w:rPr>
          <w:b/>
          <w:bCs/>
          <w:sz w:val="24"/>
          <w:szCs w:val="24"/>
          <w:u w:val="single"/>
          <w:rtl/>
        </w:rPr>
        <w:t xml:space="preserve">צו תעריף המכס והפטורים ומס קנייה על טובין </w:t>
      </w:r>
      <w:r w:rsidRPr="003071D7">
        <w:rPr>
          <w:rFonts w:hint="cs"/>
          <w:b/>
          <w:bCs/>
          <w:sz w:val="24"/>
          <w:szCs w:val="24"/>
          <w:u w:val="single"/>
          <w:rtl/>
        </w:rPr>
        <w:t>(</w:t>
      </w:r>
      <w:r w:rsidR="00655749" w:rsidRPr="003071D7">
        <w:rPr>
          <w:rFonts w:hint="cs"/>
          <w:b/>
          <w:bCs/>
          <w:sz w:val="24"/>
          <w:szCs w:val="24"/>
          <w:u w:val="single"/>
          <w:rtl/>
        </w:rPr>
        <w:t>הוראת שעה מס' 24</w:t>
      </w:r>
      <w:r w:rsidRPr="003071D7">
        <w:rPr>
          <w:b/>
          <w:bCs/>
          <w:sz w:val="24"/>
          <w:szCs w:val="24"/>
          <w:u w:val="single"/>
          <w:rtl/>
        </w:rPr>
        <w:t xml:space="preserve"> )</w:t>
      </w:r>
      <w:r w:rsidRPr="003071D7">
        <w:rPr>
          <w:rFonts w:hint="cs"/>
          <w:b/>
          <w:bCs/>
          <w:sz w:val="24"/>
          <w:szCs w:val="24"/>
          <w:u w:val="single"/>
          <w:rtl/>
        </w:rPr>
        <w:t xml:space="preserve">, </w:t>
      </w:r>
      <w:r w:rsidRPr="003071D7">
        <w:rPr>
          <w:b/>
          <w:bCs/>
          <w:sz w:val="24"/>
          <w:szCs w:val="24"/>
          <w:u w:val="single"/>
          <w:rtl/>
        </w:rPr>
        <w:t>התשפ"ב-</w:t>
      </w:r>
      <w:r w:rsidRPr="003071D7">
        <w:rPr>
          <w:rFonts w:hint="cs"/>
          <w:b/>
          <w:bCs/>
          <w:sz w:val="24"/>
          <w:szCs w:val="24"/>
          <w:u w:val="single"/>
          <w:rtl/>
        </w:rPr>
        <w:t xml:space="preserve">2022 </w:t>
      </w:r>
    </w:p>
    <w:p w:rsidR="00655749" w:rsidRPr="003071D7" w:rsidRDefault="00655749" w:rsidP="003071D7">
      <w:pPr>
        <w:pStyle w:val="HeadDivreiHesber"/>
        <w:spacing w:line="360" w:lineRule="atLeast"/>
        <w:rPr>
          <w:sz w:val="24"/>
          <w:rtl/>
        </w:rPr>
      </w:pPr>
      <w:bookmarkStart w:id="0" w:name="_Toc92014694"/>
      <w:bookmarkStart w:id="1" w:name="_Toc92014708"/>
      <w:r w:rsidRPr="003071D7">
        <w:rPr>
          <w:sz w:val="24"/>
          <w:rtl/>
        </w:rPr>
        <w:t>דברי הסבר</w:t>
      </w:r>
      <w:bookmarkEnd w:id="0"/>
      <w:bookmarkEnd w:id="1"/>
    </w:p>
    <w:p w:rsidR="00655749" w:rsidRPr="003071D7" w:rsidRDefault="00655749" w:rsidP="003071D7">
      <w:pPr>
        <w:pStyle w:val="Hesber"/>
        <w:spacing w:line="360" w:lineRule="atLeast"/>
        <w:ind w:firstLine="0"/>
        <w:rPr>
          <w:sz w:val="24"/>
        </w:rPr>
      </w:pPr>
      <w:r w:rsidRPr="003071D7">
        <w:rPr>
          <w:sz w:val="24"/>
          <w:rtl/>
        </w:rPr>
        <w:t xml:space="preserve">בצו תעריף המכס והפטורים ומס קנייה על טובין (הוראת שעה מס' 12), התשפ"ב-2022 (להלן- הוראת שעה מס' 12) נקבעה שורה של הוראות שעה בתחום החקלאות, אשר מטרתן הייתה למנוע מחסור בענפים שהאספקה המקומית שלהם לעיתים לא עונה על הביקוש. הוראת שעה מס' 12 בוטלה על ידי מליאת הכנסת ביום ט"ז בסיון התשפ"ב (15 ביוני 2022) בדיון במהלכו הועלו, בין היתר, חששות כי </w:t>
      </w:r>
      <w:r w:rsidRPr="003071D7">
        <w:rPr>
          <w:rFonts w:hint="cs"/>
          <w:sz w:val="24"/>
          <w:rtl/>
        </w:rPr>
        <w:t xml:space="preserve">הוראת השעה תיפגע </w:t>
      </w:r>
      <w:r w:rsidRPr="003071D7">
        <w:rPr>
          <w:sz w:val="24"/>
          <w:rtl/>
        </w:rPr>
        <w:t xml:space="preserve">בחקלאות בישראלית. </w:t>
      </w:r>
    </w:p>
    <w:p w:rsidR="00655749" w:rsidRPr="003071D7" w:rsidRDefault="00655749" w:rsidP="003071D7">
      <w:pPr>
        <w:pStyle w:val="Hesber"/>
        <w:spacing w:line="360" w:lineRule="atLeast"/>
        <w:ind w:firstLine="0"/>
        <w:rPr>
          <w:sz w:val="24"/>
          <w:rtl/>
        </w:rPr>
      </w:pPr>
      <w:r w:rsidRPr="003071D7">
        <w:rPr>
          <w:sz w:val="24"/>
          <w:rtl/>
        </w:rPr>
        <w:t xml:space="preserve">על מנת למנוע מחסור </w:t>
      </w:r>
      <w:r w:rsidRPr="003071D7">
        <w:rPr>
          <w:rFonts w:hint="cs"/>
          <w:sz w:val="24"/>
          <w:rtl/>
        </w:rPr>
        <w:t>באספקת מוצרי חקלאות לישראל</w:t>
      </w:r>
      <w:r w:rsidRPr="003071D7">
        <w:rPr>
          <w:sz w:val="24"/>
          <w:rtl/>
        </w:rPr>
        <w:t>, מוצע בצו זה לקבוע</w:t>
      </w:r>
      <w:r w:rsidRPr="003071D7">
        <w:rPr>
          <w:rFonts w:hint="cs"/>
          <w:sz w:val="24"/>
          <w:rtl/>
        </w:rPr>
        <w:t xml:space="preserve"> בהוראת שעה עד סוף שנת 2022</w:t>
      </w:r>
      <w:r w:rsidRPr="003071D7">
        <w:rPr>
          <w:sz w:val="24"/>
          <w:rtl/>
        </w:rPr>
        <w:t xml:space="preserve"> מכסות </w:t>
      </w:r>
      <w:r w:rsidRPr="003071D7">
        <w:rPr>
          <w:rFonts w:hint="cs"/>
          <w:sz w:val="24"/>
          <w:rtl/>
        </w:rPr>
        <w:t xml:space="preserve">פטורות ממכס </w:t>
      </w:r>
      <w:r w:rsidRPr="003071D7">
        <w:rPr>
          <w:sz w:val="24"/>
          <w:rtl/>
        </w:rPr>
        <w:t>אשר יחולקו בהתאם לתנאי הגידול המקומי</w:t>
      </w:r>
      <w:r w:rsidRPr="003071D7">
        <w:rPr>
          <w:rFonts w:hint="cs"/>
          <w:sz w:val="24"/>
          <w:rtl/>
        </w:rPr>
        <w:t xml:space="preserve"> לייבוא של מוצרי חקלאות שונים, והכל כפי שיפורט בטבלה שלהלן</w:t>
      </w:r>
      <w:r w:rsidRPr="003071D7">
        <w:rPr>
          <w:sz w:val="24"/>
          <w:rtl/>
        </w:rPr>
        <w:t>.</w:t>
      </w:r>
      <w:r w:rsidRPr="003071D7">
        <w:rPr>
          <w:rFonts w:hint="cs"/>
          <w:sz w:val="24"/>
          <w:rtl/>
        </w:rPr>
        <w:t xml:space="preserve"> יצוין כי המכסות המוצעות קטנות </w:t>
      </w:r>
      <w:r w:rsidRPr="003071D7">
        <w:rPr>
          <w:sz w:val="24"/>
          <w:rtl/>
        </w:rPr>
        <w:t>ב25% מהמכסות אשר נקבעו בהוראת שעה מס' 12</w:t>
      </w:r>
      <w:r w:rsidRPr="003071D7">
        <w:rPr>
          <w:rFonts w:hint="cs"/>
          <w:sz w:val="24"/>
          <w:rtl/>
        </w:rPr>
        <w:t xml:space="preserve"> ולא נוצלו לפני ביטולה</w:t>
      </w:r>
      <w:r w:rsidRPr="003071D7">
        <w:rPr>
          <w:sz w:val="24"/>
          <w:rtl/>
        </w:rPr>
        <w:t>.</w:t>
      </w:r>
    </w:p>
    <w:p w:rsidR="00655749" w:rsidRPr="003071D7" w:rsidRDefault="00655749" w:rsidP="003071D7">
      <w:pPr>
        <w:pStyle w:val="Hesber"/>
        <w:spacing w:line="360" w:lineRule="atLeast"/>
        <w:ind w:firstLine="0"/>
        <w:rPr>
          <w:sz w:val="24"/>
          <w:rtl/>
        </w:rPr>
      </w:pPr>
      <w:r w:rsidRPr="003071D7">
        <w:rPr>
          <w:rFonts w:hint="cs"/>
          <w:sz w:val="24"/>
          <w:rtl/>
        </w:rPr>
        <w:t xml:space="preserve">הצו מקודם בתיאום עם משרד החקלאות ופיתוח הכפר ועם משרד הכלכלה. </w:t>
      </w:r>
    </w:p>
    <w:p w:rsidR="00655749" w:rsidRPr="003071D7" w:rsidRDefault="00655749" w:rsidP="003071D7">
      <w:pPr>
        <w:pStyle w:val="Hesber"/>
        <w:spacing w:line="360" w:lineRule="atLeast"/>
        <w:rPr>
          <w:sz w:val="24"/>
        </w:rPr>
      </w:pPr>
    </w:p>
    <w:tbl>
      <w:tblPr>
        <w:bidiVisual/>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10;"/>
      </w:tblPr>
      <w:tblGrid>
        <w:gridCol w:w="1925"/>
        <w:gridCol w:w="1926"/>
        <w:gridCol w:w="1925"/>
        <w:gridCol w:w="1926"/>
        <w:gridCol w:w="1926"/>
      </w:tblGrid>
      <w:tr w:rsidR="00655749" w:rsidTr="00537624">
        <w:trPr>
          <w:cantSplit/>
          <w:tblHeader/>
          <w:jc w:val="center"/>
        </w:trPr>
        <w:tc>
          <w:tcPr>
            <w:tcW w:w="1925" w:type="dxa"/>
            <w:shd w:val="clear" w:color="auto" w:fill="auto"/>
          </w:tcPr>
          <w:p w:rsidR="00655749" w:rsidRPr="005903F5" w:rsidRDefault="00655749" w:rsidP="003071D7">
            <w:pPr>
              <w:spacing w:line="360" w:lineRule="atLeast"/>
              <w:jc w:val="center"/>
              <w:rPr>
                <w:rFonts w:eastAsia="MS Mincho"/>
                <w:b/>
                <w:bCs/>
                <w:rtl/>
              </w:rPr>
            </w:pPr>
            <w:bookmarkStart w:id="2" w:name="Title_1" w:colFirst="0" w:colLast="0"/>
            <w:r w:rsidRPr="003071D7">
              <w:rPr>
                <w:rFonts w:eastAsia="MS Mincho"/>
                <w:b/>
                <w:bCs/>
                <w:sz w:val="24"/>
                <w:szCs w:val="24"/>
                <w:rtl/>
              </w:rPr>
              <w:t>פרט מכס</w:t>
            </w:r>
          </w:p>
        </w:tc>
        <w:tc>
          <w:tcPr>
            <w:tcW w:w="1926" w:type="dxa"/>
            <w:shd w:val="clear" w:color="auto" w:fill="auto"/>
          </w:tcPr>
          <w:p w:rsidR="00655749" w:rsidRPr="005903F5" w:rsidRDefault="00655749" w:rsidP="003071D7">
            <w:pPr>
              <w:spacing w:line="360" w:lineRule="atLeast"/>
              <w:jc w:val="center"/>
              <w:rPr>
                <w:rFonts w:eastAsia="MS Mincho"/>
                <w:b/>
                <w:bCs/>
                <w:rtl/>
              </w:rPr>
            </w:pPr>
            <w:r w:rsidRPr="003071D7">
              <w:rPr>
                <w:rFonts w:eastAsia="MS Mincho"/>
                <w:b/>
                <w:bCs/>
                <w:sz w:val="24"/>
                <w:szCs w:val="24"/>
                <w:rtl/>
              </w:rPr>
              <w:t xml:space="preserve">סוג </w:t>
            </w:r>
            <w:bookmarkStart w:id="3" w:name="_GoBack"/>
            <w:bookmarkEnd w:id="3"/>
            <w:r w:rsidRPr="003071D7">
              <w:rPr>
                <w:rFonts w:eastAsia="MS Mincho"/>
                <w:b/>
                <w:bCs/>
                <w:sz w:val="24"/>
                <w:szCs w:val="24"/>
                <w:rtl/>
              </w:rPr>
              <w:t>טובין</w:t>
            </w:r>
          </w:p>
        </w:tc>
        <w:tc>
          <w:tcPr>
            <w:tcW w:w="1925" w:type="dxa"/>
            <w:shd w:val="clear" w:color="auto" w:fill="auto"/>
          </w:tcPr>
          <w:p w:rsidR="00655749" w:rsidRPr="005903F5" w:rsidRDefault="00655749" w:rsidP="003071D7">
            <w:pPr>
              <w:spacing w:line="360" w:lineRule="atLeast"/>
              <w:jc w:val="center"/>
              <w:rPr>
                <w:rFonts w:eastAsia="MS Mincho"/>
                <w:b/>
                <w:bCs/>
                <w:rtl/>
              </w:rPr>
            </w:pPr>
            <w:r w:rsidRPr="003071D7">
              <w:rPr>
                <w:rFonts w:eastAsia="MS Mincho" w:hint="cs"/>
                <w:b/>
                <w:bCs/>
                <w:sz w:val="24"/>
                <w:szCs w:val="24"/>
                <w:rtl/>
              </w:rPr>
              <w:t>מצב קבע</w:t>
            </w:r>
          </w:p>
        </w:tc>
        <w:tc>
          <w:tcPr>
            <w:tcW w:w="1926" w:type="dxa"/>
            <w:shd w:val="clear" w:color="auto" w:fill="auto"/>
          </w:tcPr>
          <w:p w:rsidR="00655749" w:rsidRPr="005903F5" w:rsidRDefault="00655749" w:rsidP="003071D7">
            <w:pPr>
              <w:spacing w:line="360" w:lineRule="atLeast"/>
              <w:jc w:val="center"/>
              <w:rPr>
                <w:rFonts w:eastAsia="MS Mincho"/>
                <w:b/>
                <w:bCs/>
                <w:rtl/>
              </w:rPr>
            </w:pPr>
            <w:r w:rsidRPr="003071D7">
              <w:rPr>
                <w:rFonts w:eastAsia="MS Mincho" w:hint="cs"/>
                <w:b/>
                <w:bCs/>
                <w:sz w:val="24"/>
                <w:szCs w:val="24"/>
                <w:rtl/>
              </w:rPr>
              <w:t>המכסה בהוראת שעה מס' 12</w:t>
            </w:r>
          </w:p>
        </w:tc>
        <w:tc>
          <w:tcPr>
            <w:tcW w:w="1926" w:type="dxa"/>
            <w:shd w:val="clear" w:color="auto" w:fill="auto"/>
          </w:tcPr>
          <w:p w:rsidR="00655749" w:rsidRPr="005903F5" w:rsidRDefault="00655749" w:rsidP="003071D7">
            <w:pPr>
              <w:spacing w:line="360" w:lineRule="atLeast"/>
              <w:jc w:val="center"/>
              <w:rPr>
                <w:rFonts w:eastAsia="MS Mincho"/>
                <w:b/>
                <w:bCs/>
                <w:rtl/>
              </w:rPr>
            </w:pPr>
            <w:r w:rsidRPr="003071D7">
              <w:rPr>
                <w:rFonts w:eastAsia="MS Mincho" w:hint="cs"/>
                <w:b/>
                <w:bCs/>
                <w:sz w:val="24"/>
                <w:szCs w:val="24"/>
                <w:rtl/>
              </w:rPr>
              <w:t>המכסה המוצעת</w:t>
            </w:r>
          </w:p>
        </w:tc>
      </w:tr>
      <w:bookmarkEnd w:id="2"/>
      <w:tr w:rsidR="00655749" w:rsidTr="00537624">
        <w:trPr>
          <w:cantSplit/>
          <w:jc w:val="center"/>
        </w:trPr>
        <w:tc>
          <w:tcPr>
            <w:tcW w:w="1925" w:type="dxa"/>
            <w:shd w:val="clear" w:color="auto" w:fill="auto"/>
          </w:tcPr>
          <w:p w:rsidR="00655749" w:rsidRPr="003071D7" w:rsidRDefault="00655749" w:rsidP="003071D7">
            <w:pPr>
              <w:spacing w:line="360" w:lineRule="atLeast"/>
              <w:rPr>
                <w:rFonts w:eastAsia="MS Mincho"/>
                <w:sz w:val="24"/>
                <w:szCs w:val="24"/>
                <w:rtl/>
              </w:rPr>
            </w:pPr>
            <w:r w:rsidRPr="003071D7">
              <w:rPr>
                <w:rFonts w:eastAsia="MS Mincho" w:hint="cs"/>
                <w:sz w:val="24"/>
                <w:szCs w:val="24"/>
                <w:rtl/>
              </w:rPr>
              <w:t>04.08.110000</w:t>
            </w:r>
          </w:p>
          <w:p w:rsidR="00655749" w:rsidRPr="005903F5" w:rsidRDefault="00655749" w:rsidP="003071D7">
            <w:pPr>
              <w:spacing w:line="360" w:lineRule="atLeast"/>
              <w:rPr>
                <w:rFonts w:eastAsia="MS Mincho"/>
                <w:rtl/>
              </w:rPr>
            </w:pPr>
            <w:r w:rsidRPr="003071D7">
              <w:rPr>
                <w:rFonts w:eastAsia="MS Mincho" w:hint="cs"/>
                <w:sz w:val="24"/>
                <w:szCs w:val="24"/>
                <w:rtl/>
              </w:rPr>
              <w:t>04.08.190000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 xml:space="preserve">חלמוני ביצים </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30 טון</w:t>
            </w:r>
          </w:p>
        </w:tc>
        <w:tc>
          <w:tcPr>
            <w:tcW w:w="1926" w:type="dxa"/>
            <w:shd w:val="clear" w:color="auto" w:fill="auto"/>
          </w:tcPr>
          <w:p w:rsidR="00655749" w:rsidRPr="00400CB4" w:rsidRDefault="00655749" w:rsidP="003071D7">
            <w:pPr>
              <w:spacing w:line="360" w:lineRule="atLeast"/>
              <w:rPr>
                <w:rFonts w:eastAsia="MS Mincho"/>
                <w:rtl/>
              </w:rPr>
            </w:pPr>
            <w:r w:rsidRPr="003071D7">
              <w:rPr>
                <w:rFonts w:eastAsia="MS Mincho" w:hint="cs"/>
                <w:sz w:val="24"/>
                <w:szCs w:val="24"/>
                <w:rtl/>
              </w:rPr>
              <w:t xml:space="preserve">23 </w:t>
            </w:r>
            <w:r w:rsidRPr="003071D7">
              <w:rPr>
                <w:rFonts w:eastAsia="MS Mincho"/>
                <w:sz w:val="24"/>
                <w:szCs w:val="24"/>
                <w:rtl/>
              </w:rPr>
              <w:t>טון</w:t>
            </w:r>
          </w:p>
        </w:tc>
      </w:tr>
      <w:tr w:rsidR="00655749" w:rsidTr="00537624">
        <w:trPr>
          <w:cantSplit/>
          <w:jc w:val="center"/>
        </w:trPr>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07.06.904000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סלק</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1,000 טון</w:t>
            </w:r>
          </w:p>
        </w:tc>
        <w:tc>
          <w:tcPr>
            <w:tcW w:w="1926" w:type="dxa"/>
            <w:shd w:val="clear" w:color="auto" w:fill="auto"/>
          </w:tcPr>
          <w:p w:rsidR="00655749" w:rsidRPr="00400CB4" w:rsidRDefault="00655749" w:rsidP="003071D7">
            <w:pPr>
              <w:spacing w:line="360" w:lineRule="atLeast"/>
              <w:rPr>
                <w:rFonts w:eastAsia="MS Mincho"/>
                <w:rtl/>
              </w:rPr>
            </w:pPr>
            <w:r w:rsidRPr="003071D7">
              <w:rPr>
                <w:rFonts w:eastAsia="MS Mincho" w:hint="cs"/>
                <w:sz w:val="24"/>
                <w:szCs w:val="24"/>
                <w:rtl/>
              </w:rPr>
              <w:t>750 טון</w:t>
            </w:r>
          </w:p>
        </w:tc>
      </w:tr>
      <w:tr w:rsidR="00655749" w:rsidTr="00537624">
        <w:trPr>
          <w:cantSplit/>
          <w:jc w:val="center"/>
        </w:trPr>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08.02.119000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שקדים בקליפה</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150 טון</w:t>
            </w:r>
          </w:p>
        </w:tc>
        <w:tc>
          <w:tcPr>
            <w:tcW w:w="1926" w:type="dxa"/>
            <w:shd w:val="clear" w:color="auto" w:fill="auto"/>
          </w:tcPr>
          <w:p w:rsidR="00655749" w:rsidRPr="00400CB4" w:rsidRDefault="00655749" w:rsidP="003071D7">
            <w:pPr>
              <w:spacing w:line="360" w:lineRule="atLeast"/>
              <w:rPr>
                <w:rFonts w:eastAsia="MS Mincho"/>
              </w:rPr>
            </w:pPr>
            <w:r w:rsidRPr="003071D7">
              <w:rPr>
                <w:rFonts w:eastAsia="MS Mincho" w:hint="cs"/>
                <w:sz w:val="24"/>
                <w:szCs w:val="24"/>
                <w:rtl/>
              </w:rPr>
              <w:t>113 טון</w:t>
            </w:r>
          </w:p>
        </w:tc>
      </w:tr>
      <w:tr w:rsidR="00655749" w:rsidTr="00537624">
        <w:trPr>
          <w:cantSplit/>
          <w:jc w:val="center"/>
        </w:trPr>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08.02.129000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שקדים מקולפים</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קיימת מכסה של 150 טון</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1,700 טון</w:t>
            </w:r>
          </w:p>
        </w:tc>
        <w:tc>
          <w:tcPr>
            <w:tcW w:w="1926" w:type="dxa"/>
            <w:shd w:val="clear" w:color="auto" w:fill="auto"/>
          </w:tcPr>
          <w:p w:rsidR="00655749" w:rsidRPr="00400CB4" w:rsidRDefault="00655749" w:rsidP="003071D7">
            <w:pPr>
              <w:spacing w:line="360" w:lineRule="atLeast"/>
              <w:rPr>
                <w:rFonts w:eastAsia="MS Mincho"/>
              </w:rPr>
            </w:pPr>
            <w:r w:rsidRPr="003071D7">
              <w:rPr>
                <w:rFonts w:eastAsia="MS Mincho"/>
                <w:sz w:val="24"/>
                <w:szCs w:val="24"/>
              </w:rPr>
              <w:t>1,088</w:t>
            </w:r>
            <w:r w:rsidRPr="003071D7">
              <w:rPr>
                <w:rFonts w:eastAsia="MS Mincho"/>
                <w:sz w:val="24"/>
                <w:szCs w:val="24"/>
                <w:rtl/>
              </w:rPr>
              <w:t xml:space="preserve"> </w:t>
            </w:r>
            <w:r w:rsidRPr="003071D7">
              <w:rPr>
                <w:rFonts w:eastAsia="MS Mincho" w:hint="cs"/>
                <w:sz w:val="24"/>
                <w:szCs w:val="24"/>
                <w:rtl/>
              </w:rPr>
              <w:t xml:space="preserve"> טון</w:t>
            </w:r>
          </w:p>
        </w:tc>
      </w:tr>
      <w:tr w:rsidR="00655749" w:rsidTr="00537624">
        <w:trPr>
          <w:cantSplit/>
          <w:jc w:val="center"/>
        </w:trPr>
        <w:tc>
          <w:tcPr>
            <w:tcW w:w="1925" w:type="dxa"/>
            <w:shd w:val="clear" w:color="auto" w:fill="auto"/>
          </w:tcPr>
          <w:p w:rsidR="00655749" w:rsidRPr="003071D7" w:rsidRDefault="00655749" w:rsidP="003071D7">
            <w:pPr>
              <w:spacing w:line="360" w:lineRule="atLeast"/>
              <w:rPr>
                <w:rFonts w:eastAsia="MS Mincho"/>
                <w:sz w:val="24"/>
                <w:szCs w:val="24"/>
                <w:rtl/>
              </w:rPr>
            </w:pPr>
            <w:r w:rsidRPr="003071D7">
              <w:rPr>
                <w:rFonts w:eastAsia="MS Mincho" w:hint="cs"/>
                <w:sz w:val="24"/>
                <w:szCs w:val="24"/>
                <w:rtl/>
              </w:rPr>
              <w:t>12.02.429000</w:t>
            </w:r>
          </w:p>
          <w:p w:rsidR="00655749" w:rsidRPr="005903F5" w:rsidRDefault="00655749" w:rsidP="003071D7">
            <w:pPr>
              <w:spacing w:line="360" w:lineRule="atLeast"/>
              <w:rPr>
                <w:rFonts w:eastAsia="MS Mincho"/>
                <w:rtl/>
              </w:rPr>
            </w:pPr>
            <w:r w:rsidRPr="003071D7">
              <w:rPr>
                <w:rFonts w:eastAsia="MS Mincho" w:hint="cs"/>
                <w:sz w:val="24"/>
                <w:szCs w:val="24"/>
                <w:rtl/>
              </w:rPr>
              <w:t>20.08.119000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אגוזי אדמה</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1,800 טון</w:t>
            </w:r>
          </w:p>
        </w:tc>
        <w:tc>
          <w:tcPr>
            <w:tcW w:w="1926" w:type="dxa"/>
            <w:shd w:val="clear" w:color="auto" w:fill="auto"/>
          </w:tcPr>
          <w:p w:rsidR="00655749" w:rsidRPr="00400CB4" w:rsidRDefault="00655749" w:rsidP="003071D7">
            <w:pPr>
              <w:spacing w:line="360" w:lineRule="atLeast"/>
              <w:rPr>
                <w:rFonts w:eastAsia="MS Mincho"/>
                <w:rtl/>
              </w:rPr>
            </w:pPr>
            <w:r w:rsidRPr="003071D7">
              <w:rPr>
                <w:rFonts w:eastAsia="MS Mincho" w:hint="cs"/>
                <w:sz w:val="24"/>
                <w:szCs w:val="24"/>
                <w:rtl/>
              </w:rPr>
              <w:t>563 טון</w:t>
            </w:r>
          </w:p>
        </w:tc>
      </w:tr>
      <w:tr w:rsidR="00655749" w:rsidTr="00537624">
        <w:trPr>
          <w:cantSplit/>
          <w:jc w:val="center"/>
        </w:trPr>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20.05.997000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 xml:space="preserve">פלפל חריף </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400 טון</w:t>
            </w:r>
          </w:p>
        </w:tc>
        <w:tc>
          <w:tcPr>
            <w:tcW w:w="1926" w:type="dxa"/>
            <w:shd w:val="clear" w:color="auto" w:fill="auto"/>
          </w:tcPr>
          <w:p w:rsidR="00655749" w:rsidRPr="00400CB4" w:rsidRDefault="00655749" w:rsidP="003071D7">
            <w:pPr>
              <w:spacing w:line="360" w:lineRule="atLeast"/>
              <w:rPr>
                <w:rFonts w:eastAsia="MS Mincho"/>
                <w:rtl/>
              </w:rPr>
            </w:pPr>
            <w:r w:rsidRPr="003071D7">
              <w:rPr>
                <w:rFonts w:eastAsia="MS Mincho" w:hint="cs"/>
                <w:sz w:val="24"/>
                <w:szCs w:val="24"/>
                <w:rtl/>
              </w:rPr>
              <w:t>300 טון</w:t>
            </w:r>
          </w:p>
        </w:tc>
      </w:tr>
      <w:tr w:rsidR="00655749" w:rsidRPr="003071D7" w:rsidTr="00537624">
        <w:trPr>
          <w:cantSplit/>
          <w:jc w:val="center"/>
        </w:trPr>
        <w:tc>
          <w:tcPr>
            <w:tcW w:w="1925" w:type="dxa"/>
            <w:shd w:val="clear" w:color="auto" w:fill="auto"/>
          </w:tcPr>
          <w:p w:rsidR="00655749" w:rsidRPr="003071D7" w:rsidRDefault="00655749" w:rsidP="003071D7">
            <w:pPr>
              <w:spacing w:line="360" w:lineRule="atLeast"/>
              <w:rPr>
                <w:rFonts w:eastAsia="MS Mincho"/>
                <w:sz w:val="24"/>
                <w:szCs w:val="24"/>
                <w:rtl/>
              </w:rPr>
            </w:pPr>
            <w:r w:rsidRPr="003071D7">
              <w:rPr>
                <w:rFonts w:eastAsia="MS Mincho" w:hint="cs"/>
                <w:sz w:val="24"/>
                <w:szCs w:val="24"/>
                <w:rtl/>
              </w:rPr>
              <w:t>20.09.113000</w:t>
            </w:r>
          </w:p>
          <w:p w:rsidR="00655749" w:rsidRPr="003071D7" w:rsidRDefault="00655749" w:rsidP="003071D7">
            <w:pPr>
              <w:spacing w:line="360" w:lineRule="atLeast"/>
              <w:rPr>
                <w:rFonts w:eastAsia="MS Mincho"/>
                <w:sz w:val="24"/>
                <w:szCs w:val="24"/>
                <w:rtl/>
              </w:rPr>
            </w:pPr>
            <w:r w:rsidRPr="003071D7">
              <w:rPr>
                <w:rFonts w:eastAsia="MS Mincho" w:hint="cs"/>
                <w:sz w:val="24"/>
                <w:szCs w:val="24"/>
                <w:rtl/>
              </w:rPr>
              <w:t>20.09.114000</w:t>
            </w:r>
          </w:p>
          <w:p w:rsidR="00655749" w:rsidRPr="005903F5" w:rsidRDefault="00655749" w:rsidP="003071D7">
            <w:pPr>
              <w:spacing w:line="360" w:lineRule="atLeast"/>
              <w:rPr>
                <w:rFonts w:eastAsia="MS Mincho"/>
                <w:rtl/>
              </w:rPr>
            </w:pPr>
            <w:r w:rsidRPr="003071D7">
              <w:rPr>
                <w:rFonts w:eastAsia="MS Mincho" w:hint="cs"/>
                <w:sz w:val="24"/>
                <w:szCs w:val="24"/>
                <w:rtl/>
              </w:rPr>
              <w:t>20.09.121000</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מיץ תפוזים</w:t>
            </w:r>
          </w:p>
        </w:tc>
        <w:tc>
          <w:tcPr>
            <w:tcW w:w="1925"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ללא מכסה</w:t>
            </w:r>
          </w:p>
        </w:tc>
        <w:tc>
          <w:tcPr>
            <w:tcW w:w="1926" w:type="dxa"/>
            <w:shd w:val="clear" w:color="auto" w:fill="auto"/>
          </w:tcPr>
          <w:p w:rsidR="00655749" w:rsidRPr="005903F5" w:rsidRDefault="00655749" w:rsidP="003071D7">
            <w:pPr>
              <w:spacing w:line="360" w:lineRule="atLeast"/>
              <w:rPr>
                <w:rFonts w:eastAsia="MS Mincho"/>
                <w:rtl/>
              </w:rPr>
            </w:pPr>
            <w:r w:rsidRPr="003071D7">
              <w:rPr>
                <w:rFonts w:eastAsia="MS Mincho" w:hint="cs"/>
                <w:sz w:val="24"/>
                <w:szCs w:val="24"/>
                <w:rtl/>
              </w:rPr>
              <w:t>7,000 טון</w:t>
            </w:r>
          </w:p>
        </w:tc>
        <w:tc>
          <w:tcPr>
            <w:tcW w:w="1926" w:type="dxa"/>
            <w:shd w:val="clear" w:color="auto" w:fill="auto"/>
          </w:tcPr>
          <w:p w:rsidR="00655749" w:rsidRPr="003071D7" w:rsidRDefault="00655749" w:rsidP="003071D7">
            <w:pPr>
              <w:spacing w:line="360" w:lineRule="atLeast"/>
              <w:rPr>
                <w:rFonts w:eastAsia="MS Mincho"/>
                <w:sz w:val="24"/>
                <w:szCs w:val="24"/>
              </w:rPr>
            </w:pPr>
            <w:r w:rsidRPr="003071D7">
              <w:rPr>
                <w:rFonts w:eastAsia="MS Mincho"/>
                <w:sz w:val="24"/>
                <w:szCs w:val="24"/>
              </w:rPr>
              <w:t>3,638</w:t>
            </w:r>
            <w:r w:rsidRPr="003071D7">
              <w:rPr>
                <w:rFonts w:eastAsia="MS Mincho"/>
                <w:sz w:val="24"/>
                <w:szCs w:val="24"/>
                <w:rtl/>
              </w:rPr>
              <w:t xml:space="preserve"> </w:t>
            </w:r>
            <w:r w:rsidRPr="003071D7">
              <w:rPr>
                <w:rFonts w:eastAsia="MS Mincho" w:hint="cs"/>
                <w:sz w:val="24"/>
                <w:szCs w:val="24"/>
                <w:rtl/>
              </w:rPr>
              <w:t xml:space="preserve"> </w:t>
            </w:r>
            <w:r w:rsidRPr="003071D7">
              <w:rPr>
                <w:rFonts w:eastAsia="MS Mincho"/>
                <w:sz w:val="24"/>
                <w:szCs w:val="24"/>
                <w:rtl/>
              </w:rPr>
              <w:t>טון</w:t>
            </w:r>
          </w:p>
        </w:tc>
      </w:tr>
    </w:tbl>
    <w:p w:rsidR="00655749" w:rsidRPr="003071D7" w:rsidRDefault="00655749" w:rsidP="003071D7">
      <w:pPr>
        <w:pStyle w:val="Hesber1st"/>
        <w:tabs>
          <w:tab w:val="clear" w:pos="680"/>
        </w:tabs>
        <w:spacing w:line="360" w:lineRule="atLeast"/>
        <w:rPr>
          <w:sz w:val="24"/>
        </w:rPr>
      </w:pPr>
    </w:p>
    <w:p w:rsidR="00A333B7" w:rsidRPr="00A333B7" w:rsidRDefault="00A333B7" w:rsidP="003071D7">
      <w:pPr>
        <w:spacing w:line="360" w:lineRule="atLeast"/>
        <w:rPr>
          <w:b/>
          <w:bCs/>
          <w:sz w:val="24"/>
          <w:szCs w:val="24"/>
          <w:u w:val="single"/>
          <w:rtl/>
        </w:rPr>
      </w:pPr>
    </w:p>
    <w:sectPr w:rsidR="00A333B7" w:rsidRPr="00A333B7" w:rsidSect="0095699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24" w:rsidRDefault="00537624" w:rsidP="00537624">
      <w:pPr>
        <w:spacing w:after="0" w:line="240" w:lineRule="auto"/>
      </w:pPr>
      <w:r>
        <w:separator/>
      </w:r>
    </w:p>
  </w:endnote>
  <w:endnote w:type="continuationSeparator" w:id="0">
    <w:p w:rsidR="00537624" w:rsidRDefault="00537624" w:rsidP="0053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24" w:rsidRDefault="00537624" w:rsidP="00537624">
      <w:pPr>
        <w:spacing w:after="0" w:line="240" w:lineRule="auto"/>
      </w:pPr>
      <w:r>
        <w:separator/>
      </w:r>
    </w:p>
  </w:footnote>
  <w:footnote w:type="continuationSeparator" w:id="0">
    <w:p w:rsidR="00537624" w:rsidRDefault="00537624" w:rsidP="00537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3"/>
  </w:docVars>
  <w:rsids>
    <w:rsidRoot w:val="00956995"/>
    <w:rsid w:val="00181B73"/>
    <w:rsid w:val="003071D7"/>
    <w:rsid w:val="005176C5"/>
    <w:rsid w:val="00537624"/>
    <w:rsid w:val="00543772"/>
    <w:rsid w:val="00655749"/>
    <w:rsid w:val="00806C5E"/>
    <w:rsid w:val="00847AF4"/>
    <w:rsid w:val="00956995"/>
    <w:rsid w:val="00A05F6F"/>
    <w:rsid w:val="00A333B7"/>
    <w:rsid w:val="00EB4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870FC"/>
  <w15:chartTrackingRefBased/>
  <w15:docId w15:val="{3689BDE6-FAE4-45C8-A33E-46954A7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sber">
    <w:name w:val="Hesber"/>
    <w:basedOn w:val="a"/>
    <w:rsid w:val="00A05F6F"/>
    <w:pPr>
      <w:widowControl w:val="0"/>
      <w:snapToGrid w:val="0"/>
      <w:spacing w:after="0" w:line="360" w:lineRule="auto"/>
      <w:ind w:firstLine="340"/>
      <w:contextualSpacing/>
      <w:jc w:val="both"/>
    </w:pPr>
    <w:rPr>
      <w:rFonts w:ascii="Arial" w:eastAsia="Arial Unicode MS" w:hAnsi="Arial" w:cs="David"/>
      <w:sz w:val="20"/>
      <w:szCs w:val="26"/>
    </w:rPr>
  </w:style>
  <w:style w:type="paragraph" w:customStyle="1" w:styleId="Hesber1st">
    <w:name w:val="Hesber 1st"/>
    <w:basedOn w:val="Hesber"/>
    <w:rsid w:val="00A05F6F"/>
    <w:pPr>
      <w:tabs>
        <w:tab w:val="left" w:pos="680"/>
        <w:tab w:val="left" w:pos="1020"/>
      </w:tabs>
      <w:ind w:firstLine="0"/>
    </w:pPr>
  </w:style>
  <w:style w:type="paragraph" w:styleId="a3">
    <w:name w:val="Balloon Text"/>
    <w:basedOn w:val="a"/>
    <w:link w:val="a4"/>
    <w:uiPriority w:val="99"/>
    <w:semiHidden/>
    <w:unhideWhenUsed/>
    <w:rsid w:val="00A05F6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05F6F"/>
    <w:rPr>
      <w:rFonts w:ascii="Tahoma" w:hAnsi="Tahoma" w:cs="Tahoma"/>
      <w:sz w:val="18"/>
      <w:szCs w:val="18"/>
    </w:rPr>
  </w:style>
  <w:style w:type="paragraph" w:customStyle="1" w:styleId="HeadDivreiHesber">
    <w:name w:val="Head DivreiHesber"/>
    <w:basedOn w:val="a"/>
    <w:rsid w:val="00655749"/>
    <w:pPr>
      <w:widowControl w:val="0"/>
      <w:snapToGrid w:val="0"/>
      <w:spacing w:before="360" w:after="120" w:line="360" w:lineRule="auto"/>
      <w:ind w:left="340"/>
      <w:contextualSpacing/>
      <w:jc w:val="center"/>
      <w:outlineLvl w:val="1"/>
    </w:pPr>
    <w:rPr>
      <w:rFonts w:ascii="Arial" w:eastAsia="Arial Unicode MS" w:hAnsi="Arial" w:cs="David"/>
      <w:b/>
      <w:snapToGrid w:val="0"/>
      <w:spacing w:val="40"/>
      <w:sz w:val="20"/>
      <w:szCs w:val="26"/>
    </w:rPr>
  </w:style>
  <w:style w:type="paragraph" w:styleId="a5">
    <w:name w:val="header"/>
    <w:basedOn w:val="a"/>
    <w:link w:val="a6"/>
    <w:uiPriority w:val="99"/>
    <w:unhideWhenUsed/>
    <w:rsid w:val="00537624"/>
    <w:pPr>
      <w:tabs>
        <w:tab w:val="center" w:pos="4153"/>
        <w:tab w:val="right" w:pos="8306"/>
      </w:tabs>
      <w:spacing w:after="0" w:line="240" w:lineRule="auto"/>
    </w:pPr>
  </w:style>
  <w:style w:type="character" w:customStyle="1" w:styleId="a6">
    <w:name w:val="כותרת עליונה תו"/>
    <w:basedOn w:val="a0"/>
    <w:link w:val="a5"/>
    <w:uiPriority w:val="99"/>
    <w:rsid w:val="00537624"/>
  </w:style>
  <w:style w:type="paragraph" w:styleId="a7">
    <w:name w:val="footer"/>
    <w:basedOn w:val="a"/>
    <w:link w:val="a8"/>
    <w:uiPriority w:val="99"/>
    <w:unhideWhenUsed/>
    <w:rsid w:val="00537624"/>
    <w:pPr>
      <w:tabs>
        <w:tab w:val="center" w:pos="4153"/>
        <w:tab w:val="right" w:pos="8306"/>
      </w:tabs>
      <w:spacing w:after="0" w:line="240" w:lineRule="auto"/>
    </w:pPr>
  </w:style>
  <w:style w:type="character" w:customStyle="1" w:styleId="a8">
    <w:name w:val="כותרת תחתונה תו"/>
    <w:basedOn w:val="a0"/>
    <w:link w:val="a7"/>
    <w:uiPriority w:val="99"/>
    <w:rsid w:val="0053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11E0-0369-49EB-B4CB-621C50DD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1108</Characters>
  <Application>Microsoft Office Word</Application>
  <DocSecurity>0</DocSecurity>
  <Lines>65</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מקח 2031</dc:title>
  <dc:subject/>
  <dc:creator>נעמה מרדכי</dc:creator>
  <cp:keywords/>
  <dc:description>שלב 4 - טיפול בתמונות וקישורים
</dc:description>
  <cp:lastModifiedBy>נעמה מרדכי</cp:lastModifiedBy>
  <cp:revision>2</cp:revision>
  <cp:lastPrinted>2022-04-11T09:37:00Z</cp:lastPrinted>
  <dcterms:created xsi:type="dcterms:W3CDTF">2022-08-30T07:52:00Z</dcterms:created>
  <dcterms:modified xsi:type="dcterms:W3CDTF">2022-08-30T07:52:00Z</dcterms:modified>
  <dc:language>עברית</dc:language>
</cp:coreProperties>
</file>