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0366" w14:textId="77777777" w:rsidR="00DF735F" w:rsidRDefault="00DF735F" w:rsidP="00722C14">
      <w:pPr>
        <w:pStyle w:val="1"/>
        <w:keepNext w:val="0"/>
        <w:keepLines w:val="0"/>
      </w:pPr>
      <w:bookmarkStart w:id="0" w:name="_GoBack"/>
      <w:bookmarkEnd w:id="0"/>
      <w:r>
        <w:rPr>
          <w:rtl/>
        </w:rPr>
        <w:t>טיוטת תקנות</w:t>
      </w:r>
    </w:p>
    <w:p w14:paraId="7D865AB5" w14:textId="77777777" w:rsidR="00DF735F" w:rsidRDefault="00DF735F" w:rsidP="00722C14">
      <w:pPr>
        <w:rPr>
          <w:rtl/>
        </w:rPr>
      </w:pPr>
    </w:p>
    <w:p w14:paraId="2652DF4C" w14:textId="77777777" w:rsidR="00DF735F" w:rsidRDefault="00DF735F" w:rsidP="00F24A78">
      <w:pPr>
        <w:pStyle w:val="4"/>
        <w:rPr>
          <w:rtl/>
        </w:rPr>
      </w:pPr>
      <w:r>
        <w:rPr>
          <w:rFonts w:hint="cs"/>
          <w:rtl/>
        </w:rPr>
        <w:t>שם התקנות המוצעות</w:t>
      </w:r>
    </w:p>
    <w:p w14:paraId="544D1EBB" w14:textId="77777777" w:rsidR="00DF735F" w:rsidRDefault="00DF735F" w:rsidP="00467814">
      <w:r>
        <w:rPr>
          <w:rFonts w:hint="cs"/>
          <w:rtl/>
        </w:rPr>
        <w:t>תקנות ה</w:t>
      </w:r>
      <w:r w:rsidR="00450A77">
        <w:rPr>
          <w:rFonts w:hint="cs"/>
          <w:rtl/>
        </w:rPr>
        <w:t>ח</w:t>
      </w:r>
      <w:r w:rsidR="00467814">
        <w:rPr>
          <w:rFonts w:hint="cs"/>
          <w:rtl/>
        </w:rPr>
        <w:t>ו</w:t>
      </w:r>
      <w:r w:rsidR="00450A77">
        <w:rPr>
          <w:rFonts w:hint="cs"/>
          <w:rtl/>
        </w:rPr>
        <w:t>מרים המסוכנים (</w:t>
      </w:r>
      <w:r w:rsidR="00467814">
        <w:rPr>
          <w:rFonts w:hint="cs"/>
          <w:rtl/>
        </w:rPr>
        <w:t xml:space="preserve">יישום אמנת מינמטה </w:t>
      </w:r>
      <w:r w:rsidR="00450A77">
        <w:rPr>
          <w:rFonts w:hint="cs"/>
          <w:rtl/>
        </w:rPr>
        <w:t>ב</w:t>
      </w:r>
      <w:r w:rsidR="00467814">
        <w:rPr>
          <w:rFonts w:hint="cs"/>
          <w:rtl/>
        </w:rPr>
        <w:t xml:space="preserve">דבר </w:t>
      </w:r>
      <w:r w:rsidR="00450A77">
        <w:rPr>
          <w:rFonts w:hint="cs"/>
          <w:rtl/>
        </w:rPr>
        <w:t>כספית), תשפ"א-2021</w:t>
      </w:r>
    </w:p>
    <w:p w14:paraId="2DA0C7A6" w14:textId="77777777" w:rsidR="00DF735F" w:rsidRPr="00450A77" w:rsidRDefault="00DF735F" w:rsidP="00722C14">
      <w:pPr>
        <w:rPr>
          <w:rtl/>
        </w:rPr>
      </w:pPr>
    </w:p>
    <w:p w14:paraId="0C17EB5F" w14:textId="77777777" w:rsidR="00DF735F" w:rsidRDefault="00DF735F" w:rsidP="00722C14">
      <w:pPr>
        <w:rPr>
          <w:rtl/>
        </w:rPr>
      </w:pPr>
    </w:p>
    <w:p w14:paraId="0CAD5A9B" w14:textId="03646B7E" w:rsidR="00DF735F" w:rsidRDefault="00DF735F" w:rsidP="00F24A78">
      <w:pPr>
        <w:pStyle w:val="4"/>
        <w:rPr>
          <w:rtl/>
        </w:rPr>
      </w:pPr>
      <w:r>
        <w:rPr>
          <w:rFonts w:hint="cs"/>
          <w:rtl/>
        </w:rPr>
        <w:t xml:space="preserve">מטרת התקנות המוצעות והצורך בהן </w:t>
      </w:r>
    </w:p>
    <w:p w14:paraId="092FE6DF" w14:textId="77777777" w:rsidR="00354E17" w:rsidRPr="00E57A6B" w:rsidRDefault="00354E17" w:rsidP="00354E17">
      <w:pPr>
        <w:pStyle w:val="Hesber1st"/>
        <w:tabs>
          <w:tab w:val="clear" w:pos="680"/>
        </w:tabs>
      </w:pPr>
      <w:r w:rsidRPr="00FD511C">
        <w:rPr>
          <w:rtl/>
        </w:rPr>
        <w:t>אמנת מינמטה בדבר כספית</w:t>
      </w:r>
      <w:r>
        <w:rPr>
          <w:rFonts w:hint="cs"/>
          <w:rtl/>
        </w:rPr>
        <w:t xml:space="preserve"> (</w:t>
      </w:r>
      <w:r w:rsidRPr="00E57A6B">
        <w:t xml:space="preserve">Minamata Convention on </w:t>
      </w:r>
      <w:r w:rsidRPr="00AC257B">
        <w:t>Mercury</w:t>
      </w:r>
      <w:r>
        <w:rPr>
          <w:rFonts w:hint="cs"/>
          <w:rtl/>
        </w:rPr>
        <w:t>) משנת 2013</w:t>
      </w:r>
      <w:r w:rsidRPr="00D64B23">
        <w:rPr>
          <w:rtl/>
        </w:rPr>
        <w:t>,</w:t>
      </w:r>
      <w:r>
        <w:rPr>
          <w:rFonts w:hint="cs"/>
          <w:rtl/>
        </w:rPr>
        <w:t xml:space="preserve"> של ארגון האומות המאוחדות (להלן: "האמנה"), היא חלק</w:t>
      </w:r>
      <w:r w:rsidRPr="00E57A6B">
        <w:rPr>
          <w:rtl/>
        </w:rPr>
        <w:t xml:space="preserve"> </w:t>
      </w:r>
      <w:r>
        <w:rPr>
          <w:rFonts w:hint="cs"/>
          <w:rtl/>
        </w:rPr>
        <w:t>מ</w:t>
      </w:r>
      <w:r w:rsidRPr="00E57A6B">
        <w:rPr>
          <w:rtl/>
        </w:rPr>
        <w:t>התכנית הסביבתית של ארגון האומות המאוחדות (</w:t>
      </w:r>
      <w:r w:rsidRPr="00E57A6B">
        <w:t>United Nations Environment Programme</w:t>
      </w:r>
      <w:r>
        <w:t xml:space="preserve"> - UNEP</w:t>
      </w:r>
      <w:r w:rsidRPr="00E57A6B">
        <w:rPr>
          <w:rtl/>
        </w:rPr>
        <w:t xml:space="preserve">). אמנה זו הציבה כמטרה </w:t>
      </w:r>
      <w:r>
        <w:rPr>
          <w:rFonts w:hint="cs"/>
          <w:rtl/>
        </w:rPr>
        <w:t>הגנה</w:t>
      </w:r>
      <w:r w:rsidRPr="00E57A6B">
        <w:rPr>
          <w:rtl/>
        </w:rPr>
        <w:t xml:space="preserve"> על בריאות האדם ועל הסביבה </w:t>
      </w:r>
      <w:r w:rsidRPr="00E57A6B">
        <w:rPr>
          <w:rFonts w:hint="cs"/>
          <w:rtl/>
        </w:rPr>
        <w:t xml:space="preserve">מההשפעות הבריאותיות והסביבתיות המשמעותיות של </w:t>
      </w:r>
      <w:r w:rsidRPr="00E57A6B">
        <w:rPr>
          <w:rtl/>
        </w:rPr>
        <w:t>כספית ותרכובותיה.</w:t>
      </w:r>
      <w:r w:rsidRPr="00E57A6B">
        <w:rPr>
          <w:rFonts w:hint="cs"/>
          <w:rtl/>
        </w:rPr>
        <w:t xml:space="preserve"> </w:t>
      </w:r>
    </w:p>
    <w:p w14:paraId="6E6C89E2" w14:textId="17E60DB5" w:rsidR="00354E17" w:rsidRDefault="00354E17" w:rsidP="00193D2E">
      <w:pPr>
        <w:pStyle w:val="Hesber"/>
        <w:rPr>
          <w:rtl/>
        </w:rPr>
      </w:pPr>
      <w:r w:rsidRPr="0084721A">
        <w:rPr>
          <w:rFonts w:hint="cs"/>
          <w:rtl/>
        </w:rPr>
        <w:t>אמנת מינמטה נכנסה לתוקף ב-16 באוגוסט 2017, 90 יום לאחר ש-50 מדינות הגישו את מסמכי אשרור האמנה</w:t>
      </w:r>
      <w:r>
        <w:rPr>
          <w:rFonts w:hint="cs"/>
          <w:rtl/>
        </w:rPr>
        <w:t xml:space="preserve">. </w:t>
      </w:r>
      <w:r w:rsidRPr="00193D2E">
        <w:rPr>
          <w:rFonts w:hint="cs"/>
          <w:rtl/>
        </w:rPr>
        <w:t>נכון ל</w:t>
      </w:r>
      <w:r w:rsidR="00193D2E" w:rsidRPr="00193D2E">
        <w:rPr>
          <w:rFonts w:hint="cs"/>
          <w:rtl/>
        </w:rPr>
        <w:t>יוני</w:t>
      </w:r>
      <w:r w:rsidRPr="00193D2E">
        <w:rPr>
          <w:rFonts w:hint="cs"/>
          <w:rtl/>
        </w:rPr>
        <w:t xml:space="preserve"> 2021 חברות באמנה 131 מדינות.</w:t>
      </w:r>
    </w:p>
    <w:p w14:paraId="54F29990" w14:textId="77777777" w:rsidR="00354E17" w:rsidRPr="00E57A6B" w:rsidRDefault="00354E17" w:rsidP="00354E17">
      <w:pPr>
        <w:pStyle w:val="Hesber"/>
        <w:rPr>
          <w:rtl/>
        </w:rPr>
      </w:pPr>
      <w:r w:rsidRPr="00E57A6B">
        <w:rPr>
          <w:rFonts w:hint="cs"/>
          <w:rtl/>
        </w:rPr>
        <w:t>האמנה מתייחסת לכל שלבי "מחזור החיים" של הכספית</w:t>
      </w:r>
      <w:r>
        <w:rPr>
          <w:rFonts w:hint="cs"/>
          <w:rtl/>
        </w:rPr>
        <w:t xml:space="preserve"> אשר כוללים - </w:t>
      </w:r>
      <w:r w:rsidRPr="00E57A6B">
        <w:rPr>
          <w:rFonts w:hint="cs"/>
          <w:rtl/>
        </w:rPr>
        <w:t xml:space="preserve">מקורות אספקה </w:t>
      </w:r>
      <w:r w:rsidRPr="00E57A6B">
        <w:rPr>
          <w:rtl/>
        </w:rPr>
        <w:t>–</w:t>
      </w:r>
      <w:r w:rsidRPr="00E57A6B">
        <w:rPr>
          <w:rFonts w:hint="cs"/>
          <w:rtl/>
        </w:rPr>
        <w:t xml:space="preserve"> חציבה, </w:t>
      </w:r>
      <w:r w:rsidRPr="00953B12">
        <w:rPr>
          <w:rFonts w:hint="cs"/>
          <w:rtl/>
        </w:rPr>
        <w:t>מחזור</w:t>
      </w:r>
      <w:r w:rsidRPr="00E57A6B">
        <w:rPr>
          <w:rFonts w:hint="cs"/>
          <w:rtl/>
        </w:rPr>
        <w:t xml:space="preserve"> כספית</w:t>
      </w:r>
      <w:r>
        <w:rPr>
          <w:rFonts w:hint="cs"/>
          <w:rtl/>
        </w:rPr>
        <w:t>;</w:t>
      </w:r>
      <w:r w:rsidRPr="00324663">
        <w:rPr>
          <w:rFonts w:hint="cs"/>
          <w:rtl/>
        </w:rPr>
        <w:t xml:space="preserve"> </w:t>
      </w:r>
      <w:r w:rsidRPr="00E57A6B">
        <w:rPr>
          <w:rFonts w:hint="cs"/>
          <w:rtl/>
        </w:rPr>
        <w:t xml:space="preserve">מסחר </w:t>
      </w:r>
      <w:r w:rsidRPr="00E57A6B">
        <w:rPr>
          <w:rtl/>
        </w:rPr>
        <w:t>–</w:t>
      </w:r>
      <w:r w:rsidRPr="00E57A6B">
        <w:rPr>
          <w:rFonts w:hint="cs"/>
          <w:rtl/>
        </w:rPr>
        <w:t xml:space="preserve"> יבוא ויצוא</w:t>
      </w:r>
      <w:r>
        <w:rPr>
          <w:rFonts w:hint="cs"/>
          <w:rtl/>
        </w:rPr>
        <w:t xml:space="preserve">; </w:t>
      </w:r>
      <w:r w:rsidRPr="00E57A6B">
        <w:rPr>
          <w:rFonts w:hint="cs"/>
          <w:rtl/>
        </w:rPr>
        <w:t xml:space="preserve">שימושים </w:t>
      </w:r>
      <w:r w:rsidRPr="00E57A6B">
        <w:rPr>
          <w:rtl/>
        </w:rPr>
        <w:t>–</w:t>
      </w:r>
      <w:r w:rsidRPr="00E57A6B">
        <w:rPr>
          <w:rFonts w:hint="cs"/>
          <w:rtl/>
        </w:rPr>
        <w:t xml:space="preserve"> תהליכים תעשייתיים, מוצרים מכילי כספית</w:t>
      </w:r>
      <w:r>
        <w:rPr>
          <w:rFonts w:hint="cs"/>
          <w:rtl/>
        </w:rPr>
        <w:t xml:space="preserve">; </w:t>
      </w:r>
      <w:r w:rsidRPr="00E57A6B">
        <w:rPr>
          <w:rFonts w:hint="cs"/>
          <w:rtl/>
        </w:rPr>
        <w:t>פליטות והזרמות לסביבה</w:t>
      </w:r>
      <w:r>
        <w:rPr>
          <w:rFonts w:hint="cs"/>
          <w:rtl/>
        </w:rPr>
        <w:t xml:space="preserve">; </w:t>
      </w:r>
      <w:r w:rsidRPr="00E57A6B">
        <w:rPr>
          <w:rFonts w:hint="cs"/>
          <w:rtl/>
        </w:rPr>
        <w:t>אחסון והובלת כספית ופסולת כספית</w:t>
      </w:r>
      <w:r>
        <w:rPr>
          <w:rFonts w:hint="cs"/>
          <w:rtl/>
        </w:rPr>
        <w:t xml:space="preserve">; </w:t>
      </w:r>
      <w:r w:rsidRPr="00E57A6B">
        <w:rPr>
          <w:rFonts w:hint="cs"/>
          <w:rtl/>
        </w:rPr>
        <w:t xml:space="preserve">היסטוריה </w:t>
      </w:r>
      <w:r w:rsidRPr="00E57A6B">
        <w:rPr>
          <w:rtl/>
        </w:rPr>
        <w:t>–</w:t>
      </w:r>
      <w:r w:rsidRPr="00E57A6B">
        <w:rPr>
          <w:rFonts w:hint="cs"/>
          <w:rtl/>
        </w:rPr>
        <w:t xml:space="preserve"> אתרים מזוהמים בכספית</w:t>
      </w:r>
      <w:r>
        <w:rPr>
          <w:rFonts w:hint="cs"/>
          <w:rtl/>
        </w:rPr>
        <w:t xml:space="preserve">. האמנה כוללת גם </w:t>
      </w:r>
      <w:r w:rsidRPr="00E57A6B">
        <w:rPr>
          <w:rFonts w:hint="cs"/>
          <w:rtl/>
        </w:rPr>
        <w:t xml:space="preserve">היבטים נוספים כגון </w:t>
      </w:r>
      <w:r w:rsidRPr="00E57A6B">
        <w:rPr>
          <w:rtl/>
        </w:rPr>
        <w:t>–</w:t>
      </w:r>
      <w:r w:rsidRPr="00E57A6B">
        <w:rPr>
          <w:rFonts w:hint="cs"/>
          <w:rtl/>
        </w:rPr>
        <w:t xml:space="preserve"> בניית ידע, שיתוף מידע, הגברת מודעות וחינוך, מחקר, ניטור סביבתי ועוד.</w:t>
      </w:r>
    </w:p>
    <w:p w14:paraId="79FA09E4" w14:textId="77777777" w:rsidR="00354E17" w:rsidRPr="0084721A" w:rsidRDefault="00354E17" w:rsidP="00354E17">
      <w:pPr>
        <w:pStyle w:val="Hesber"/>
        <w:rPr>
          <w:rtl/>
        </w:rPr>
      </w:pPr>
      <w:r>
        <w:rPr>
          <w:rFonts w:hint="cs"/>
          <w:rtl/>
        </w:rPr>
        <w:t>לצורך אשרור האמנה בישראל, נערכה עבודה מקצועית מקיפה למיפוי דרישות האמנה אל מול המצב הקיים בישראל. נמצא כי ישראל עומדת ככלל בסטנדרטים שנקבעו באמנה בהתייחס להיבטים רבים, באמצעות כלים רגולטוריים קיימים. יחד עם זאת, נמצא כי קיימים פערים מסוימים, לעניין דרישות האמנה שלא קיימות סמכויות מתאימות להגבלה על עיסוק בכספית ביחס אליהן. מכאן הצורך בהתקנת תקנות המטילות מגבלות על עיסוק בכספית.</w:t>
      </w:r>
    </w:p>
    <w:p w14:paraId="41A149BF" w14:textId="79E30CA3" w:rsidR="00354E17" w:rsidRDefault="00354E17" w:rsidP="00354E17">
      <w:pPr>
        <w:pStyle w:val="Hesber"/>
        <w:rPr>
          <w:rtl/>
        </w:rPr>
      </w:pPr>
      <w:r w:rsidRPr="00324663">
        <w:rPr>
          <w:rtl/>
        </w:rPr>
        <w:t>כספית</w:t>
      </w:r>
      <w:r w:rsidRPr="0084721A">
        <w:rPr>
          <w:rtl/>
        </w:rPr>
        <w:t xml:space="preserve"> הי</w:t>
      </w:r>
      <w:r w:rsidRPr="0084721A">
        <w:rPr>
          <w:rFonts w:hint="cs"/>
          <w:rtl/>
        </w:rPr>
        <w:t>א</w:t>
      </w:r>
      <w:r w:rsidRPr="0084721A">
        <w:rPr>
          <w:rtl/>
        </w:rPr>
        <w:t xml:space="preserve"> מתכת כבדה</w:t>
      </w:r>
      <w:r>
        <w:rPr>
          <w:rFonts w:hint="cs"/>
          <w:rtl/>
        </w:rPr>
        <w:t xml:space="preserve"> ורעילה</w:t>
      </w:r>
      <w:r w:rsidRPr="0084721A">
        <w:rPr>
          <w:rFonts w:hint="cs"/>
          <w:rtl/>
        </w:rPr>
        <w:t xml:space="preserve">. </w:t>
      </w:r>
      <w:r w:rsidRPr="0084721A">
        <w:rPr>
          <w:rtl/>
        </w:rPr>
        <w:t xml:space="preserve">לכספית תכונות </w:t>
      </w:r>
      <w:r w:rsidRPr="0084721A">
        <w:rPr>
          <w:rFonts w:hint="cs"/>
          <w:rtl/>
        </w:rPr>
        <w:t xml:space="preserve">כימיות ופיסיקליות ייחודיות, בהן </w:t>
      </w:r>
      <w:r w:rsidRPr="0084721A">
        <w:rPr>
          <w:rtl/>
        </w:rPr>
        <w:t xml:space="preserve">מוליכות חשמלית טובה ויכולת </w:t>
      </w:r>
      <w:r w:rsidRPr="0084721A">
        <w:rPr>
          <w:rFonts w:hint="cs"/>
          <w:rtl/>
        </w:rPr>
        <w:t>ל</w:t>
      </w:r>
      <w:r w:rsidRPr="0084721A">
        <w:rPr>
          <w:rtl/>
        </w:rPr>
        <w:t>יצירת סגסוגות עם מתכות רבות</w:t>
      </w:r>
      <w:r w:rsidRPr="0084721A">
        <w:rPr>
          <w:rFonts w:hint="cs"/>
          <w:rtl/>
        </w:rPr>
        <w:t>, לרבות מתכות אצילות</w:t>
      </w:r>
      <w:r w:rsidRPr="0084721A">
        <w:rPr>
          <w:rtl/>
        </w:rPr>
        <w:t xml:space="preserve"> (זהב, אלומיניום וכסף). </w:t>
      </w:r>
      <w:r w:rsidRPr="0084721A">
        <w:rPr>
          <w:rFonts w:hint="cs"/>
          <w:rtl/>
        </w:rPr>
        <w:t>עקב תכונותיה הייחודיות, בעבר נעשה שימוש נרחב ב</w:t>
      </w:r>
      <w:r w:rsidRPr="0084721A">
        <w:rPr>
          <w:rtl/>
        </w:rPr>
        <w:t xml:space="preserve">כספית </w:t>
      </w:r>
      <w:r w:rsidRPr="0084721A">
        <w:rPr>
          <w:rFonts w:hint="cs"/>
          <w:rtl/>
        </w:rPr>
        <w:t>כרכיב במגוון מוצרים, כגון:</w:t>
      </w:r>
      <w:r w:rsidRPr="0084721A">
        <w:rPr>
          <w:rFonts w:hint="cs"/>
        </w:rPr>
        <w:t xml:space="preserve"> </w:t>
      </w:r>
      <w:r w:rsidRPr="0084721A">
        <w:rPr>
          <w:rFonts w:hint="cs"/>
          <w:rtl/>
        </w:rPr>
        <w:t xml:space="preserve">ציוד חשמלי ואלקטרוני, מתגים, ציוד מדידה ובקרה (מדי חום וטמפרטורה), </w:t>
      </w:r>
      <w:r w:rsidRPr="0084721A">
        <w:rPr>
          <w:rtl/>
        </w:rPr>
        <w:t xml:space="preserve">סוללות, </w:t>
      </w:r>
      <w:r w:rsidRPr="0084721A">
        <w:rPr>
          <w:rFonts w:hint="cs"/>
          <w:rtl/>
        </w:rPr>
        <w:t>סתימות לשיניים ו</w:t>
      </w:r>
      <w:r w:rsidRPr="0084721A">
        <w:rPr>
          <w:rtl/>
        </w:rPr>
        <w:t>כ</w:t>
      </w:r>
      <w:r w:rsidRPr="0084721A">
        <w:rPr>
          <w:rFonts w:hint="cs"/>
          <w:rtl/>
        </w:rPr>
        <w:t>זרז</w:t>
      </w:r>
      <w:r w:rsidRPr="0084721A">
        <w:rPr>
          <w:rtl/>
        </w:rPr>
        <w:t xml:space="preserve"> בתהליכים כימיים</w:t>
      </w:r>
      <w:r w:rsidRPr="0084721A">
        <w:rPr>
          <w:rFonts w:hint="cs"/>
          <w:rtl/>
        </w:rPr>
        <w:t>. עקב השימוש הנרחב בכספית</w:t>
      </w:r>
      <w:r w:rsidRPr="0084721A">
        <w:rPr>
          <w:rtl/>
        </w:rPr>
        <w:t xml:space="preserve"> </w:t>
      </w:r>
      <w:r w:rsidRPr="0084721A">
        <w:rPr>
          <w:rFonts w:hint="cs"/>
          <w:rtl/>
        </w:rPr>
        <w:t xml:space="preserve">במוצרים ובתעשייה </w:t>
      </w:r>
      <w:r>
        <w:rPr>
          <w:rFonts w:hint="cs"/>
          <w:rtl/>
        </w:rPr>
        <w:t>נגרמה חשיפה ישירה ועקיפה משמעותית לבני אדם ולסביבה לאורך השנים, ו</w:t>
      </w:r>
      <w:r w:rsidRPr="0084721A">
        <w:rPr>
          <w:rtl/>
        </w:rPr>
        <w:t xml:space="preserve">נפלטו </w:t>
      </w:r>
      <w:r w:rsidRPr="0084721A">
        <w:rPr>
          <w:rFonts w:hint="cs"/>
          <w:rtl/>
        </w:rPr>
        <w:t>ב</w:t>
      </w:r>
      <w:r>
        <w:rPr>
          <w:rFonts w:hint="cs"/>
          <w:rtl/>
        </w:rPr>
        <w:t>רחבי ה</w:t>
      </w:r>
      <w:r w:rsidRPr="0084721A">
        <w:rPr>
          <w:rFonts w:hint="cs"/>
          <w:rtl/>
        </w:rPr>
        <w:t xml:space="preserve">עולם </w:t>
      </w:r>
      <w:r w:rsidRPr="0084721A">
        <w:rPr>
          <w:rtl/>
        </w:rPr>
        <w:t>כמויות גדולות של כספית לאוויר, לים ולקרקע</w:t>
      </w:r>
      <w:r>
        <w:rPr>
          <w:rFonts w:hint="cs"/>
          <w:rtl/>
        </w:rPr>
        <w:t>.</w:t>
      </w:r>
    </w:p>
    <w:p w14:paraId="345B94F5" w14:textId="77777777" w:rsidR="00354E17" w:rsidRPr="0084721A" w:rsidRDefault="00354E17" w:rsidP="00354E17">
      <w:pPr>
        <w:pStyle w:val="Hesber"/>
      </w:pPr>
      <w:r w:rsidRPr="0084721A">
        <w:rPr>
          <w:rtl/>
        </w:rPr>
        <w:t xml:space="preserve">כאשר כספית </w:t>
      </w:r>
      <w:r w:rsidRPr="0084721A">
        <w:rPr>
          <w:rFonts w:hint="cs"/>
          <w:rtl/>
        </w:rPr>
        <w:t>נפלטת</w:t>
      </w:r>
      <w:r w:rsidRPr="0084721A">
        <w:rPr>
          <w:rtl/>
        </w:rPr>
        <w:t xml:space="preserve"> או מוזרמת לסביבה,</w:t>
      </w:r>
      <w:r w:rsidRPr="0084721A">
        <w:rPr>
          <w:rFonts w:hint="cs"/>
          <w:rtl/>
        </w:rPr>
        <w:t xml:space="preserve"> היא יכולה </w:t>
      </w:r>
      <w:r w:rsidRPr="0084721A">
        <w:rPr>
          <w:rtl/>
        </w:rPr>
        <w:t>ל</w:t>
      </w:r>
      <w:r w:rsidRPr="0084721A">
        <w:rPr>
          <w:rFonts w:hint="cs"/>
          <w:rtl/>
        </w:rPr>
        <w:t>נוע ל</w:t>
      </w:r>
      <w:r w:rsidRPr="0084721A">
        <w:rPr>
          <w:rtl/>
        </w:rPr>
        <w:t xml:space="preserve">מרחקים </w:t>
      </w:r>
      <w:r w:rsidRPr="0084721A">
        <w:rPr>
          <w:rFonts w:hint="cs"/>
          <w:rtl/>
        </w:rPr>
        <w:t>גדולים</w:t>
      </w:r>
      <w:r w:rsidRPr="0084721A">
        <w:rPr>
          <w:rtl/>
        </w:rPr>
        <w:t xml:space="preserve"> ולהימצא באוויר, במים</w:t>
      </w:r>
      <w:r w:rsidRPr="0084721A">
        <w:rPr>
          <w:rFonts w:hint="cs"/>
          <w:rtl/>
        </w:rPr>
        <w:t xml:space="preserve">, </w:t>
      </w:r>
      <w:r w:rsidRPr="0084721A">
        <w:rPr>
          <w:rtl/>
        </w:rPr>
        <w:t>בקרקע</w:t>
      </w:r>
      <w:r w:rsidRPr="0084721A">
        <w:rPr>
          <w:rFonts w:hint="cs"/>
          <w:rtl/>
        </w:rPr>
        <w:t xml:space="preserve">, </w:t>
      </w:r>
      <w:r w:rsidRPr="0084721A">
        <w:rPr>
          <w:rtl/>
        </w:rPr>
        <w:t>באורגניזמים חיים</w:t>
      </w:r>
      <w:r w:rsidRPr="0084721A">
        <w:rPr>
          <w:rFonts w:hint="cs"/>
          <w:rtl/>
        </w:rPr>
        <w:t xml:space="preserve"> ויכולה</w:t>
      </w:r>
      <w:r w:rsidRPr="0084721A">
        <w:rPr>
          <w:rtl/>
        </w:rPr>
        <w:t xml:space="preserve"> להישאר </w:t>
      </w:r>
      <w:r w:rsidRPr="0084721A">
        <w:rPr>
          <w:rFonts w:hint="cs"/>
          <w:rtl/>
        </w:rPr>
        <w:t>ניידת</w:t>
      </w:r>
      <w:r w:rsidRPr="0084721A">
        <w:rPr>
          <w:rtl/>
        </w:rPr>
        <w:t xml:space="preserve"> </w:t>
      </w:r>
      <w:r w:rsidRPr="0084721A">
        <w:rPr>
          <w:rFonts w:hint="cs"/>
          <w:rtl/>
        </w:rPr>
        <w:t xml:space="preserve">בסביבה </w:t>
      </w:r>
      <w:r w:rsidRPr="0084721A">
        <w:rPr>
          <w:rtl/>
        </w:rPr>
        <w:t>במשך אלפי שנים. כספית המ</w:t>
      </w:r>
      <w:r w:rsidRPr="0084721A">
        <w:rPr>
          <w:rFonts w:hint="cs"/>
          <w:rtl/>
        </w:rPr>
        <w:t>גיעה</w:t>
      </w:r>
      <w:r w:rsidRPr="0084721A">
        <w:rPr>
          <w:rtl/>
        </w:rPr>
        <w:t xml:space="preserve"> לקרקע, </w:t>
      </w:r>
      <w:r w:rsidRPr="0084721A">
        <w:rPr>
          <w:rFonts w:hint="cs"/>
          <w:rtl/>
        </w:rPr>
        <w:t>עוברת לרוב תגובה כימית</w:t>
      </w:r>
      <w:r w:rsidRPr="0084721A">
        <w:rPr>
          <w:rtl/>
        </w:rPr>
        <w:t xml:space="preserve">, בעיקר באמצעות מטבוליזם ע"י חיידקים והופכת למתיל-כספית, </w:t>
      </w:r>
      <w:r w:rsidRPr="0084721A">
        <w:rPr>
          <w:rFonts w:hint="cs"/>
          <w:rtl/>
        </w:rPr>
        <w:t>תרכובת הכספית</w:t>
      </w:r>
      <w:r w:rsidRPr="0084721A">
        <w:rPr>
          <w:rtl/>
        </w:rPr>
        <w:t xml:space="preserve"> המסוכנת ביותר לבריאות האדם והסביבה.</w:t>
      </w:r>
    </w:p>
    <w:p w14:paraId="7943E981" w14:textId="77777777" w:rsidR="00354E17" w:rsidRPr="0084721A" w:rsidRDefault="00354E17" w:rsidP="00354E17">
      <w:pPr>
        <w:pStyle w:val="Hesber"/>
      </w:pPr>
      <w:r w:rsidRPr="0084721A">
        <w:rPr>
          <w:rtl/>
        </w:rPr>
        <w:lastRenderedPageBreak/>
        <w:t>הוועדה הבין משרדית לחומרים מסרטנים מוטגנים וטרטוגנים</w:t>
      </w:r>
      <w:r w:rsidRPr="0084721A">
        <w:rPr>
          <w:rFonts w:hint="cs"/>
          <w:rtl/>
        </w:rPr>
        <w:t xml:space="preserve"> </w:t>
      </w:r>
      <w:r>
        <w:rPr>
          <w:rFonts w:hint="cs"/>
          <w:rtl/>
        </w:rPr>
        <w:t>קבעה, בהתאם לפרסומי הארגון הבינלאומי לחקר הסרטן (</w:t>
      </w:r>
      <w:r w:rsidRPr="00375A30">
        <w:rPr>
          <w:sz w:val="24"/>
          <w:szCs w:val="24"/>
        </w:rPr>
        <w:t>IARC- International Agency for Research on Cancer</w:t>
      </w:r>
      <w:r>
        <w:rPr>
          <w:rFonts w:hint="cs"/>
          <w:rtl/>
        </w:rPr>
        <w:t>)</w:t>
      </w:r>
      <w:r w:rsidRPr="0084721A">
        <w:rPr>
          <w:rFonts w:hint="cs"/>
          <w:rtl/>
        </w:rPr>
        <w:t>:</w:t>
      </w:r>
      <w:r>
        <w:rPr>
          <w:rFonts w:hint="cs"/>
          <w:rtl/>
        </w:rPr>
        <w:t xml:space="preserve"> </w:t>
      </w:r>
      <w:r w:rsidRPr="0084721A">
        <w:rPr>
          <w:rFonts w:hint="cs"/>
          <w:rtl/>
        </w:rPr>
        <w:t>תרכובות</w:t>
      </w:r>
      <w:r w:rsidRPr="0084721A">
        <w:t xml:space="preserve"> </w:t>
      </w:r>
      <w:r w:rsidRPr="0084721A">
        <w:rPr>
          <w:rFonts w:hint="cs"/>
          <w:rtl/>
        </w:rPr>
        <w:t xml:space="preserve">מתיל </w:t>
      </w:r>
      <w:r w:rsidRPr="0084721A">
        <w:rPr>
          <w:rtl/>
        </w:rPr>
        <w:t>כספית –</w:t>
      </w:r>
      <w:r w:rsidRPr="0084721A">
        <w:rPr>
          <w:rFonts w:hint="cs"/>
          <w:rtl/>
        </w:rPr>
        <w:t xml:space="preserve"> "</w:t>
      </w:r>
      <w:r w:rsidRPr="0084721A">
        <w:rPr>
          <w:rtl/>
        </w:rPr>
        <w:t>גורמים המוכרים כמסרטנים אפשריים בבני אדם</w:t>
      </w:r>
      <w:r w:rsidRPr="0084721A">
        <w:rPr>
          <w:rFonts w:hint="cs"/>
          <w:rtl/>
        </w:rPr>
        <w:t>",</w:t>
      </w:r>
      <w:r w:rsidRPr="0084721A">
        <w:rPr>
          <w:rtl/>
        </w:rPr>
        <w:t xml:space="preserve"> </w:t>
      </w:r>
      <w:r w:rsidRPr="0084721A">
        <w:rPr>
          <w:rFonts w:hint="cs"/>
          <w:rtl/>
        </w:rPr>
        <w:t>(</w:t>
      </w:r>
      <w:r w:rsidRPr="0084721A">
        <w:rPr>
          <w:rtl/>
        </w:rPr>
        <w:t>רשימה ג (</w:t>
      </w:r>
      <w:r w:rsidRPr="0084721A">
        <w:t>B2</w:t>
      </w:r>
      <w:r w:rsidRPr="0084721A">
        <w:rPr>
          <w:rtl/>
        </w:rPr>
        <w:t>)</w:t>
      </w:r>
      <w:r w:rsidRPr="0084721A">
        <w:rPr>
          <w:rFonts w:hint="cs"/>
          <w:rtl/>
        </w:rPr>
        <w:t>,</w:t>
      </w:r>
      <w:r w:rsidRPr="0084721A">
        <w:rPr>
          <w:rtl/>
        </w:rPr>
        <w:t xml:space="preserve"> עדכון ינואר 2018)</w:t>
      </w:r>
      <w:r>
        <w:rPr>
          <w:rFonts w:hint="cs"/>
          <w:rtl/>
        </w:rPr>
        <w:t xml:space="preserve">; </w:t>
      </w:r>
      <w:r w:rsidRPr="0084721A">
        <w:rPr>
          <w:rFonts w:hint="cs"/>
          <w:rtl/>
        </w:rPr>
        <w:t>כספית - גורם כימי סביבתי עם פוטנציאל טרטוגני - גרימת מומים מולדים, (</w:t>
      </w:r>
      <w:r w:rsidRPr="0084721A">
        <w:rPr>
          <w:rtl/>
        </w:rPr>
        <w:t>רשימת גורמים הידועים או חשודים כטרטוגנים בבני אדם</w:t>
      </w:r>
      <w:r w:rsidRPr="0084721A">
        <w:rPr>
          <w:rFonts w:hint="cs"/>
          <w:rtl/>
        </w:rPr>
        <w:t>, נובמבר 2017).</w:t>
      </w:r>
    </w:p>
    <w:p w14:paraId="3D61E563" w14:textId="77777777" w:rsidR="00354E17" w:rsidRPr="00D2370B" w:rsidRDefault="00354E17" w:rsidP="00354E17">
      <w:pPr>
        <w:ind w:left="32"/>
        <w:rPr>
          <w:rtl/>
        </w:rPr>
      </w:pPr>
    </w:p>
    <w:p w14:paraId="6FA9D39D" w14:textId="77777777" w:rsidR="00354E17" w:rsidRPr="00003C3D" w:rsidRDefault="00354E17" w:rsidP="00354E17">
      <w:pPr>
        <w:ind w:left="32"/>
        <w:rPr>
          <w:rFonts w:ascii="Tahoma" w:hAnsi="Tahoma"/>
          <w:rtl/>
        </w:rPr>
      </w:pPr>
      <w:r w:rsidRPr="00003C3D">
        <w:rPr>
          <w:rFonts w:ascii="Tahoma" w:hAnsi="Tahoma"/>
          <w:rtl/>
        </w:rPr>
        <w:t xml:space="preserve"> </w:t>
      </w:r>
    </w:p>
    <w:p w14:paraId="61282744" w14:textId="77777777" w:rsidR="00354E17" w:rsidRPr="00953B12" w:rsidRDefault="00354E17" w:rsidP="00354E17">
      <w:pPr>
        <w:pStyle w:val="Hesber1st"/>
        <w:tabs>
          <w:tab w:val="clear" w:pos="680"/>
        </w:tabs>
        <w:rPr>
          <w:b/>
          <w:bCs/>
          <w:rtl/>
        </w:rPr>
      </w:pPr>
      <w:r w:rsidRPr="00953B12">
        <w:rPr>
          <w:rFonts w:hint="cs"/>
          <w:b/>
          <w:bCs/>
          <w:rtl/>
        </w:rPr>
        <w:t xml:space="preserve">הליך </w:t>
      </w:r>
      <w:r w:rsidRPr="00953B12">
        <w:rPr>
          <w:b/>
          <w:bCs/>
        </w:rPr>
        <w:t>RIA</w:t>
      </w:r>
    </w:p>
    <w:p w14:paraId="69782BAD" w14:textId="733734EF" w:rsidR="00354E17" w:rsidRDefault="00354E17" w:rsidP="00320681">
      <w:pPr>
        <w:pStyle w:val="Hesber1st"/>
        <w:tabs>
          <w:tab w:val="clear" w:pos="680"/>
        </w:tabs>
        <w:rPr>
          <w:rtl/>
        </w:rPr>
      </w:pPr>
      <w:r w:rsidRPr="00837A60">
        <w:rPr>
          <w:rFonts w:hint="cs"/>
          <w:rtl/>
        </w:rPr>
        <w:t>טיוטת</w:t>
      </w:r>
      <w:r w:rsidRPr="0027089D">
        <w:rPr>
          <w:rFonts w:hint="cs"/>
          <w:rtl/>
        </w:rPr>
        <w:t xml:space="preserve"> </w:t>
      </w:r>
      <w:r>
        <w:rPr>
          <w:rFonts w:hint="cs"/>
          <w:rtl/>
        </w:rPr>
        <w:t>ה</w:t>
      </w:r>
      <w:r w:rsidRPr="0027089D">
        <w:rPr>
          <w:rFonts w:hint="cs"/>
          <w:rtl/>
        </w:rPr>
        <w:t xml:space="preserve">תקנות </w:t>
      </w:r>
      <w:r>
        <w:rPr>
          <w:rFonts w:hint="cs"/>
          <w:rtl/>
        </w:rPr>
        <w:t>המוצעת</w:t>
      </w:r>
      <w:r w:rsidRPr="0027089D">
        <w:rPr>
          <w:rtl/>
        </w:rPr>
        <w:t xml:space="preserve"> </w:t>
      </w:r>
      <w:r w:rsidRPr="0027089D">
        <w:rPr>
          <w:rFonts w:hint="cs"/>
          <w:rtl/>
        </w:rPr>
        <w:t>אינה</w:t>
      </w:r>
      <w:r w:rsidRPr="0027089D">
        <w:rPr>
          <w:rtl/>
        </w:rPr>
        <w:t xml:space="preserve"> </w:t>
      </w:r>
      <w:r w:rsidRPr="0027089D">
        <w:rPr>
          <w:rFonts w:hint="cs"/>
          <w:rtl/>
        </w:rPr>
        <w:t>מצריכה הליך</w:t>
      </w:r>
      <w:r w:rsidRPr="0027089D">
        <w:rPr>
          <w:rtl/>
        </w:rPr>
        <w:t xml:space="preserve"> </w:t>
      </w:r>
      <w:r w:rsidRPr="0027089D">
        <w:t>RIA</w:t>
      </w:r>
      <w:r w:rsidRPr="0027089D">
        <w:rPr>
          <w:rtl/>
        </w:rPr>
        <w:t xml:space="preserve">, </w:t>
      </w:r>
      <w:r w:rsidRPr="0027089D">
        <w:rPr>
          <w:rFonts w:hint="cs"/>
          <w:rtl/>
        </w:rPr>
        <w:t>שכן</w:t>
      </w:r>
      <w:r w:rsidRPr="0027089D">
        <w:rPr>
          <w:rtl/>
        </w:rPr>
        <w:t xml:space="preserve"> </w:t>
      </w:r>
      <w:r>
        <w:rPr>
          <w:rFonts w:hint="cs"/>
          <w:rtl/>
        </w:rPr>
        <w:t>ההסדרים המוצעים מאמצים את הוראות האמנה אשר ישראל חברה בה, וככלל אין שיקול דעת שמאפשר סטייה מהוראות האמנה. התקנות המוצעות אינן מחמירות על האמנה</w:t>
      </w:r>
      <w:r w:rsidR="00F03C85">
        <w:rPr>
          <w:rFonts w:hint="cs"/>
          <w:rtl/>
        </w:rPr>
        <w:t xml:space="preserve">, ועל כן לא </w:t>
      </w:r>
      <w:r w:rsidR="00320681" w:rsidRPr="00320681">
        <w:rPr>
          <w:rtl/>
        </w:rPr>
        <w:t xml:space="preserve">נדרשת בדיקת חלופות במסגרת </w:t>
      </w:r>
      <w:r w:rsidR="00F03C85">
        <w:rPr>
          <w:rFonts w:hint="cs"/>
          <w:rtl/>
        </w:rPr>
        <w:t xml:space="preserve"> הליך </w:t>
      </w:r>
      <w:r w:rsidR="00F03C85">
        <w:rPr>
          <w:rFonts w:hint="cs"/>
        </w:rPr>
        <w:t>RIA</w:t>
      </w:r>
      <w:r w:rsidR="00F03C85">
        <w:rPr>
          <w:rFonts w:hint="cs"/>
          <w:rtl/>
        </w:rPr>
        <w:t>.</w:t>
      </w:r>
      <w:r>
        <w:rPr>
          <w:rFonts w:hint="cs"/>
          <w:highlight w:val="cyan"/>
          <w:rtl/>
        </w:rPr>
        <w:t xml:space="preserve"> </w:t>
      </w:r>
    </w:p>
    <w:p w14:paraId="71799D89" w14:textId="77777777" w:rsidR="00DF735F" w:rsidRDefault="00DF735F" w:rsidP="00722C14">
      <w:pPr>
        <w:rPr>
          <w:rtl/>
        </w:rPr>
      </w:pPr>
    </w:p>
    <w:p w14:paraId="619D7792" w14:textId="77777777" w:rsidR="00DF735F" w:rsidRDefault="00DF735F" w:rsidP="00722C14">
      <w:pPr>
        <w:rPr>
          <w:rtl/>
        </w:rPr>
      </w:pPr>
    </w:p>
    <w:p w14:paraId="7100FDF8" w14:textId="77777777" w:rsidR="00DF735F" w:rsidRDefault="00DF735F" w:rsidP="00F24A78">
      <w:pPr>
        <w:pStyle w:val="4"/>
      </w:pPr>
      <w:r>
        <w:rPr>
          <w:rFonts w:hint="cs"/>
          <w:rtl/>
        </w:rPr>
        <w:t xml:space="preserve">להלן נוסח טיוטת התקנות המוצעות: </w:t>
      </w:r>
    </w:p>
    <w:p w14:paraId="4E1BFC71" w14:textId="77777777" w:rsidR="00DF735F" w:rsidRDefault="00DF735F" w:rsidP="00722C14">
      <w:pPr>
        <w:bidi w:val="0"/>
      </w:pPr>
      <w:r>
        <w:rPr>
          <w:rtl/>
        </w:rPr>
        <w:br w:type="page"/>
      </w:r>
    </w:p>
    <w:p w14:paraId="22B063E1" w14:textId="77777777" w:rsidR="00DF735F" w:rsidRDefault="00DF735F" w:rsidP="00450A77">
      <w:pPr>
        <w:pStyle w:val="HeadMitparsemetBaze"/>
        <w:keepNext w:val="0"/>
        <w:keepLines w:val="0"/>
        <w:pageBreakBefore w:val="0"/>
        <w:rPr>
          <w:rtl/>
        </w:rPr>
      </w:pPr>
      <w:r>
        <w:rPr>
          <w:rtl/>
        </w:rPr>
        <w:lastRenderedPageBreak/>
        <w:t xml:space="preserve">טיוטת תקנות מטעם </w:t>
      </w:r>
      <w:r w:rsidR="00450A77">
        <w:rPr>
          <w:rFonts w:hint="cs"/>
          <w:rtl/>
        </w:rPr>
        <w:t>ה</w:t>
      </w:r>
      <w:r>
        <w:rPr>
          <w:rtl/>
        </w:rPr>
        <w:t>משרד</w:t>
      </w:r>
      <w:r w:rsidR="00450A77">
        <w:rPr>
          <w:rFonts w:hint="cs"/>
          <w:rtl/>
        </w:rPr>
        <w:t xml:space="preserve"> להגנת הסביבה</w:t>
      </w:r>
      <w:r>
        <w:rPr>
          <w:rtl/>
        </w:rPr>
        <w:t xml:space="preserve">: </w:t>
      </w:r>
    </w:p>
    <w:p w14:paraId="63F466A2" w14:textId="77777777" w:rsidR="00DF735F" w:rsidRDefault="00DF735F" w:rsidP="00467814">
      <w:pPr>
        <w:pStyle w:val="HeadHatzaotHok"/>
        <w:keepNext w:val="0"/>
        <w:keepLines w:val="0"/>
        <w:rPr>
          <w:rtl/>
        </w:rPr>
      </w:pPr>
      <w:r>
        <w:rPr>
          <w:rtl/>
        </w:rPr>
        <w:t xml:space="preserve">טיוטת תקנות </w:t>
      </w:r>
      <w:r w:rsidR="00450A77">
        <w:rPr>
          <w:rFonts w:hint="cs"/>
          <w:rtl/>
        </w:rPr>
        <w:t>הח</w:t>
      </w:r>
      <w:r w:rsidR="00467814">
        <w:rPr>
          <w:rFonts w:hint="cs"/>
          <w:rtl/>
        </w:rPr>
        <w:t>ו</w:t>
      </w:r>
      <w:r w:rsidR="00450A77">
        <w:rPr>
          <w:rFonts w:hint="cs"/>
          <w:rtl/>
        </w:rPr>
        <w:t>מרים המסוכנים (</w:t>
      </w:r>
      <w:r w:rsidR="00467814">
        <w:rPr>
          <w:rFonts w:hint="cs"/>
          <w:rtl/>
        </w:rPr>
        <w:t>יישום אמנת מינמטה</w:t>
      </w:r>
      <w:r w:rsidR="00450A77">
        <w:rPr>
          <w:rFonts w:hint="cs"/>
          <w:rtl/>
        </w:rPr>
        <w:t xml:space="preserve"> ב</w:t>
      </w:r>
      <w:r w:rsidR="00467814">
        <w:rPr>
          <w:rFonts w:hint="cs"/>
          <w:rtl/>
        </w:rPr>
        <w:t xml:space="preserve">דבר </w:t>
      </w:r>
      <w:r w:rsidR="00450A77">
        <w:rPr>
          <w:rFonts w:hint="cs"/>
          <w:rtl/>
        </w:rPr>
        <w:t>כספית), תשפ"א-2021</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DF735F" w14:paraId="1FCE4160" w14:textId="77777777" w:rsidTr="008B5AA9">
        <w:trPr>
          <w:cantSplit/>
          <w:trHeight w:val="60"/>
        </w:trPr>
        <w:tc>
          <w:tcPr>
            <w:tcW w:w="1871" w:type="dxa"/>
          </w:tcPr>
          <w:p w14:paraId="32124206" w14:textId="77777777" w:rsidR="00DF735F" w:rsidRDefault="00DF735F">
            <w:pPr>
              <w:pStyle w:val="TableSideHeading"/>
              <w:rPr>
                <w:rtl/>
              </w:rPr>
            </w:pPr>
          </w:p>
        </w:tc>
        <w:tc>
          <w:tcPr>
            <w:tcW w:w="624" w:type="dxa"/>
          </w:tcPr>
          <w:p w14:paraId="017BAC9C" w14:textId="77777777" w:rsidR="00DF735F" w:rsidRDefault="00DF735F">
            <w:pPr>
              <w:pStyle w:val="TableText"/>
            </w:pPr>
          </w:p>
        </w:tc>
        <w:tc>
          <w:tcPr>
            <w:tcW w:w="7146" w:type="dxa"/>
            <w:gridSpan w:val="3"/>
            <w:hideMark/>
          </w:tcPr>
          <w:p w14:paraId="00999AA4" w14:textId="77777777" w:rsidR="00DF735F" w:rsidRDefault="00DF735F" w:rsidP="00417098">
            <w:pPr>
              <w:pStyle w:val="TableBlock"/>
            </w:pPr>
            <w:r>
              <w:rPr>
                <w:rtl/>
              </w:rPr>
              <w:t>בתוקף סמכותי לפי סעיף</w:t>
            </w:r>
            <w:r w:rsidR="00450A77">
              <w:rPr>
                <w:rFonts w:hint="cs"/>
                <w:rtl/>
              </w:rPr>
              <w:t xml:space="preserve"> 12(1)</w:t>
            </w:r>
            <w:r>
              <w:rPr>
                <w:rtl/>
              </w:rPr>
              <w:t xml:space="preserve"> לחוק</w:t>
            </w:r>
            <w:r w:rsidR="00450A77">
              <w:rPr>
                <w:rFonts w:hint="cs"/>
                <w:rtl/>
              </w:rPr>
              <w:t xml:space="preserve"> הח</w:t>
            </w:r>
            <w:r w:rsidR="00467814">
              <w:rPr>
                <w:rFonts w:hint="cs"/>
                <w:rtl/>
              </w:rPr>
              <w:t>ו</w:t>
            </w:r>
            <w:r w:rsidR="00450A77">
              <w:rPr>
                <w:rFonts w:hint="cs"/>
                <w:rtl/>
              </w:rPr>
              <w:t>מרים המסוכנים, תשנ"ג-1993</w:t>
            </w:r>
            <w:r w:rsidR="00065C7E">
              <w:rPr>
                <w:rStyle w:val="a7"/>
                <w:rtl/>
              </w:rPr>
              <w:footnoteReference w:id="1"/>
            </w:r>
            <w:r w:rsidR="00BA47B9">
              <w:rPr>
                <w:rFonts w:hint="cs"/>
                <w:rtl/>
              </w:rPr>
              <w:t xml:space="preserve"> (להלן </w:t>
            </w:r>
            <w:r w:rsidR="00BA47B9">
              <w:rPr>
                <w:rtl/>
              </w:rPr>
              <w:t>–</w:t>
            </w:r>
            <w:r w:rsidR="00BA47B9">
              <w:rPr>
                <w:rFonts w:hint="cs"/>
                <w:rtl/>
              </w:rPr>
              <w:t xml:space="preserve"> החוק)</w:t>
            </w:r>
            <w:r>
              <w:rPr>
                <w:rtl/>
              </w:rPr>
              <w:t xml:space="preserve">, </w:t>
            </w:r>
            <w:r w:rsidR="00065C7E" w:rsidRPr="00065C7E">
              <w:rPr>
                <w:rtl/>
              </w:rPr>
              <w:t>ו</w:t>
            </w:r>
            <w:r w:rsidR="00450A77" w:rsidRPr="00065C7E">
              <w:rPr>
                <w:rtl/>
              </w:rPr>
              <w:t xml:space="preserve">לאחר התייעצות עם </w:t>
            </w:r>
            <w:r w:rsidR="00450A77" w:rsidRPr="00065C7E">
              <w:rPr>
                <w:rFonts w:hint="cs"/>
                <w:rtl/>
              </w:rPr>
              <w:t>שר</w:t>
            </w:r>
            <w:r w:rsidR="00065C7E" w:rsidRPr="00065C7E">
              <w:rPr>
                <w:rFonts w:hint="cs"/>
                <w:rtl/>
              </w:rPr>
              <w:t xml:space="preserve"> הבריאות, שר הכלכלה ושר העבודה, </w:t>
            </w:r>
            <w:r w:rsidR="00450A77" w:rsidRPr="00065C7E">
              <w:rPr>
                <w:rFonts w:hint="cs"/>
                <w:rtl/>
              </w:rPr>
              <w:t>הרווחה</w:t>
            </w:r>
            <w:r w:rsidR="00065C7E">
              <w:rPr>
                <w:rFonts w:hint="cs"/>
                <w:rtl/>
              </w:rPr>
              <w:t xml:space="preserve"> והשירותים החברתיים</w:t>
            </w:r>
            <w:r>
              <w:rPr>
                <w:rtl/>
              </w:rPr>
              <w:t xml:space="preserve">, </w:t>
            </w:r>
            <w:r w:rsidR="005F25D1" w:rsidRPr="00972221">
              <w:rPr>
                <w:rFonts w:hint="cs"/>
                <w:rtl/>
              </w:rPr>
              <w:t>ובאישור ועדת הפנים והגנת הסביבה של הכנסת, לפי סעיף 2(ב) לחוק העונשין, התשל"ז</w:t>
            </w:r>
            <w:r w:rsidR="005F25D1" w:rsidRPr="00972221">
              <w:rPr>
                <w:rtl/>
              </w:rPr>
              <w:t>–</w:t>
            </w:r>
            <w:r w:rsidR="005F25D1" w:rsidRPr="00972221">
              <w:rPr>
                <w:rFonts w:hint="cs"/>
                <w:rtl/>
              </w:rPr>
              <w:t>1977</w:t>
            </w:r>
            <w:r w:rsidR="005F25D1" w:rsidRPr="00972221">
              <w:rPr>
                <w:rStyle w:val="a7"/>
                <w:rtl/>
              </w:rPr>
              <w:footnoteReference w:id="2"/>
            </w:r>
            <w:r w:rsidR="005F25D1" w:rsidRPr="00972221" w:rsidDel="009D11F8">
              <w:rPr>
                <w:rFonts w:hint="cs"/>
                <w:rtl/>
              </w:rPr>
              <w:t xml:space="preserve"> </w:t>
            </w:r>
            <w:r w:rsidR="005F25D1" w:rsidRPr="00972221">
              <w:rPr>
                <w:rFonts w:hint="cs"/>
                <w:rtl/>
              </w:rPr>
              <w:t xml:space="preserve">(להלן - חוק העונשין), </w:t>
            </w:r>
            <w:r>
              <w:rPr>
                <w:rtl/>
              </w:rPr>
              <w:t>אני מתקין תקנות אלה:</w:t>
            </w:r>
          </w:p>
        </w:tc>
      </w:tr>
      <w:tr w:rsidR="00DF735F" w14:paraId="64F571B6" w14:textId="77777777" w:rsidTr="008B5AA9">
        <w:trPr>
          <w:cantSplit/>
          <w:trHeight w:val="60"/>
        </w:trPr>
        <w:tc>
          <w:tcPr>
            <w:tcW w:w="1871" w:type="dxa"/>
          </w:tcPr>
          <w:p w14:paraId="46AEBCE7" w14:textId="77777777" w:rsidR="00DF735F" w:rsidRDefault="00DF735F">
            <w:pPr>
              <w:pStyle w:val="TableSideHeading"/>
            </w:pPr>
          </w:p>
        </w:tc>
        <w:tc>
          <w:tcPr>
            <w:tcW w:w="624" w:type="dxa"/>
          </w:tcPr>
          <w:p w14:paraId="3891BDE0" w14:textId="77777777" w:rsidR="00DF735F" w:rsidRDefault="00DF735F" w:rsidP="007370CD">
            <w:pPr>
              <w:pStyle w:val="TableText"/>
            </w:pPr>
          </w:p>
        </w:tc>
        <w:tc>
          <w:tcPr>
            <w:tcW w:w="7146" w:type="dxa"/>
            <w:gridSpan w:val="3"/>
          </w:tcPr>
          <w:p w14:paraId="4A2E1556" w14:textId="77777777" w:rsidR="00DF735F" w:rsidRPr="00BA47B9" w:rsidRDefault="00DF735F">
            <w:pPr>
              <w:pStyle w:val="TableHead"/>
            </w:pPr>
          </w:p>
        </w:tc>
      </w:tr>
      <w:tr w:rsidR="00DF735F" w14:paraId="533CFB85" w14:textId="77777777" w:rsidTr="008B5AA9">
        <w:trPr>
          <w:cantSplit/>
          <w:trHeight w:val="60"/>
        </w:trPr>
        <w:tc>
          <w:tcPr>
            <w:tcW w:w="1871" w:type="dxa"/>
          </w:tcPr>
          <w:p w14:paraId="37183B6B" w14:textId="77777777" w:rsidR="00DF735F" w:rsidRDefault="00450A77" w:rsidP="00124101">
            <w:pPr>
              <w:pStyle w:val="TableSideHeading"/>
            </w:pPr>
            <w:r>
              <w:rPr>
                <w:rFonts w:hint="cs"/>
                <w:rtl/>
              </w:rPr>
              <w:t>מטרה</w:t>
            </w:r>
            <w:r w:rsidR="0022373A">
              <w:rPr>
                <w:rFonts w:hint="cs"/>
                <w:rtl/>
              </w:rPr>
              <w:t xml:space="preserve"> </w:t>
            </w:r>
          </w:p>
        </w:tc>
        <w:tc>
          <w:tcPr>
            <w:tcW w:w="624" w:type="dxa"/>
          </w:tcPr>
          <w:p w14:paraId="37AC4BB7" w14:textId="77777777" w:rsidR="00DF735F" w:rsidRDefault="00DF735F" w:rsidP="001C68CA">
            <w:pPr>
              <w:pStyle w:val="TableText"/>
              <w:keepLines w:val="0"/>
              <w:numPr>
                <w:ilvl w:val="0"/>
                <w:numId w:val="2"/>
              </w:numPr>
            </w:pPr>
          </w:p>
        </w:tc>
        <w:tc>
          <w:tcPr>
            <w:tcW w:w="7146" w:type="dxa"/>
            <w:gridSpan w:val="3"/>
          </w:tcPr>
          <w:p w14:paraId="67E18F22" w14:textId="77777777" w:rsidR="002E0A9A" w:rsidRDefault="005015F2" w:rsidP="003E078D">
            <w:pPr>
              <w:pStyle w:val="TableBlock"/>
            </w:pPr>
            <w:r>
              <w:rPr>
                <w:rFonts w:hint="cs"/>
                <w:rtl/>
              </w:rPr>
              <w:t xml:space="preserve">מטרת </w:t>
            </w:r>
            <w:r w:rsidR="00450A77" w:rsidRPr="00450A77">
              <w:rPr>
                <w:rtl/>
              </w:rPr>
              <w:t xml:space="preserve">תקנות </w:t>
            </w:r>
            <w:r w:rsidR="00450A77" w:rsidRPr="005015F2">
              <w:rPr>
                <w:rtl/>
              </w:rPr>
              <w:t xml:space="preserve">אלה </w:t>
            </w:r>
            <w:r w:rsidRPr="005015F2">
              <w:rPr>
                <w:rFonts w:hint="cs"/>
                <w:rtl/>
              </w:rPr>
              <w:t>ליישם את הוראות אמנת מינמטה</w:t>
            </w:r>
            <w:r>
              <w:rPr>
                <w:rFonts w:hint="cs"/>
                <w:rtl/>
              </w:rPr>
              <w:t xml:space="preserve"> בדבר כספית, שישראל צד לה, על ידי הגבלת </w:t>
            </w:r>
            <w:r w:rsidRPr="00D25AD7">
              <w:rPr>
                <w:rFonts w:hint="cs"/>
                <w:rtl/>
              </w:rPr>
              <w:t xml:space="preserve">הייצור, </w:t>
            </w:r>
            <w:r w:rsidR="00D25AD7" w:rsidRPr="00D25AD7">
              <w:rPr>
                <w:rFonts w:hint="cs"/>
                <w:rtl/>
              </w:rPr>
              <w:t>הסחר והשימוש</w:t>
            </w:r>
            <w:r>
              <w:rPr>
                <w:rFonts w:hint="cs"/>
                <w:rtl/>
              </w:rPr>
              <w:t xml:space="preserve"> </w:t>
            </w:r>
            <w:r w:rsidR="00D25AD7">
              <w:rPr>
                <w:rFonts w:hint="cs"/>
                <w:rtl/>
              </w:rPr>
              <w:t>ב</w:t>
            </w:r>
            <w:r>
              <w:rPr>
                <w:rFonts w:hint="cs"/>
                <w:rtl/>
              </w:rPr>
              <w:t xml:space="preserve">כספית, </w:t>
            </w:r>
            <w:r w:rsidR="00D25AD7">
              <w:rPr>
                <w:rFonts w:hint="cs"/>
                <w:rtl/>
              </w:rPr>
              <w:t>ב</w:t>
            </w:r>
            <w:r>
              <w:rPr>
                <w:rFonts w:hint="cs"/>
                <w:rtl/>
              </w:rPr>
              <w:t>תרכובות כספית ו</w:t>
            </w:r>
            <w:r w:rsidR="00D25AD7">
              <w:rPr>
                <w:rFonts w:hint="cs"/>
                <w:rtl/>
              </w:rPr>
              <w:t>ב</w:t>
            </w:r>
            <w:r>
              <w:rPr>
                <w:rFonts w:hint="cs"/>
                <w:rtl/>
              </w:rPr>
              <w:t>מוצרי</w:t>
            </w:r>
            <w:r w:rsidR="00AD64D5">
              <w:rPr>
                <w:rFonts w:hint="cs"/>
                <w:rtl/>
              </w:rPr>
              <w:t>ם המכילים</w:t>
            </w:r>
            <w:r>
              <w:rPr>
                <w:rFonts w:hint="cs"/>
                <w:rtl/>
              </w:rPr>
              <w:t xml:space="preserve"> כספית, ועל מנת </w:t>
            </w:r>
            <w:r w:rsidR="00450A77" w:rsidRPr="00450A77">
              <w:rPr>
                <w:rtl/>
              </w:rPr>
              <w:t xml:space="preserve">להגן על בריאות הציבור והסביבה מפני </w:t>
            </w:r>
            <w:r>
              <w:rPr>
                <w:rFonts w:hint="cs"/>
                <w:rtl/>
              </w:rPr>
              <w:t>נזקי החשיפה לכספית ולמוצרים כאמור.</w:t>
            </w:r>
          </w:p>
        </w:tc>
      </w:tr>
      <w:tr w:rsidR="006B78C2" w14:paraId="231CD6D0" w14:textId="77777777">
        <w:trPr>
          <w:cantSplit/>
          <w:trHeight w:val="60"/>
        </w:trPr>
        <w:tc>
          <w:tcPr>
            <w:tcW w:w="1871" w:type="dxa"/>
          </w:tcPr>
          <w:p w14:paraId="6589F3EE" w14:textId="77777777" w:rsidR="006B78C2" w:rsidRDefault="00CD0A8C" w:rsidP="007E751D">
            <w:pPr>
              <w:pStyle w:val="TableSideHeading"/>
              <w:keepLines w:val="0"/>
            </w:pPr>
            <w:r>
              <w:rPr>
                <w:rFonts w:hint="cs"/>
                <w:rtl/>
              </w:rPr>
              <w:t>הגדרות</w:t>
            </w:r>
          </w:p>
        </w:tc>
        <w:tc>
          <w:tcPr>
            <w:tcW w:w="624" w:type="dxa"/>
          </w:tcPr>
          <w:p w14:paraId="785FF0C3" w14:textId="77777777" w:rsidR="006B78C2" w:rsidRDefault="006B78C2" w:rsidP="001C68CA">
            <w:pPr>
              <w:pStyle w:val="TableText"/>
              <w:keepLines w:val="0"/>
              <w:numPr>
                <w:ilvl w:val="0"/>
                <w:numId w:val="2"/>
              </w:numPr>
            </w:pPr>
          </w:p>
        </w:tc>
        <w:tc>
          <w:tcPr>
            <w:tcW w:w="7146" w:type="dxa"/>
            <w:gridSpan w:val="3"/>
          </w:tcPr>
          <w:p w14:paraId="13A459FC" w14:textId="77777777" w:rsidR="006B78C2" w:rsidRPr="00C34DE2" w:rsidRDefault="00CD0A8C" w:rsidP="001C68CA">
            <w:pPr>
              <w:pStyle w:val="TableBlock"/>
              <w:numPr>
                <w:ilvl w:val="0"/>
                <w:numId w:val="10"/>
              </w:numPr>
              <w:tabs>
                <w:tab w:val="left" w:pos="624"/>
              </w:tabs>
            </w:pPr>
            <w:r>
              <w:rPr>
                <w:rFonts w:hint="cs"/>
                <w:rtl/>
              </w:rPr>
              <w:t>בתקנות אלה -</w:t>
            </w:r>
          </w:p>
        </w:tc>
      </w:tr>
      <w:tr w:rsidR="00BA47B9" w14:paraId="2F266EBC" w14:textId="77777777">
        <w:trPr>
          <w:cantSplit/>
          <w:trHeight w:val="60"/>
        </w:trPr>
        <w:tc>
          <w:tcPr>
            <w:tcW w:w="1871" w:type="dxa"/>
          </w:tcPr>
          <w:p w14:paraId="2469C13B" w14:textId="77777777" w:rsidR="00BA47B9" w:rsidRDefault="00BA47B9" w:rsidP="007E751D">
            <w:pPr>
              <w:pStyle w:val="TableSideHeading"/>
              <w:keepLines w:val="0"/>
              <w:rPr>
                <w:rtl/>
              </w:rPr>
            </w:pPr>
          </w:p>
        </w:tc>
        <w:tc>
          <w:tcPr>
            <w:tcW w:w="624" w:type="dxa"/>
          </w:tcPr>
          <w:p w14:paraId="0826BBD8" w14:textId="77777777" w:rsidR="00BA47B9" w:rsidRDefault="00BA47B9" w:rsidP="005438F8">
            <w:pPr>
              <w:pStyle w:val="TableText"/>
            </w:pPr>
          </w:p>
        </w:tc>
        <w:tc>
          <w:tcPr>
            <w:tcW w:w="7146" w:type="dxa"/>
            <w:gridSpan w:val="3"/>
          </w:tcPr>
          <w:p w14:paraId="510104EA" w14:textId="77777777" w:rsidR="00BA47B9" w:rsidRPr="00BA47B9" w:rsidRDefault="00BA47B9" w:rsidP="008C3431">
            <w:pPr>
              <w:pStyle w:val="TableBlockOutdent"/>
              <w:rPr>
                <w:rtl/>
              </w:rPr>
            </w:pPr>
            <w:r>
              <w:rPr>
                <w:rtl/>
              </w:rPr>
              <w:t>"</w:t>
            </w:r>
            <w:r>
              <w:rPr>
                <w:rFonts w:hint="cs"/>
                <w:rtl/>
              </w:rPr>
              <w:t xml:space="preserve">אחסון </w:t>
            </w:r>
            <w:r w:rsidR="00BD239F">
              <w:rPr>
                <w:rFonts w:hint="cs"/>
                <w:rtl/>
              </w:rPr>
              <w:t xml:space="preserve">ביניים </w:t>
            </w:r>
            <w:r w:rsidR="00C851A6">
              <w:rPr>
                <w:rFonts w:hint="cs"/>
                <w:rtl/>
              </w:rPr>
              <w:t>נאות</w:t>
            </w:r>
            <w:r>
              <w:rPr>
                <w:rFonts w:hint="cs"/>
                <w:rtl/>
              </w:rPr>
              <w:t xml:space="preserve">"- </w:t>
            </w:r>
            <w:r w:rsidR="008C1F0D">
              <w:rPr>
                <w:rFonts w:hint="cs"/>
                <w:rtl/>
              </w:rPr>
              <w:t xml:space="preserve">אחסון העומד </w:t>
            </w:r>
            <w:r w:rsidR="00BD239F">
              <w:rPr>
                <w:rFonts w:hint="cs"/>
                <w:rtl/>
              </w:rPr>
              <w:t>בהנחיות ובדרישות</w:t>
            </w:r>
            <w:r w:rsidR="008C1F0D">
              <w:rPr>
                <w:rFonts w:hint="cs"/>
                <w:rtl/>
              </w:rPr>
              <w:t xml:space="preserve"> </w:t>
            </w:r>
            <w:r w:rsidR="00BD239F">
              <w:rPr>
                <w:rFonts w:hint="cs"/>
                <w:rtl/>
              </w:rPr>
              <w:t>שנקבעו מכוח ה</w:t>
            </w:r>
            <w:r w:rsidR="008C1F0D">
              <w:rPr>
                <w:rFonts w:hint="cs"/>
                <w:rtl/>
              </w:rPr>
              <w:t>אמנה</w:t>
            </w:r>
            <w:r w:rsidR="00974F6F">
              <w:rPr>
                <w:rFonts w:hint="cs"/>
                <w:rtl/>
              </w:rPr>
              <w:t>, על עדכוניהן מעת לעת, כפי שפורסם באתר האינטרנט של המשרד להגנת הסביבה</w:t>
            </w:r>
            <w:r w:rsidR="008C1F0D">
              <w:rPr>
                <w:rFonts w:hint="cs"/>
                <w:rtl/>
              </w:rPr>
              <w:t>;</w:t>
            </w:r>
          </w:p>
        </w:tc>
      </w:tr>
      <w:tr w:rsidR="00753D67" w14:paraId="2BA646F6" w14:textId="77777777">
        <w:trPr>
          <w:cantSplit/>
          <w:trHeight w:val="60"/>
        </w:trPr>
        <w:tc>
          <w:tcPr>
            <w:tcW w:w="1871" w:type="dxa"/>
          </w:tcPr>
          <w:p w14:paraId="7072E116" w14:textId="77777777" w:rsidR="00753D67" w:rsidRPr="008C1F0D" w:rsidRDefault="00753D67" w:rsidP="007E751D">
            <w:pPr>
              <w:pStyle w:val="TableSideHeading"/>
              <w:keepLines w:val="0"/>
              <w:rPr>
                <w:rtl/>
              </w:rPr>
            </w:pPr>
          </w:p>
        </w:tc>
        <w:tc>
          <w:tcPr>
            <w:tcW w:w="624" w:type="dxa"/>
          </w:tcPr>
          <w:p w14:paraId="0231EB14" w14:textId="77777777" w:rsidR="00753D67" w:rsidRDefault="00753D67" w:rsidP="00590D7F">
            <w:pPr>
              <w:pStyle w:val="TableText"/>
            </w:pPr>
          </w:p>
        </w:tc>
        <w:tc>
          <w:tcPr>
            <w:tcW w:w="7146" w:type="dxa"/>
            <w:gridSpan w:val="3"/>
          </w:tcPr>
          <w:p w14:paraId="501408E6" w14:textId="77777777" w:rsidR="00753D67" w:rsidRPr="00753D67" w:rsidRDefault="00753D67" w:rsidP="005015F2">
            <w:pPr>
              <w:pStyle w:val="TableBlockOutdent"/>
              <w:rPr>
                <w:rtl/>
              </w:rPr>
            </w:pPr>
            <w:r>
              <w:rPr>
                <w:rtl/>
              </w:rPr>
              <w:t>"</w:t>
            </w:r>
            <w:r w:rsidR="005015F2">
              <w:rPr>
                <w:rFonts w:hint="cs"/>
                <w:rtl/>
              </w:rPr>
              <w:t>ה</w:t>
            </w:r>
            <w:r>
              <w:rPr>
                <w:rFonts w:hint="cs"/>
                <w:rtl/>
              </w:rPr>
              <w:t>אמנה"</w:t>
            </w:r>
            <w:r w:rsidR="00FD511C">
              <w:rPr>
                <w:rFonts w:hint="cs"/>
                <w:rtl/>
              </w:rPr>
              <w:t xml:space="preserve"> </w:t>
            </w:r>
            <w:r>
              <w:rPr>
                <w:rFonts w:hint="cs"/>
                <w:rtl/>
              </w:rPr>
              <w:t xml:space="preserve">- </w:t>
            </w:r>
            <w:r w:rsidR="002E0A9A" w:rsidRPr="00FD511C">
              <w:rPr>
                <w:rtl/>
              </w:rPr>
              <w:t>אמנת מינמטה בדבר כספית</w:t>
            </w:r>
            <w:r w:rsidR="002E0A9A">
              <w:rPr>
                <w:rFonts w:hint="cs"/>
                <w:rtl/>
              </w:rPr>
              <w:t xml:space="preserve"> (</w:t>
            </w:r>
            <w:r w:rsidR="002E0A9A" w:rsidRPr="005015F2">
              <w:rPr>
                <w:rFonts w:ascii="Times New Roman" w:hAnsi="Times New Roman" w:cs="Times New Roman"/>
                <w:sz w:val="22"/>
                <w:szCs w:val="22"/>
              </w:rPr>
              <w:t>Minamata Convention on Mercury</w:t>
            </w:r>
            <w:r w:rsidR="002E0A9A">
              <w:rPr>
                <w:rFonts w:hint="cs"/>
                <w:rtl/>
              </w:rPr>
              <w:t>)</w:t>
            </w:r>
            <w:r w:rsidR="005015F2">
              <w:rPr>
                <w:rFonts w:hint="cs"/>
                <w:rtl/>
              </w:rPr>
              <w:t>, משנת 2013</w:t>
            </w:r>
            <w:r w:rsidR="00D64B23" w:rsidRPr="00D64B23">
              <w:rPr>
                <w:rtl/>
              </w:rPr>
              <w:t>,</w:t>
            </w:r>
            <w:r w:rsidR="005015F2">
              <w:rPr>
                <w:rFonts w:hint="cs"/>
                <w:rtl/>
              </w:rPr>
              <w:t xml:space="preserve"> של ארגון האומות המאוחדות</w:t>
            </w:r>
            <w:r w:rsidR="00D64B23">
              <w:rPr>
                <w:rFonts w:hint="cs"/>
                <w:rtl/>
              </w:rPr>
              <w:t>;</w:t>
            </w:r>
          </w:p>
        </w:tc>
      </w:tr>
      <w:tr w:rsidR="00C838F3" w14:paraId="1F7D4132" w14:textId="77777777">
        <w:trPr>
          <w:cantSplit/>
          <w:trHeight w:val="60"/>
        </w:trPr>
        <w:tc>
          <w:tcPr>
            <w:tcW w:w="1871" w:type="dxa"/>
          </w:tcPr>
          <w:p w14:paraId="24FD08F6" w14:textId="77777777" w:rsidR="00C838F3" w:rsidRPr="008C1F0D" w:rsidRDefault="00C838F3" w:rsidP="007E751D">
            <w:pPr>
              <w:pStyle w:val="TableSideHeading"/>
              <w:keepLines w:val="0"/>
              <w:rPr>
                <w:rtl/>
              </w:rPr>
            </w:pPr>
          </w:p>
        </w:tc>
        <w:tc>
          <w:tcPr>
            <w:tcW w:w="624" w:type="dxa"/>
          </w:tcPr>
          <w:p w14:paraId="1A4D84AF" w14:textId="77777777" w:rsidR="00C838F3" w:rsidRDefault="00C838F3" w:rsidP="00590D7F">
            <w:pPr>
              <w:pStyle w:val="TableText"/>
            </w:pPr>
          </w:p>
        </w:tc>
        <w:tc>
          <w:tcPr>
            <w:tcW w:w="7146" w:type="dxa"/>
            <w:gridSpan w:val="3"/>
          </w:tcPr>
          <w:p w14:paraId="2AE7F3B5" w14:textId="77777777" w:rsidR="00C838F3" w:rsidRPr="00C838F3" w:rsidRDefault="00C838F3" w:rsidP="00C838F3">
            <w:pPr>
              <w:pStyle w:val="TableBlockOutdent"/>
              <w:rPr>
                <w:rtl/>
              </w:rPr>
            </w:pPr>
            <w:r>
              <w:rPr>
                <w:rtl/>
              </w:rPr>
              <w:t>"</w:t>
            </w:r>
            <w:r>
              <w:rPr>
                <w:rFonts w:hint="cs"/>
                <w:rtl/>
              </w:rPr>
              <w:t xml:space="preserve">היתר פליטה" </w:t>
            </w:r>
            <w:r>
              <w:rPr>
                <w:rtl/>
              </w:rPr>
              <w:t>–</w:t>
            </w:r>
            <w:r>
              <w:rPr>
                <w:rFonts w:hint="cs"/>
                <w:rtl/>
              </w:rPr>
              <w:t xml:space="preserve"> היתר כהגדרתו בחוק אוויר נקי, התשס"ח-2008</w:t>
            </w:r>
            <w:r>
              <w:rPr>
                <w:rStyle w:val="a7"/>
                <w:rtl/>
              </w:rPr>
              <w:footnoteReference w:id="3"/>
            </w:r>
            <w:r>
              <w:rPr>
                <w:rFonts w:hint="cs"/>
                <w:rtl/>
              </w:rPr>
              <w:t>;</w:t>
            </w:r>
          </w:p>
        </w:tc>
      </w:tr>
      <w:tr w:rsidR="00EA70A8" w14:paraId="0E99EDBF" w14:textId="77777777">
        <w:trPr>
          <w:cantSplit/>
          <w:trHeight w:val="60"/>
        </w:trPr>
        <w:tc>
          <w:tcPr>
            <w:tcW w:w="1871" w:type="dxa"/>
          </w:tcPr>
          <w:p w14:paraId="233AD7DC" w14:textId="77777777" w:rsidR="00EA70A8" w:rsidRPr="008C1F0D" w:rsidRDefault="00EA70A8" w:rsidP="007E751D">
            <w:pPr>
              <w:pStyle w:val="TableSideHeading"/>
              <w:keepLines w:val="0"/>
              <w:rPr>
                <w:rtl/>
              </w:rPr>
            </w:pPr>
          </w:p>
        </w:tc>
        <w:tc>
          <w:tcPr>
            <w:tcW w:w="624" w:type="dxa"/>
          </w:tcPr>
          <w:p w14:paraId="2377CB58" w14:textId="77777777" w:rsidR="00EA70A8" w:rsidRDefault="00EA70A8" w:rsidP="00590D7F">
            <w:pPr>
              <w:pStyle w:val="TableText"/>
            </w:pPr>
          </w:p>
        </w:tc>
        <w:tc>
          <w:tcPr>
            <w:tcW w:w="7146" w:type="dxa"/>
            <w:gridSpan w:val="3"/>
          </w:tcPr>
          <w:p w14:paraId="45C0C031" w14:textId="77777777" w:rsidR="00EA70A8" w:rsidRPr="00EA70A8" w:rsidRDefault="00EA70A8" w:rsidP="00EA70A8">
            <w:pPr>
              <w:pStyle w:val="TableBlockOutdent"/>
              <w:rPr>
                <w:rtl/>
              </w:rPr>
            </w:pPr>
            <w:r>
              <w:rPr>
                <w:rtl/>
              </w:rPr>
              <w:t>"</w:t>
            </w:r>
            <w:r>
              <w:rPr>
                <w:rFonts w:hint="cs"/>
                <w:rtl/>
              </w:rPr>
              <w:t xml:space="preserve">היתר רעלים" </w:t>
            </w:r>
            <w:r>
              <w:rPr>
                <w:rtl/>
              </w:rPr>
              <w:t>–</w:t>
            </w:r>
            <w:r>
              <w:rPr>
                <w:rFonts w:hint="cs"/>
                <w:rtl/>
              </w:rPr>
              <w:t xml:space="preserve"> כמשמעותו בחוק;</w:t>
            </w:r>
          </w:p>
        </w:tc>
      </w:tr>
      <w:tr w:rsidR="001523F4" w14:paraId="40204B45" w14:textId="77777777">
        <w:trPr>
          <w:cantSplit/>
          <w:trHeight w:val="60"/>
        </w:trPr>
        <w:tc>
          <w:tcPr>
            <w:tcW w:w="1871" w:type="dxa"/>
          </w:tcPr>
          <w:p w14:paraId="04B8F4CC" w14:textId="0EBC1B64" w:rsidR="001523F4" w:rsidRPr="008C1F0D" w:rsidRDefault="001523F4" w:rsidP="007E751D">
            <w:pPr>
              <w:pStyle w:val="TableSideHeading"/>
              <w:keepLines w:val="0"/>
              <w:rPr>
                <w:rtl/>
              </w:rPr>
            </w:pPr>
          </w:p>
        </w:tc>
        <w:tc>
          <w:tcPr>
            <w:tcW w:w="624" w:type="dxa"/>
          </w:tcPr>
          <w:p w14:paraId="4693E2FE" w14:textId="77777777" w:rsidR="001523F4" w:rsidRDefault="001523F4" w:rsidP="00590D7F">
            <w:pPr>
              <w:pStyle w:val="TableText"/>
            </w:pPr>
          </w:p>
        </w:tc>
        <w:tc>
          <w:tcPr>
            <w:tcW w:w="7146" w:type="dxa"/>
            <w:gridSpan w:val="3"/>
          </w:tcPr>
          <w:p w14:paraId="3277FC8C" w14:textId="51DAAA4D" w:rsidR="001523F4" w:rsidRPr="001523F4" w:rsidRDefault="001523F4" w:rsidP="001523F4">
            <w:pPr>
              <w:pStyle w:val="TableBlockOutdent"/>
              <w:rPr>
                <w:rtl/>
              </w:rPr>
            </w:pPr>
            <w:r>
              <w:rPr>
                <w:rtl/>
              </w:rPr>
              <w:t>"</w:t>
            </w:r>
            <w:r>
              <w:rPr>
                <w:rFonts w:hint="cs"/>
                <w:rtl/>
              </w:rPr>
              <w:t xml:space="preserve">חלק 1 לנספח א' של האמנה" </w:t>
            </w:r>
            <w:r>
              <w:rPr>
                <w:rtl/>
              </w:rPr>
              <w:t>–</w:t>
            </w:r>
            <w:r>
              <w:rPr>
                <w:rFonts w:hint="cs"/>
                <w:rtl/>
              </w:rPr>
              <w:t xml:space="preserve"> חלק </w:t>
            </w:r>
            <w:r w:rsidRPr="00B20A48">
              <w:t>I</w:t>
            </w:r>
            <w:r>
              <w:rPr>
                <w:rFonts w:hint="cs"/>
                <w:rtl/>
              </w:rPr>
              <w:t xml:space="preserve"> לנספח </w:t>
            </w:r>
            <w:r>
              <w:rPr>
                <w:rFonts w:hint="cs"/>
              </w:rPr>
              <w:t>A</w:t>
            </w:r>
            <w:r>
              <w:rPr>
                <w:rFonts w:hint="cs"/>
                <w:rtl/>
              </w:rPr>
              <w:t xml:space="preserve"> לאמנה, שעניינו מוצרים מכילי כספית </w:t>
            </w:r>
            <w:r w:rsidRPr="00C921BE">
              <w:rPr>
                <w:rFonts w:hint="cs"/>
                <w:rtl/>
              </w:rPr>
              <w:t>(</w:t>
            </w:r>
            <w:r w:rsidRPr="00B20A48">
              <w:t>Mercury-added products</w:t>
            </w:r>
            <w:r w:rsidRPr="00B20A48">
              <w:rPr>
                <w:rFonts w:ascii="David" w:hAnsi="David" w:hint="cs"/>
                <w:sz w:val="24"/>
                <w:szCs w:val="24"/>
                <w:rtl/>
              </w:rPr>
              <w:t>)</w:t>
            </w:r>
            <w:r w:rsidRPr="00B20A48">
              <w:rPr>
                <w:rFonts w:ascii="David" w:hAnsi="David" w:hint="cs"/>
                <w:sz w:val="18"/>
                <w:szCs w:val="18"/>
                <w:rtl/>
              </w:rPr>
              <w:t xml:space="preserve"> </w:t>
            </w:r>
            <w:r w:rsidRPr="00C921BE">
              <w:rPr>
                <w:rFonts w:hint="cs"/>
                <w:rtl/>
              </w:rPr>
              <w:t>על עדכוניו מעת לעת, כפי שפורסם באתר ה</w:t>
            </w:r>
            <w:r>
              <w:rPr>
                <w:rFonts w:hint="cs"/>
                <w:rtl/>
              </w:rPr>
              <w:t>אינטרנט של המשרד להגנת הסביבה;</w:t>
            </w:r>
          </w:p>
        </w:tc>
      </w:tr>
      <w:tr w:rsidR="001F1A6A" w14:paraId="0A0FD267" w14:textId="77777777">
        <w:trPr>
          <w:cantSplit/>
          <w:trHeight w:val="60"/>
        </w:trPr>
        <w:tc>
          <w:tcPr>
            <w:tcW w:w="1871" w:type="dxa"/>
          </w:tcPr>
          <w:p w14:paraId="424278FA" w14:textId="77777777" w:rsidR="001F1A6A" w:rsidRPr="008C1F0D" w:rsidRDefault="001F1A6A" w:rsidP="007E751D">
            <w:pPr>
              <w:pStyle w:val="TableSideHeading"/>
              <w:keepLines w:val="0"/>
              <w:rPr>
                <w:rtl/>
              </w:rPr>
            </w:pPr>
          </w:p>
        </w:tc>
        <w:tc>
          <w:tcPr>
            <w:tcW w:w="624" w:type="dxa"/>
          </w:tcPr>
          <w:p w14:paraId="0B27D854" w14:textId="77777777" w:rsidR="001F1A6A" w:rsidRDefault="001F1A6A" w:rsidP="00590D7F">
            <w:pPr>
              <w:pStyle w:val="TableText"/>
            </w:pPr>
          </w:p>
        </w:tc>
        <w:tc>
          <w:tcPr>
            <w:tcW w:w="7146" w:type="dxa"/>
            <w:gridSpan w:val="3"/>
          </w:tcPr>
          <w:p w14:paraId="12A2C943" w14:textId="77777777" w:rsidR="001F1A6A" w:rsidRPr="001F1A6A" w:rsidRDefault="001F1A6A" w:rsidP="001F1A6A">
            <w:pPr>
              <w:pStyle w:val="TableBlockOutdent"/>
              <w:rPr>
                <w:rtl/>
              </w:rPr>
            </w:pPr>
            <w:r>
              <w:rPr>
                <w:rtl/>
              </w:rPr>
              <w:t>"</w:t>
            </w:r>
            <w:r>
              <w:rPr>
                <w:rFonts w:hint="cs"/>
                <w:rtl/>
              </w:rPr>
              <w:t xml:space="preserve">יום התחילה" </w:t>
            </w:r>
            <w:r>
              <w:rPr>
                <w:rtl/>
              </w:rPr>
              <w:t>–</w:t>
            </w:r>
            <w:r>
              <w:rPr>
                <w:rFonts w:hint="cs"/>
                <w:rtl/>
              </w:rPr>
              <w:t xml:space="preserve"> יום פרסומן של תקנות אלה;</w:t>
            </w:r>
          </w:p>
        </w:tc>
      </w:tr>
      <w:tr w:rsidR="00CD0A8C" w14:paraId="6BE36F13" w14:textId="77777777">
        <w:trPr>
          <w:cantSplit/>
          <w:trHeight w:val="60"/>
        </w:trPr>
        <w:tc>
          <w:tcPr>
            <w:tcW w:w="1871" w:type="dxa"/>
          </w:tcPr>
          <w:p w14:paraId="1C0782B3" w14:textId="77777777" w:rsidR="00CD0A8C" w:rsidRDefault="00CD0A8C" w:rsidP="008C1F0D">
            <w:pPr>
              <w:pStyle w:val="TableSideHeading"/>
              <w:keepLines w:val="0"/>
              <w:rPr>
                <w:rtl/>
              </w:rPr>
            </w:pPr>
          </w:p>
        </w:tc>
        <w:tc>
          <w:tcPr>
            <w:tcW w:w="624" w:type="dxa"/>
          </w:tcPr>
          <w:p w14:paraId="672DD93A" w14:textId="77777777" w:rsidR="00CD0A8C" w:rsidRDefault="00CD0A8C" w:rsidP="00590D7F">
            <w:pPr>
              <w:pStyle w:val="TableText"/>
            </w:pPr>
          </w:p>
        </w:tc>
        <w:tc>
          <w:tcPr>
            <w:tcW w:w="7146" w:type="dxa"/>
            <w:gridSpan w:val="3"/>
          </w:tcPr>
          <w:p w14:paraId="64F37BDB" w14:textId="77777777" w:rsidR="00CD0A8C" w:rsidRPr="00CD0A8C" w:rsidRDefault="00CD0A8C" w:rsidP="00467814">
            <w:pPr>
              <w:pStyle w:val="TableBlockOutdent"/>
              <w:rPr>
                <w:rtl/>
              </w:rPr>
            </w:pPr>
            <w:r>
              <w:rPr>
                <w:rtl/>
              </w:rPr>
              <w:t>"</w:t>
            </w:r>
            <w:r w:rsidR="00302518">
              <w:rPr>
                <w:rFonts w:hint="cs"/>
                <w:rtl/>
              </w:rPr>
              <w:t xml:space="preserve">כספית" - היסוד </w:t>
            </w:r>
            <w:r w:rsidR="00302518" w:rsidRPr="00302518">
              <w:rPr>
                <w:rtl/>
              </w:rPr>
              <w:t xml:space="preserve">כספית </w:t>
            </w:r>
            <w:r w:rsidR="00302518" w:rsidRPr="00467814">
              <w:t>Hg(0)</w:t>
            </w:r>
            <w:r w:rsidR="001834C7" w:rsidRPr="00467814">
              <w:rPr>
                <w:rFonts w:hint="cs"/>
                <w:rtl/>
              </w:rPr>
              <w:t xml:space="preserve"> </w:t>
            </w:r>
            <w:r w:rsidR="00467814" w:rsidRPr="00467814">
              <w:rPr>
                <w:rFonts w:hint="cs"/>
                <w:rtl/>
              </w:rPr>
              <w:t xml:space="preserve">בעל </w:t>
            </w:r>
            <w:r w:rsidR="001834C7" w:rsidRPr="00467814">
              <w:rPr>
                <w:rFonts w:hint="cs"/>
                <w:rtl/>
              </w:rPr>
              <w:t>מספר</w:t>
            </w:r>
            <w:r w:rsidR="00467814" w:rsidRPr="00467814">
              <w:rPr>
                <w:rFonts w:hint="cs"/>
                <w:rtl/>
              </w:rPr>
              <w:t xml:space="preserve"> 7439</w:t>
            </w:r>
            <w:r w:rsidR="001834C7" w:rsidRPr="00467814">
              <w:rPr>
                <w:rFonts w:hint="cs"/>
                <w:rtl/>
              </w:rPr>
              <w:t xml:space="preserve">-97-6 </w:t>
            </w:r>
            <w:r w:rsidR="008C1F0D" w:rsidRPr="00467814">
              <w:rPr>
                <w:rFonts w:ascii="Times New Roman" w:hAnsi="Times New Roman" w:cs="Times New Roman"/>
                <w:sz w:val="22"/>
                <w:szCs w:val="22"/>
              </w:rPr>
              <w:t>CAS</w:t>
            </w:r>
            <w:r w:rsidR="008C1F0D" w:rsidRPr="00467814">
              <w:rPr>
                <w:rFonts w:hint="cs"/>
                <w:rtl/>
              </w:rPr>
              <w:t xml:space="preserve"> </w:t>
            </w:r>
            <w:r w:rsidR="00467814" w:rsidRPr="00467814">
              <w:rPr>
                <w:rFonts w:hint="cs"/>
                <w:rtl/>
              </w:rPr>
              <w:t>של האגודה האמריקאית לכימיה (</w:t>
            </w:r>
            <w:r w:rsidR="00467814" w:rsidRPr="00467814">
              <w:t>American Chemical Society</w:t>
            </w:r>
            <w:r w:rsidR="00467814" w:rsidRPr="00467814">
              <w:rPr>
                <w:rFonts w:hint="cs"/>
                <w:rtl/>
              </w:rPr>
              <w:t>);</w:t>
            </w:r>
            <w:r w:rsidR="008C1F0D" w:rsidRPr="00467814">
              <w:rPr>
                <w:rFonts w:hint="cs"/>
                <w:rtl/>
              </w:rPr>
              <w:t xml:space="preserve"> </w:t>
            </w:r>
          </w:p>
        </w:tc>
      </w:tr>
      <w:tr w:rsidR="001D3797" w14:paraId="40052B99" w14:textId="77777777">
        <w:trPr>
          <w:cantSplit/>
          <w:trHeight w:val="60"/>
        </w:trPr>
        <w:tc>
          <w:tcPr>
            <w:tcW w:w="1871" w:type="dxa"/>
          </w:tcPr>
          <w:p w14:paraId="0F292909" w14:textId="77777777" w:rsidR="001D3797" w:rsidRDefault="001D3797" w:rsidP="007E751D">
            <w:pPr>
              <w:pStyle w:val="TableSideHeading"/>
              <w:keepLines w:val="0"/>
              <w:rPr>
                <w:rtl/>
              </w:rPr>
            </w:pPr>
          </w:p>
        </w:tc>
        <w:tc>
          <w:tcPr>
            <w:tcW w:w="624" w:type="dxa"/>
          </w:tcPr>
          <w:p w14:paraId="3917FEEF" w14:textId="77777777" w:rsidR="001D3797" w:rsidRDefault="001D3797" w:rsidP="00CD0A8C">
            <w:pPr>
              <w:pStyle w:val="TableText"/>
            </w:pPr>
          </w:p>
        </w:tc>
        <w:tc>
          <w:tcPr>
            <w:tcW w:w="7146" w:type="dxa"/>
            <w:gridSpan w:val="3"/>
          </w:tcPr>
          <w:p w14:paraId="689BE74C" w14:textId="77777777" w:rsidR="001D3797" w:rsidRPr="001D3797" w:rsidRDefault="001D3797" w:rsidP="009121E5">
            <w:pPr>
              <w:pStyle w:val="TableBlockOutdent"/>
              <w:rPr>
                <w:rtl/>
              </w:rPr>
            </w:pPr>
            <w:r>
              <w:rPr>
                <w:rtl/>
              </w:rPr>
              <w:t>"</w:t>
            </w:r>
            <w:r w:rsidR="001834C7">
              <w:rPr>
                <w:rFonts w:hint="cs"/>
                <w:rtl/>
              </w:rPr>
              <w:t>כרייה</w:t>
            </w:r>
            <w:r>
              <w:rPr>
                <w:rFonts w:hint="cs"/>
                <w:rtl/>
              </w:rPr>
              <w:t xml:space="preserve">" </w:t>
            </w:r>
            <w:r w:rsidR="00C27864">
              <w:rPr>
                <w:rtl/>
              </w:rPr>
              <w:t>–</w:t>
            </w:r>
            <w:r>
              <w:rPr>
                <w:rFonts w:hint="cs"/>
                <w:rtl/>
              </w:rPr>
              <w:t xml:space="preserve"> </w:t>
            </w:r>
            <w:r w:rsidR="001834C7">
              <w:rPr>
                <w:rFonts w:hint="cs"/>
                <w:rtl/>
              </w:rPr>
              <w:t xml:space="preserve">פעולת </w:t>
            </w:r>
            <w:r w:rsidRPr="001D3797">
              <w:rPr>
                <w:rtl/>
              </w:rPr>
              <w:t>כרייה</w:t>
            </w:r>
            <w:r w:rsidR="00C27864">
              <w:rPr>
                <w:rFonts w:hint="cs"/>
                <w:rtl/>
              </w:rPr>
              <w:t xml:space="preserve"> או חציבה</w:t>
            </w:r>
            <w:r w:rsidR="009121E5">
              <w:rPr>
                <w:rFonts w:hint="cs"/>
                <w:rtl/>
              </w:rPr>
              <w:t>, כמשמעותן בפקודת המכרות</w:t>
            </w:r>
            <w:r w:rsidR="009121E5">
              <w:rPr>
                <w:rStyle w:val="a7"/>
                <w:rtl/>
              </w:rPr>
              <w:footnoteReference w:id="4"/>
            </w:r>
            <w:r w:rsidR="009121E5">
              <w:rPr>
                <w:rFonts w:hint="cs"/>
                <w:rtl/>
              </w:rPr>
              <w:t>,</w:t>
            </w:r>
            <w:r w:rsidRPr="001D3797">
              <w:rPr>
                <w:rtl/>
              </w:rPr>
              <w:t xml:space="preserve"> </w:t>
            </w:r>
            <w:r w:rsidR="00552E8F">
              <w:rPr>
                <w:rFonts w:hint="cs"/>
                <w:rtl/>
              </w:rPr>
              <w:t>ש</w:t>
            </w:r>
            <w:r w:rsidR="009121E5">
              <w:rPr>
                <w:rFonts w:hint="cs"/>
                <w:rtl/>
              </w:rPr>
              <w:t>תכלית</w:t>
            </w:r>
            <w:r w:rsidR="001834C7">
              <w:rPr>
                <w:rFonts w:hint="cs"/>
                <w:rtl/>
              </w:rPr>
              <w:t xml:space="preserve">ה </w:t>
            </w:r>
            <w:r w:rsidR="00552E8F">
              <w:rPr>
                <w:rFonts w:hint="cs"/>
                <w:rtl/>
              </w:rPr>
              <w:t>ה</w:t>
            </w:r>
            <w:r w:rsidR="001834C7">
              <w:rPr>
                <w:rFonts w:hint="cs"/>
                <w:rtl/>
              </w:rPr>
              <w:t xml:space="preserve">עיקרית </w:t>
            </w:r>
            <w:r w:rsidR="00552E8F">
              <w:rPr>
                <w:rFonts w:hint="cs"/>
                <w:rtl/>
              </w:rPr>
              <w:t>היא</w:t>
            </w:r>
            <w:r w:rsidR="001834C7">
              <w:rPr>
                <w:rFonts w:hint="cs"/>
                <w:rtl/>
              </w:rPr>
              <w:t xml:space="preserve"> הפקת </w:t>
            </w:r>
            <w:r w:rsidRPr="001D3797">
              <w:rPr>
                <w:rtl/>
              </w:rPr>
              <w:t>כספית</w:t>
            </w:r>
            <w:r>
              <w:rPr>
                <w:rFonts w:hint="cs"/>
                <w:rtl/>
              </w:rPr>
              <w:t>;</w:t>
            </w:r>
          </w:p>
        </w:tc>
      </w:tr>
      <w:tr w:rsidR="00E21869" w14:paraId="1E13EF3C" w14:textId="77777777">
        <w:trPr>
          <w:cantSplit/>
          <w:trHeight w:val="60"/>
        </w:trPr>
        <w:tc>
          <w:tcPr>
            <w:tcW w:w="1871" w:type="dxa"/>
          </w:tcPr>
          <w:p w14:paraId="21665005" w14:textId="77777777" w:rsidR="00E21869" w:rsidRDefault="00E21869" w:rsidP="007E751D">
            <w:pPr>
              <w:pStyle w:val="TableSideHeading"/>
              <w:keepLines w:val="0"/>
              <w:rPr>
                <w:rtl/>
              </w:rPr>
            </w:pPr>
          </w:p>
        </w:tc>
        <w:tc>
          <w:tcPr>
            <w:tcW w:w="624" w:type="dxa"/>
          </w:tcPr>
          <w:p w14:paraId="6D189592" w14:textId="77777777" w:rsidR="00E21869" w:rsidRDefault="00E21869" w:rsidP="00CD0A8C">
            <w:pPr>
              <w:pStyle w:val="TableText"/>
            </w:pPr>
          </w:p>
        </w:tc>
        <w:tc>
          <w:tcPr>
            <w:tcW w:w="7146" w:type="dxa"/>
            <w:gridSpan w:val="3"/>
          </w:tcPr>
          <w:p w14:paraId="632F065C" w14:textId="77777777" w:rsidR="00E21869" w:rsidRPr="00E21869" w:rsidRDefault="00E21869" w:rsidP="009121E5">
            <w:pPr>
              <w:pStyle w:val="TableBlockOutdent"/>
              <w:rPr>
                <w:rtl/>
              </w:rPr>
            </w:pPr>
            <w:r>
              <w:rPr>
                <w:rtl/>
              </w:rPr>
              <w:t>"</w:t>
            </w:r>
            <w:r>
              <w:rPr>
                <w:rFonts w:hint="cs"/>
                <w:rtl/>
              </w:rPr>
              <w:t xml:space="preserve">מדינה </w:t>
            </w:r>
            <w:r w:rsidR="009121E5">
              <w:rPr>
                <w:rFonts w:hint="cs"/>
                <w:rtl/>
              </w:rPr>
              <w:t>חברה</w:t>
            </w:r>
            <w:r>
              <w:rPr>
                <w:rFonts w:hint="cs"/>
                <w:rtl/>
              </w:rPr>
              <w:t xml:space="preserve">" - </w:t>
            </w:r>
            <w:r w:rsidRPr="00E21869">
              <w:rPr>
                <w:rtl/>
              </w:rPr>
              <w:t>מדינה או ארגון אזורי ל</w:t>
            </w:r>
            <w:r w:rsidRPr="00E21869">
              <w:rPr>
                <w:rFonts w:hint="cs"/>
                <w:rtl/>
              </w:rPr>
              <w:t>שיתוף</w:t>
            </w:r>
            <w:r>
              <w:rPr>
                <w:rtl/>
              </w:rPr>
              <w:t xml:space="preserve"> כלכלי</w:t>
            </w:r>
            <w:r w:rsidRPr="00E21869">
              <w:rPr>
                <w:rtl/>
              </w:rPr>
              <w:t xml:space="preserve"> אשר הסכימו להיות מחויבים על ידי </w:t>
            </w:r>
            <w:r w:rsidR="009121E5">
              <w:rPr>
                <w:rFonts w:hint="cs"/>
                <w:rtl/>
              </w:rPr>
              <w:t xml:space="preserve">הוראות </w:t>
            </w:r>
            <w:r w:rsidR="00753D67">
              <w:rPr>
                <w:rFonts w:hint="cs"/>
                <w:rtl/>
              </w:rPr>
              <w:t>ה</w:t>
            </w:r>
            <w:r w:rsidRPr="00E21869">
              <w:rPr>
                <w:rtl/>
              </w:rPr>
              <w:t xml:space="preserve">אמנה ושלגביהם האמנה </w:t>
            </w:r>
            <w:r w:rsidR="009121E5">
              <w:rPr>
                <w:rFonts w:hint="cs"/>
                <w:rtl/>
              </w:rPr>
              <w:t>היא</w:t>
            </w:r>
            <w:r w:rsidRPr="00E21869">
              <w:rPr>
                <w:rtl/>
              </w:rPr>
              <w:t xml:space="preserve"> בתוקף</w:t>
            </w:r>
            <w:r>
              <w:rPr>
                <w:rFonts w:hint="cs"/>
                <w:rtl/>
              </w:rPr>
              <w:t>;</w:t>
            </w:r>
          </w:p>
        </w:tc>
      </w:tr>
      <w:tr w:rsidR="00302518" w14:paraId="14E77EDE" w14:textId="77777777">
        <w:trPr>
          <w:cantSplit/>
          <w:trHeight w:val="60"/>
        </w:trPr>
        <w:tc>
          <w:tcPr>
            <w:tcW w:w="1871" w:type="dxa"/>
          </w:tcPr>
          <w:p w14:paraId="7DCD9547" w14:textId="77777777" w:rsidR="00302518" w:rsidRDefault="00302518" w:rsidP="007E751D">
            <w:pPr>
              <w:pStyle w:val="TableSideHeading"/>
              <w:keepLines w:val="0"/>
              <w:rPr>
                <w:rtl/>
              </w:rPr>
            </w:pPr>
          </w:p>
        </w:tc>
        <w:tc>
          <w:tcPr>
            <w:tcW w:w="624" w:type="dxa"/>
          </w:tcPr>
          <w:p w14:paraId="52E4C5BE" w14:textId="77777777" w:rsidR="00302518" w:rsidRPr="00302518" w:rsidRDefault="00302518" w:rsidP="00302518">
            <w:pPr>
              <w:pStyle w:val="TableBlockOutdent"/>
            </w:pPr>
          </w:p>
        </w:tc>
        <w:tc>
          <w:tcPr>
            <w:tcW w:w="7146" w:type="dxa"/>
            <w:gridSpan w:val="3"/>
          </w:tcPr>
          <w:p w14:paraId="2D82FB17" w14:textId="77777777" w:rsidR="00302518" w:rsidRPr="00302518" w:rsidRDefault="00302518" w:rsidP="001E195A">
            <w:pPr>
              <w:pStyle w:val="TableBlockOutdent"/>
              <w:rPr>
                <w:rtl/>
              </w:rPr>
            </w:pPr>
            <w:r w:rsidRPr="00302518">
              <w:rPr>
                <w:rtl/>
              </w:rPr>
              <w:t xml:space="preserve">"מוצר </w:t>
            </w:r>
            <w:r w:rsidR="00124101">
              <w:rPr>
                <w:rFonts w:hint="cs"/>
                <w:rtl/>
              </w:rPr>
              <w:t>מכיל</w:t>
            </w:r>
            <w:r w:rsidRPr="00302518">
              <w:rPr>
                <w:rtl/>
              </w:rPr>
              <w:t xml:space="preserve"> כספית" </w:t>
            </w:r>
            <w:r>
              <w:rPr>
                <w:rFonts w:hint="cs"/>
                <w:rtl/>
              </w:rPr>
              <w:t xml:space="preserve">- </w:t>
            </w:r>
            <w:r w:rsidRPr="00302518">
              <w:rPr>
                <w:rtl/>
              </w:rPr>
              <w:t xml:space="preserve">מוצר או רכיב </w:t>
            </w:r>
            <w:r w:rsidR="00AD64D5">
              <w:rPr>
                <w:rFonts w:hint="cs"/>
                <w:rtl/>
              </w:rPr>
              <w:t xml:space="preserve">של </w:t>
            </w:r>
            <w:r w:rsidRPr="00302518">
              <w:rPr>
                <w:rtl/>
              </w:rPr>
              <w:t>מוצר המכיל כספית או תרכובת כספית</w:t>
            </w:r>
            <w:r w:rsidR="001E195A">
              <w:rPr>
                <w:rFonts w:hint="cs"/>
                <w:rtl/>
              </w:rPr>
              <w:t>,</w:t>
            </w:r>
            <w:r w:rsidRPr="00302518">
              <w:rPr>
                <w:rtl/>
              </w:rPr>
              <w:t xml:space="preserve"> </w:t>
            </w:r>
            <w:r w:rsidR="00AD64D5">
              <w:rPr>
                <w:rFonts w:hint="cs"/>
                <w:rtl/>
              </w:rPr>
              <w:t xml:space="preserve">אשר </w:t>
            </w:r>
            <w:r w:rsidR="00AD64D5">
              <w:rPr>
                <w:rtl/>
              </w:rPr>
              <w:t>הוספ</w:t>
            </w:r>
            <w:r w:rsidR="00AD64D5">
              <w:rPr>
                <w:rFonts w:hint="cs"/>
                <w:rtl/>
              </w:rPr>
              <w:t>ו</w:t>
            </w:r>
            <w:r w:rsidRPr="00302518">
              <w:rPr>
                <w:rtl/>
              </w:rPr>
              <w:t xml:space="preserve"> במתכוון</w:t>
            </w:r>
            <w:r w:rsidR="00AD64D5">
              <w:rPr>
                <w:rFonts w:hint="cs"/>
                <w:rtl/>
              </w:rPr>
              <w:t xml:space="preserve"> ל</w:t>
            </w:r>
            <w:r w:rsidR="001E195A">
              <w:rPr>
                <w:rFonts w:hint="cs"/>
                <w:rtl/>
              </w:rPr>
              <w:t xml:space="preserve">אותו מוצר או </w:t>
            </w:r>
            <w:r w:rsidR="00AD64D5">
              <w:rPr>
                <w:rFonts w:hint="cs"/>
                <w:rtl/>
              </w:rPr>
              <w:t>רכיב, לפי העניין</w:t>
            </w:r>
            <w:r>
              <w:rPr>
                <w:rFonts w:hint="cs"/>
                <w:rtl/>
              </w:rPr>
              <w:t>;</w:t>
            </w:r>
            <w:r w:rsidR="00AD64D5">
              <w:rPr>
                <w:rFonts w:hint="cs"/>
                <w:rtl/>
              </w:rPr>
              <w:t xml:space="preserve"> </w:t>
            </w:r>
          </w:p>
        </w:tc>
      </w:tr>
      <w:tr w:rsidR="00302518" w14:paraId="47EA3999" w14:textId="77777777">
        <w:trPr>
          <w:cantSplit/>
          <w:trHeight w:val="60"/>
        </w:trPr>
        <w:tc>
          <w:tcPr>
            <w:tcW w:w="1871" w:type="dxa"/>
          </w:tcPr>
          <w:p w14:paraId="0FFAD881" w14:textId="77777777" w:rsidR="00302518" w:rsidRDefault="00302518" w:rsidP="007E751D">
            <w:pPr>
              <w:pStyle w:val="TableSideHeading"/>
              <w:keepLines w:val="0"/>
              <w:rPr>
                <w:rtl/>
              </w:rPr>
            </w:pPr>
          </w:p>
        </w:tc>
        <w:tc>
          <w:tcPr>
            <w:tcW w:w="624" w:type="dxa"/>
          </w:tcPr>
          <w:p w14:paraId="255075C7" w14:textId="77777777" w:rsidR="00302518" w:rsidRDefault="00302518" w:rsidP="00CD0A8C">
            <w:pPr>
              <w:pStyle w:val="TableText"/>
            </w:pPr>
          </w:p>
        </w:tc>
        <w:tc>
          <w:tcPr>
            <w:tcW w:w="7146" w:type="dxa"/>
            <w:gridSpan w:val="3"/>
          </w:tcPr>
          <w:p w14:paraId="1AC30D84" w14:textId="77777777" w:rsidR="00302518" w:rsidRPr="00302518" w:rsidRDefault="00302518" w:rsidP="006A60C5">
            <w:pPr>
              <w:pStyle w:val="TableBlockOutdent"/>
              <w:rPr>
                <w:rtl/>
              </w:rPr>
            </w:pPr>
            <w:r>
              <w:rPr>
                <w:rtl/>
              </w:rPr>
              <w:t>"</w:t>
            </w:r>
            <w:r w:rsidR="00576625">
              <w:rPr>
                <w:rFonts w:hint="cs"/>
                <w:rtl/>
              </w:rPr>
              <w:t>ממונה"</w:t>
            </w:r>
            <w:r w:rsidR="00351BE7">
              <w:rPr>
                <w:rFonts w:hint="cs"/>
                <w:rtl/>
              </w:rPr>
              <w:t xml:space="preserve"> </w:t>
            </w:r>
            <w:r w:rsidR="006A60C5">
              <w:rPr>
                <w:rtl/>
              </w:rPr>
              <w:t>–</w:t>
            </w:r>
            <w:r w:rsidR="00576625">
              <w:rPr>
                <w:rFonts w:hint="cs"/>
                <w:rtl/>
              </w:rPr>
              <w:t xml:space="preserve"> </w:t>
            </w:r>
            <w:r w:rsidR="006A60C5">
              <w:rPr>
                <w:rFonts w:hint="cs"/>
                <w:rtl/>
              </w:rPr>
              <w:t>עובד המשרד להגנת הסביבה</w:t>
            </w:r>
            <w:r w:rsidR="00576625" w:rsidRPr="00576625">
              <w:rPr>
                <w:rtl/>
              </w:rPr>
              <w:t xml:space="preserve"> </w:t>
            </w:r>
            <w:r w:rsidR="00EA70A8">
              <w:rPr>
                <w:rFonts w:hint="cs"/>
                <w:rtl/>
              </w:rPr>
              <w:t xml:space="preserve">שהוסמך כממונה לפי החוק, או מי </w:t>
            </w:r>
            <w:r w:rsidR="00576625" w:rsidRPr="00576625">
              <w:rPr>
                <w:rtl/>
              </w:rPr>
              <w:t>שהשר להגנת הסביבה הסמיכו לעניין תקנות אלה, כולן או מקצתן</w:t>
            </w:r>
            <w:r w:rsidR="00576625">
              <w:rPr>
                <w:rFonts w:hint="cs"/>
                <w:rtl/>
              </w:rPr>
              <w:t>;</w:t>
            </w:r>
          </w:p>
        </w:tc>
      </w:tr>
      <w:tr w:rsidR="00C921BE" w14:paraId="2536CEB3" w14:textId="77777777">
        <w:trPr>
          <w:cantSplit/>
          <w:trHeight w:val="60"/>
        </w:trPr>
        <w:tc>
          <w:tcPr>
            <w:tcW w:w="1871" w:type="dxa"/>
          </w:tcPr>
          <w:p w14:paraId="03C81B2B" w14:textId="617371EA" w:rsidR="00C921BE" w:rsidRDefault="00C921BE" w:rsidP="007E751D">
            <w:pPr>
              <w:pStyle w:val="TableSideHeading"/>
              <w:keepLines w:val="0"/>
              <w:rPr>
                <w:rtl/>
              </w:rPr>
            </w:pPr>
          </w:p>
        </w:tc>
        <w:tc>
          <w:tcPr>
            <w:tcW w:w="624" w:type="dxa"/>
          </w:tcPr>
          <w:p w14:paraId="2EC700FC" w14:textId="77777777" w:rsidR="00C921BE" w:rsidRDefault="00C921BE" w:rsidP="00CD0A8C">
            <w:pPr>
              <w:pStyle w:val="TableText"/>
            </w:pPr>
          </w:p>
        </w:tc>
        <w:tc>
          <w:tcPr>
            <w:tcW w:w="7146" w:type="dxa"/>
            <w:gridSpan w:val="3"/>
          </w:tcPr>
          <w:p w14:paraId="237D9E83" w14:textId="73260D6E" w:rsidR="00C921BE" w:rsidRPr="00C921BE" w:rsidRDefault="00C921BE" w:rsidP="001523F4">
            <w:pPr>
              <w:pStyle w:val="TableBlockOutdent"/>
              <w:rPr>
                <w:rtl/>
              </w:rPr>
            </w:pPr>
            <w:r>
              <w:rPr>
                <w:rtl/>
              </w:rPr>
              <w:t>"</w:t>
            </w:r>
            <w:r>
              <w:rPr>
                <w:rFonts w:hint="cs"/>
                <w:rtl/>
              </w:rPr>
              <w:t xml:space="preserve">נספח </w:t>
            </w:r>
            <w:r w:rsidR="001523F4">
              <w:rPr>
                <w:rFonts w:hint="cs"/>
                <w:rtl/>
              </w:rPr>
              <w:t>ב</w:t>
            </w:r>
            <w:r>
              <w:rPr>
                <w:rFonts w:hint="cs"/>
                <w:rtl/>
              </w:rPr>
              <w:t xml:space="preserve">' </w:t>
            </w:r>
            <w:r w:rsidR="001523F4">
              <w:rPr>
                <w:rFonts w:hint="cs"/>
                <w:rtl/>
              </w:rPr>
              <w:t>ל</w:t>
            </w:r>
            <w:r>
              <w:rPr>
                <w:rFonts w:hint="cs"/>
                <w:rtl/>
              </w:rPr>
              <w:t xml:space="preserve">אמנה" </w:t>
            </w:r>
            <w:r>
              <w:rPr>
                <w:rtl/>
              </w:rPr>
              <w:t>–</w:t>
            </w:r>
            <w:r>
              <w:rPr>
                <w:rFonts w:hint="cs"/>
                <w:rtl/>
              </w:rPr>
              <w:t xml:space="preserve"> נספח </w:t>
            </w:r>
            <w:r w:rsidR="001523F4">
              <w:rPr>
                <w:rFonts w:hint="cs"/>
              </w:rPr>
              <w:t>B</w:t>
            </w:r>
            <w:r>
              <w:rPr>
                <w:rFonts w:hint="cs"/>
                <w:rtl/>
              </w:rPr>
              <w:t xml:space="preserve"> לאמנה, שעניינו </w:t>
            </w:r>
            <w:r w:rsidR="001523F4">
              <w:rPr>
                <w:rFonts w:hint="cs"/>
                <w:rtl/>
              </w:rPr>
              <w:t>ת</w:t>
            </w:r>
            <w:r w:rsidR="001523F4" w:rsidRPr="001523F4">
              <w:rPr>
                <w:rtl/>
              </w:rPr>
              <w:t>הליכי ייצור שבהם משתמשים בכספית או בתרכובות כספית</w:t>
            </w:r>
            <w:r w:rsidR="001523F4" w:rsidRPr="001523F4">
              <w:rPr>
                <w:rFonts w:hint="cs"/>
                <w:rtl/>
              </w:rPr>
              <w:t xml:space="preserve"> </w:t>
            </w:r>
            <w:r w:rsidRPr="00C921BE">
              <w:rPr>
                <w:rFonts w:hint="cs"/>
                <w:rtl/>
              </w:rPr>
              <w:t>(</w:t>
            </w:r>
            <w:r w:rsidR="001523F4" w:rsidRPr="001523F4">
              <w:t>Manufacturing processes in which mercury or mercury compounds are used</w:t>
            </w:r>
            <w:r w:rsidRPr="00D4710B">
              <w:rPr>
                <w:rFonts w:ascii="David" w:hAnsi="David"/>
                <w:sz w:val="24"/>
                <w:szCs w:val="24"/>
                <w:rtl/>
              </w:rPr>
              <w:t>)</w:t>
            </w:r>
            <w:r w:rsidRPr="00D4710B">
              <w:rPr>
                <w:rFonts w:ascii="David" w:hAnsi="David"/>
                <w:sz w:val="18"/>
                <w:szCs w:val="18"/>
                <w:rtl/>
              </w:rPr>
              <w:t xml:space="preserve"> </w:t>
            </w:r>
            <w:r w:rsidRPr="00C921BE">
              <w:rPr>
                <w:rFonts w:hint="cs"/>
                <w:rtl/>
              </w:rPr>
              <w:t>על עדכוניו מעת לעת, כפי שפורסם באתר ה</w:t>
            </w:r>
            <w:r>
              <w:rPr>
                <w:rFonts w:hint="cs"/>
                <w:rtl/>
              </w:rPr>
              <w:t>אינטרנט של המשרד להגנת הסביבה;</w:t>
            </w:r>
          </w:p>
        </w:tc>
      </w:tr>
      <w:tr w:rsidR="00576625" w14:paraId="6FC12AB4" w14:textId="77777777">
        <w:trPr>
          <w:cantSplit/>
          <w:trHeight w:val="60"/>
        </w:trPr>
        <w:tc>
          <w:tcPr>
            <w:tcW w:w="1871" w:type="dxa"/>
          </w:tcPr>
          <w:p w14:paraId="7FB088B5" w14:textId="77777777" w:rsidR="00576625" w:rsidRDefault="00576625" w:rsidP="007E751D">
            <w:pPr>
              <w:pStyle w:val="TableSideHeading"/>
              <w:keepLines w:val="0"/>
              <w:rPr>
                <w:rtl/>
              </w:rPr>
            </w:pPr>
          </w:p>
        </w:tc>
        <w:tc>
          <w:tcPr>
            <w:tcW w:w="624" w:type="dxa"/>
          </w:tcPr>
          <w:p w14:paraId="327977B3" w14:textId="77777777" w:rsidR="00576625" w:rsidRDefault="00576625" w:rsidP="00CD0A8C">
            <w:pPr>
              <w:pStyle w:val="TableText"/>
            </w:pPr>
          </w:p>
        </w:tc>
        <w:tc>
          <w:tcPr>
            <w:tcW w:w="7146" w:type="dxa"/>
            <w:gridSpan w:val="3"/>
          </w:tcPr>
          <w:p w14:paraId="78F1CFE3" w14:textId="77777777" w:rsidR="00576625" w:rsidRPr="00576625" w:rsidRDefault="00576625" w:rsidP="001E195A">
            <w:pPr>
              <w:pStyle w:val="TableBlockOutdent"/>
              <w:rPr>
                <w:rtl/>
              </w:rPr>
            </w:pPr>
            <w:r>
              <w:rPr>
                <w:rtl/>
              </w:rPr>
              <w:t>"</w:t>
            </w:r>
            <w:r w:rsidRPr="00302518">
              <w:rPr>
                <w:rtl/>
              </w:rPr>
              <w:t xml:space="preserve">תרכובת כספית" </w:t>
            </w:r>
            <w:r>
              <w:rPr>
                <w:rFonts w:hint="cs"/>
                <w:rtl/>
              </w:rPr>
              <w:t xml:space="preserve">- </w:t>
            </w:r>
            <w:r w:rsidRPr="00302518">
              <w:rPr>
                <w:rtl/>
              </w:rPr>
              <w:t xml:space="preserve">כל חומר </w:t>
            </w:r>
            <w:r w:rsidR="00351BE7">
              <w:rPr>
                <w:rFonts w:hint="cs"/>
                <w:rtl/>
              </w:rPr>
              <w:t xml:space="preserve">שהרכבו כולל </w:t>
            </w:r>
            <w:r w:rsidRPr="00302518">
              <w:rPr>
                <w:rtl/>
              </w:rPr>
              <w:t xml:space="preserve">אטומים של כספית ואטום אחד </w:t>
            </w:r>
            <w:r w:rsidR="00351BE7">
              <w:rPr>
                <w:rFonts w:hint="cs"/>
                <w:rtl/>
              </w:rPr>
              <w:t>לפחות של</w:t>
            </w:r>
            <w:r w:rsidRPr="00302518">
              <w:rPr>
                <w:rtl/>
              </w:rPr>
              <w:t xml:space="preserve"> יסוד כימי אחר</w:t>
            </w:r>
            <w:r w:rsidR="00351BE7">
              <w:rPr>
                <w:rFonts w:hint="cs"/>
                <w:rtl/>
              </w:rPr>
              <w:t>,</w:t>
            </w:r>
            <w:r w:rsidRPr="00302518">
              <w:rPr>
                <w:rtl/>
              </w:rPr>
              <w:t xml:space="preserve"> </w:t>
            </w:r>
            <w:r w:rsidR="00351BE7">
              <w:rPr>
                <w:rFonts w:hint="cs"/>
                <w:rtl/>
              </w:rPr>
              <w:t xml:space="preserve">אשר </w:t>
            </w:r>
            <w:r w:rsidRPr="00302518">
              <w:rPr>
                <w:rtl/>
              </w:rPr>
              <w:t>ניתן להפריד</w:t>
            </w:r>
            <w:r w:rsidRPr="00302518">
              <w:rPr>
                <w:rFonts w:hint="cs"/>
                <w:rtl/>
              </w:rPr>
              <w:t>ם</w:t>
            </w:r>
            <w:r w:rsidRPr="00302518">
              <w:rPr>
                <w:rtl/>
              </w:rPr>
              <w:t xml:space="preserve"> לרכיבים שונים רק באמצעות תגוב</w:t>
            </w:r>
            <w:r w:rsidR="00124101">
              <w:rPr>
                <w:rFonts w:hint="cs"/>
                <w:rtl/>
              </w:rPr>
              <w:t>ה</w:t>
            </w:r>
            <w:r w:rsidR="00351BE7">
              <w:rPr>
                <w:rtl/>
              </w:rPr>
              <w:t xml:space="preserve"> כימית</w:t>
            </w:r>
            <w:r w:rsidR="00351BE7">
              <w:rPr>
                <w:rFonts w:hint="cs"/>
                <w:rtl/>
              </w:rPr>
              <w:t>.</w:t>
            </w:r>
          </w:p>
        </w:tc>
      </w:tr>
      <w:tr w:rsidR="00BD239F" w14:paraId="67860DC3" w14:textId="77777777">
        <w:trPr>
          <w:cantSplit/>
          <w:trHeight w:val="60"/>
        </w:trPr>
        <w:tc>
          <w:tcPr>
            <w:tcW w:w="1871" w:type="dxa"/>
          </w:tcPr>
          <w:p w14:paraId="60902351" w14:textId="77777777" w:rsidR="00BD239F" w:rsidRDefault="00BD239F" w:rsidP="007E751D">
            <w:pPr>
              <w:pStyle w:val="TableSideHeading"/>
              <w:keepLines w:val="0"/>
              <w:rPr>
                <w:rtl/>
              </w:rPr>
            </w:pPr>
          </w:p>
        </w:tc>
        <w:tc>
          <w:tcPr>
            <w:tcW w:w="624" w:type="dxa"/>
          </w:tcPr>
          <w:p w14:paraId="14A7B1DF" w14:textId="77777777" w:rsidR="00BD239F" w:rsidRDefault="00BD239F" w:rsidP="00CD0A8C">
            <w:pPr>
              <w:pStyle w:val="TableText"/>
            </w:pPr>
          </w:p>
        </w:tc>
        <w:tc>
          <w:tcPr>
            <w:tcW w:w="7146" w:type="dxa"/>
            <w:gridSpan w:val="3"/>
          </w:tcPr>
          <w:p w14:paraId="005F6A85" w14:textId="5D021754" w:rsidR="00BD239F" w:rsidRPr="00BD239F" w:rsidRDefault="00B575AF" w:rsidP="004D084A">
            <w:pPr>
              <w:pStyle w:val="TableBlock"/>
              <w:numPr>
                <w:ilvl w:val="0"/>
                <w:numId w:val="10"/>
              </w:numPr>
              <w:tabs>
                <w:tab w:val="left" w:pos="624"/>
              </w:tabs>
              <w:rPr>
                <w:rtl/>
              </w:rPr>
            </w:pPr>
            <w:r>
              <w:rPr>
                <w:rFonts w:hint="cs"/>
                <w:rtl/>
              </w:rPr>
              <w:t xml:space="preserve">לעניין ההגדרות "חלק 1 לנספח א' של האמנה" ו- </w:t>
            </w:r>
            <w:r>
              <w:rPr>
                <w:rtl/>
              </w:rPr>
              <w:t>"</w:t>
            </w:r>
            <w:r>
              <w:rPr>
                <w:rFonts w:hint="cs"/>
                <w:rtl/>
              </w:rPr>
              <w:t>נספח ב' לאמנה", יפרסם הממונה ברשומות הודעה על עדכון הנספח, לפי העניין.</w:t>
            </w:r>
          </w:p>
        </w:tc>
      </w:tr>
      <w:tr w:rsidR="00B575AF" w14:paraId="42F3DFEA" w14:textId="77777777">
        <w:trPr>
          <w:cantSplit/>
          <w:trHeight w:val="60"/>
        </w:trPr>
        <w:tc>
          <w:tcPr>
            <w:tcW w:w="1871" w:type="dxa"/>
          </w:tcPr>
          <w:p w14:paraId="5D5B4F39" w14:textId="77777777" w:rsidR="00B575AF" w:rsidRDefault="00B575AF" w:rsidP="007E751D">
            <w:pPr>
              <w:pStyle w:val="TableSideHeading"/>
              <w:keepLines w:val="0"/>
              <w:rPr>
                <w:rtl/>
              </w:rPr>
            </w:pPr>
          </w:p>
        </w:tc>
        <w:tc>
          <w:tcPr>
            <w:tcW w:w="624" w:type="dxa"/>
          </w:tcPr>
          <w:p w14:paraId="12FB2AA8" w14:textId="77777777" w:rsidR="00B575AF" w:rsidRDefault="00B575AF" w:rsidP="00B575AF">
            <w:pPr>
              <w:pStyle w:val="TableText"/>
            </w:pPr>
          </w:p>
        </w:tc>
        <w:tc>
          <w:tcPr>
            <w:tcW w:w="7146" w:type="dxa"/>
            <w:gridSpan w:val="3"/>
          </w:tcPr>
          <w:p w14:paraId="48A0268E" w14:textId="5A891AFB" w:rsidR="00B575AF" w:rsidRPr="004D084A" w:rsidRDefault="00B575AF" w:rsidP="004D084A">
            <w:pPr>
              <w:pStyle w:val="TableBlock"/>
              <w:numPr>
                <w:ilvl w:val="0"/>
                <w:numId w:val="10"/>
              </w:numPr>
              <w:tabs>
                <w:tab w:val="left" w:pos="624"/>
              </w:tabs>
              <w:rPr>
                <w:rtl/>
              </w:rPr>
            </w:pPr>
            <w:r w:rsidRPr="004D084A">
              <w:rPr>
                <w:rFonts w:hint="cs"/>
                <w:rtl/>
              </w:rPr>
              <w:t>לכל מונח בתקנות אלה תהיה המשמעות שיש לו באמנה כנוסחו ב</w:t>
            </w:r>
            <w:r>
              <w:rPr>
                <w:rFonts w:hint="cs"/>
                <w:rtl/>
              </w:rPr>
              <w:t>יום ה</w:t>
            </w:r>
            <w:r w:rsidRPr="004D084A">
              <w:rPr>
                <w:rFonts w:hint="cs"/>
                <w:rtl/>
              </w:rPr>
              <w:t xml:space="preserve">תחילה וכן המשמעות שיש לו בהחלטות שהתקבלו על פיה במפגשי הצדדים של הפרוטוקול שהתקיימו עד המועד האמור והמתפרסמות באתר האינטרנט של המשרד להגנת הסביבה (להלן </w:t>
            </w:r>
            <w:r w:rsidRPr="004D084A">
              <w:rPr>
                <w:rtl/>
              </w:rPr>
              <w:t>–</w:t>
            </w:r>
            <w:r w:rsidRPr="004D084A">
              <w:rPr>
                <w:rFonts w:hint="cs"/>
                <w:rtl/>
              </w:rPr>
              <w:t xml:space="preserve"> אתר האינטרנט) ושעותקים מהן מונחים לעיון הציבור בלשכה הראשית של המשרד האמור בירושלים.</w:t>
            </w:r>
          </w:p>
        </w:tc>
      </w:tr>
      <w:tr w:rsidR="00B56B7C" w14:paraId="1C3648F4" w14:textId="77777777" w:rsidTr="008B5AA9">
        <w:trPr>
          <w:cantSplit/>
          <w:trHeight w:val="60"/>
        </w:trPr>
        <w:tc>
          <w:tcPr>
            <w:tcW w:w="1871" w:type="dxa"/>
          </w:tcPr>
          <w:p w14:paraId="1CCADA72" w14:textId="77777777" w:rsidR="00B56B7C" w:rsidRDefault="00B56B7C" w:rsidP="001A5F9C">
            <w:pPr>
              <w:pStyle w:val="TableSideHeading"/>
              <w:keepLines w:val="0"/>
            </w:pPr>
            <w:r>
              <w:rPr>
                <w:rFonts w:hint="cs"/>
                <w:rtl/>
              </w:rPr>
              <w:t>איסור כריי</w:t>
            </w:r>
            <w:r w:rsidR="001A5F9C">
              <w:rPr>
                <w:rFonts w:hint="cs"/>
                <w:rtl/>
              </w:rPr>
              <w:t>ה והגבלת סחר</w:t>
            </w:r>
            <w:r>
              <w:rPr>
                <w:rFonts w:hint="cs"/>
                <w:rtl/>
              </w:rPr>
              <w:t xml:space="preserve"> </w:t>
            </w:r>
            <w:r w:rsidR="001A5F9C">
              <w:rPr>
                <w:rFonts w:hint="cs"/>
                <w:rtl/>
              </w:rPr>
              <w:t>ב</w:t>
            </w:r>
            <w:r>
              <w:rPr>
                <w:rFonts w:hint="cs"/>
                <w:rtl/>
              </w:rPr>
              <w:t>כספית</w:t>
            </w:r>
            <w:r w:rsidR="00CC5259">
              <w:rPr>
                <w:rFonts w:hint="cs"/>
                <w:rtl/>
              </w:rPr>
              <w:t xml:space="preserve"> </w:t>
            </w:r>
          </w:p>
        </w:tc>
        <w:tc>
          <w:tcPr>
            <w:tcW w:w="624" w:type="dxa"/>
          </w:tcPr>
          <w:p w14:paraId="2D2AF8CB" w14:textId="77777777" w:rsidR="00B56B7C" w:rsidRDefault="00B56B7C" w:rsidP="001C68CA">
            <w:pPr>
              <w:pStyle w:val="TableText"/>
              <w:keepLines w:val="0"/>
              <w:numPr>
                <w:ilvl w:val="0"/>
                <w:numId w:val="2"/>
              </w:numPr>
            </w:pPr>
          </w:p>
        </w:tc>
        <w:tc>
          <w:tcPr>
            <w:tcW w:w="7146" w:type="dxa"/>
            <w:gridSpan w:val="3"/>
          </w:tcPr>
          <w:p w14:paraId="6497521F" w14:textId="77777777" w:rsidR="00B56B7C" w:rsidRPr="00510301" w:rsidRDefault="00510301" w:rsidP="001C68CA">
            <w:pPr>
              <w:pStyle w:val="TableBlock"/>
              <w:numPr>
                <w:ilvl w:val="0"/>
                <w:numId w:val="13"/>
              </w:numPr>
              <w:tabs>
                <w:tab w:val="left" w:pos="624"/>
              </w:tabs>
              <w:rPr>
                <w:rtl/>
              </w:rPr>
            </w:pPr>
            <w:r w:rsidRPr="00510301">
              <w:rPr>
                <w:rFonts w:hint="cs"/>
                <w:rtl/>
              </w:rPr>
              <w:t>בתקנה זו -</w:t>
            </w:r>
          </w:p>
        </w:tc>
      </w:tr>
      <w:tr w:rsidR="00510301" w14:paraId="130DC431" w14:textId="77777777" w:rsidTr="008B5AA9">
        <w:trPr>
          <w:cantSplit/>
          <w:trHeight w:val="60"/>
        </w:trPr>
        <w:tc>
          <w:tcPr>
            <w:tcW w:w="1871" w:type="dxa"/>
          </w:tcPr>
          <w:p w14:paraId="69997C60" w14:textId="77777777" w:rsidR="00510301" w:rsidRDefault="00510301" w:rsidP="001A5F9C">
            <w:pPr>
              <w:pStyle w:val="TableSideHeading"/>
              <w:keepLines w:val="0"/>
              <w:rPr>
                <w:rtl/>
              </w:rPr>
            </w:pPr>
          </w:p>
        </w:tc>
        <w:tc>
          <w:tcPr>
            <w:tcW w:w="624" w:type="dxa"/>
          </w:tcPr>
          <w:p w14:paraId="40455082" w14:textId="77777777" w:rsidR="00510301" w:rsidRDefault="00510301" w:rsidP="00510301">
            <w:pPr>
              <w:pStyle w:val="TableText"/>
            </w:pPr>
          </w:p>
        </w:tc>
        <w:tc>
          <w:tcPr>
            <w:tcW w:w="7146" w:type="dxa"/>
            <w:gridSpan w:val="3"/>
          </w:tcPr>
          <w:p w14:paraId="3E2E58B4" w14:textId="77777777" w:rsidR="00510301" w:rsidRPr="00510301" w:rsidRDefault="00510301" w:rsidP="00510301">
            <w:pPr>
              <w:pStyle w:val="TableBlockOutdent"/>
              <w:rPr>
                <w:rtl/>
              </w:rPr>
            </w:pPr>
            <w:r>
              <w:rPr>
                <w:rtl/>
              </w:rPr>
              <w:t>"</w:t>
            </w:r>
            <w:r w:rsidRPr="00836311">
              <w:rPr>
                <w:rtl/>
              </w:rPr>
              <w:t>הסכמה בכתב</w:t>
            </w:r>
            <w:r w:rsidRPr="00A03920">
              <w:rPr>
                <w:rtl/>
              </w:rPr>
              <w:t xml:space="preserve">"- </w:t>
            </w:r>
            <w:r>
              <w:rPr>
                <w:rFonts w:hint="cs"/>
                <w:rtl/>
              </w:rPr>
              <w:t xml:space="preserve">כל אחת מאלה: </w:t>
            </w:r>
          </w:p>
        </w:tc>
      </w:tr>
      <w:tr w:rsidR="00510301" w14:paraId="29EDDD6C" w14:textId="77777777">
        <w:trPr>
          <w:cantSplit/>
          <w:trHeight w:val="60"/>
        </w:trPr>
        <w:tc>
          <w:tcPr>
            <w:tcW w:w="1871" w:type="dxa"/>
          </w:tcPr>
          <w:p w14:paraId="122C3444" w14:textId="77777777" w:rsidR="00510301" w:rsidRDefault="00510301">
            <w:pPr>
              <w:pStyle w:val="TableSideHeading"/>
            </w:pPr>
          </w:p>
        </w:tc>
        <w:tc>
          <w:tcPr>
            <w:tcW w:w="624" w:type="dxa"/>
          </w:tcPr>
          <w:p w14:paraId="44DDCB7A" w14:textId="77777777" w:rsidR="00510301" w:rsidRDefault="00510301">
            <w:pPr>
              <w:pStyle w:val="TableText"/>
            </w:pPr>
          </w:p>
        </w:tc>
        <w:tc>
          <w:tcPr>
            <w:tcW w:w="624" w:type="dxa"/>
          </w:tcPr>
          <w:p w14:paraId="0BD3D8B2" w14:textId="77777777" w:rsidR="00510301" w:rsidRDefault="00510301">
            <w:pPr>
              <w:pStyle w:val="TableText"/>
            </w:pPr>
          </w:p>
        </w:tc>
        <w:tc>
          <w:tcPr>
            <w:tcW w:w="6522" w:type="dxa"/>
            <w:gridSpan w:val="2"/>
          </w:tcPr>
          <w:p w14:paraId="592CE22E" w14:textId="77777777" w:rsidR="00510301" w:rsidRDefault="00510301" w:rsidP="001C68CA">
            <w:pPr>
              <w:pStyle w:val="TableBlock"/>
              <w:numPr>
                <w:ilvl w:val="0"/>
                <w:numId w:val="14"/>
              </w:numPr>
              <w:tabs>
                <w:tab w:val="left" w:pos="624"/>
              </w:tabs>
            </w:pPr>
            <w:r>
              <w:rPr>
                <w:rFonts w:hint="cs"/>
                <w:rtl/>
              </w:rPr>
              <w:t>טופס הסכמה של מדינה לייבוא, ערוך לפי הוראות האמנה;</w:t>
            </w:r>
          </w:p>
        </w:tc>
      </w:tr>
      <w:tr w:rsidR="00510301" w14:paraId="3861F876" w14:textId="77777777">
        <w:trPr>
          <w:cantSplit/>
          <w:trHeight w:val="60"/>
        </w:trPr>
        <w:tc>
          <w:tcPr>
            <w:tcW w:w="1871" w:type="dxa"/>
          </w:tcPr>
          <w:p w14:paraId="2554427E" w14:textId="77777777" w:rsidR="00510301" w:rsidRDefault="00510301">
            <w:pPr>
              <w:pStyle w:val="TableSideHeading"/>
            </w:pPr>
          </w:p>
        </w:tc>
        <w:tc>
          <w:tcPr>
            <w:tcW w:w="624" w:type="dxa"/>
          </w:tcPr>
          <w:p w14:paraId="2C878F7A" w14:textId="77777777" w:rsidR="00510301" w:rsidRDefault="00510301" w:rsidP="00510301">
            <w:pPr>
              <w:pStyle w:val="TableText"/>
            </w:pPr>
          </w:p>
        </w:tc>
        <w:tc>
          <w:tcPr>
            <w:tcW w:w="624" w:type="dxa"/>
          </w:tcPr>
          <w:p w14:paraId="6797FB88" w14:textId="77777777" w:rsidR="00510301" w:rsidRDefault="00510301">
            <w:pPr>
              <w:pStyle w:val="TableText"/>
            </w:pPr>
          </w:p>
        </w:tc>
        <w:tc>
          <w:tcPr>
            <w:tcW w:w="6522" w:type="dxa"/>
            <w:gridSpan w:val="2"/>
          </w:tcPr>
          <w:p w14:paraId="4C9983CC" w14:textId="77777777" w:rsidR="00510301" w:rsidRDefault="00510301" w:rsidP="001C68CA">
            <w:pPr>
              <w:pStyle w:val="TableBlock"/>
              <w:numPr>
                <w:ilvl w:val="0"/>
                <w:numId w:val="14"/>
              </w:numPr>
              <w:tabs>
                <w:tab w:val="left" w:pos="624"/>
              </w:tabs>
              <w:rPr>
                <w:rtl/>
              </w:rPr>
            </w:pPr>
            <w:r w:rsidRPr="00A03920">
              <w:rPr>
                <w:rtl/>
              </w:rPr>
              <w:t xml:space="preserve">הודעה כללית של מדינה </w:t>
            </w:r>
            <w:r>
              <w:rPr>
                <w:rFonts w:hint="cs"/>
                <w:rtl/>
              </w:rPr>
              <w:t xml:space="preserve">בדבר הסכמה לייבוא, שנמסרה </w:t>
            </w:r>
            <w:r w:rsidRPr="00A03920">
              <w:rPr>
                <w:rtl/>
              </w:rPr>
              <w:t>למזכירות האמנה, ל</w:t>
            </w:r>
            <w:r>
              <w:rPr>
                <w:rFonts w:hint="cs"/>
                <w:rtl/>
              </w:rPr>
              <w:t xml:space="preserve">רבות </w:t>
            </w:r>
            <w:r w:rsidRPr="00A03920">
              <w:rPr>
                <w:rtl/>
              </w:rPr>
              <w:t>תנאי</w:t>
            </w:r>
            <w:r>
              <w:rPr>
                <w:rFonts w:hint="cs"/>
                <w:rtl/>
              </w:rPr>
              <w:t xml:space="preserve"> שנקבעו בהודעה כאמור</w:t>
            </w:r>
            <w:r w:rsidRPr="00A03920">
              <w:rPr>
                <w:rFonts w:hint="cs"/>
                <w:rtl/>
              </w:rPr>
              <w:t>;</w:t>
            </w:r>
          </w:p>
        </w:tc>
      </w:tr>
      <w:tr w:rsidR="00510301" w14:paraId="1772B46E" w14:textId="77777777" w:rsidTr="008B5AA9">
        <w:trPr>
          <w:cantSplit/>
          <w:trHeight w:val="60"/>
        </w:trPr>
        <w:tc>
          <w:tcPr>
            <w:tcW w:w="1871" w:type="dxa"/>
          </w:tcPr>
          <w:p w14:paraId="2185880F" w14:textId="77777777" w:rsidR="00510301" w:rsidRDefault="00510301" w:rsidP="001A5F9C">
            <w:pPr>
              <w:pStyle w:val="TableSideHeading"/>
              <w:keepLines w:val="0"/>
              <w:rPr>
                <w:rtl/>
              </w:rPr>
            </w:pPr>
          </w:p>
        </w:tc>
        <w:tc>
          <w:tcPr>
            <w:tcW w:w="624" w:type="dxa"/>
          </w:tcPr>
          <w:p w14:paraId="1AC15BFA" w14:textId="77777777" w:rsidR="00510301" w:rsidRDefault="00510301" w:rsidP="00510301">
            <w:pPr>
              <w:pStyle w:val="TableText"/>
            </w:pPr>
          </w:p>
        </w:tc>
        <w:tc>
          <w:tcPr>
            <w:tcW w:w="7146" w:type="dxa"/>
            <w:gridSpan w:val="3"/>
          </w:tcPr>
          <w:p w14:paraId="06F245F6" w14:textId="77777777" w:rsidR="00510301" w:rsidRPr="00510301" w:rsidRDefault="00510301" w:rsidP="00054635">
            <w:pPr>
              <w:pStyle w:val="TableBlockOutdent"/>
              <w:rPr>
                <w:rtl/>
              </w:rPr>
            </w:pPr>
            <w:r>
              <w:rPr>
                <w:rtl/>
              </w:rPr>
              <w:t>"</w:t>
            </w:r>
            <w:r>
              <w:rPr>
                <w:rFonts w:hint="cs"/>
                <w:rtl/>
              </w:rPr>
              <w:t xml:space="preserve">כספית" - לרבות </w:t>
            </w:r>
            <w:r w:rsidR="00054635">
              <w:rPr>
                <w:rFonts w:hint="cs"/>
                <w:rtl/>
              </w:rPr>
              <w:t>סגסוגות ו</w:t>
            </w:r>
            <w:r>
              <w:rPr>
                <w:rFonts w:hint="cs"/>
                <w:rtl/>
              </w:rPr>
              <w:t xml:space="preserve">תערובות של כספית שריכוז הכספית בהן הוא לפחות 95 אחוזים ממשקל </w:t>
            </w:r>
            <w:r w:rsidRPr="001A5F9C">
              <w:rPr>
                <w:rFonts w:hint="cs"/>
                <w:rtl/>
              </w:rPr>
              <w:t xml:space="preserve">הסגסוגת </w:t>
            </w:r>
            <w:r w:rsidRPr="00054635">
              <w:rPr>
                <w:rFonts w:hint="cs"/>
                <w:rtl/>
              </w:rPr>
              <w:t>או התערובת</w:t>
            </w:r>
            <w:r w:rsidR="00054635">
              <w:rPr>
                <w:rFonts w:hint="cs"/>
                <w:rtl/>
              </w:rPr>
              <w:t>, לפי העניין</w:t>
            </w:r>
            <w:r>
              <w:rPr>
                <w:rFonts w:hint="cs"/>
                <w:rtl/>
              </w:rPr>
              <w:t>;</w:t>
            </w:r>
          </w:p>
        </w:tc>
      </w:tr>
      <w:tr w:rsidR="00510301" w14:paraId="36D8FB8E" w14:textId="77777777" w:rsidTr="008B5AA9">
        <w:trPr>
          <w:cantSplit/>
          <w:trHeight w:val="60"/>
        </w:trPr>
        <w:tc>
          <w:tcPr>
            <w:tcW w:w="1871" w:type="dxa"/>
          </w:tcPr>
          <w:p w14:paraId="26808D12" w14:textId="0DA49515" w:rsidR="00510301" w:rsidRDefault="00510301" w:rsidP="001A5F9C">
            <w:pPr>
              <w:pStyle w:val="TableSideHeading"/>
              <w:keepLines w:val="0"/>
              <w:rPr>
                <w:rtl/>
              </w:rPr>
            </w:pPr>
          </w:p>
        </w:tc>
        <w:tc>
          <w:tcPr>
            <w:tcW w:w="624" w:type="dxa"/>
          </w:tcPr>
          <w:p w14:paraId="2CB0AC5B" w14:textId="77777777" w:rsidR="00510301" w:rsidRDefault="00510301" w:rsidP="00510301">
            <w:pPr>
              <w:pStyle w:val="TableText"/>
            </w:pPr>
          </w:p>
        </w:tc>
        <w:tc>
          <w:tcPr>
            <w:tcW w:w="7146" w:type="dxa"/>
            <w:gridSpan w:val="3"/>
          </w:tcPr>
          <w:p w14:paraId="10D0D71C" w14:textId="77777777" w:rsidR="00510301" w:rsidRPr="00510301" w:rsidRDefault="00510301" w:rsidP="00382404">
            <w:pPr>
              <w:pStyle w:val="TableBlockOutdent"/>
              <w:rPr>
                <w:rtl/>
              </w:rPr>
            </w:pPr>
            <w:r>
              <w:rPr>
                <w:rtl/>
              </w:rPr>
              <w:t>"</w:t>
            </w:r>
            <w:r w:rsidRPr="00002BA8">
              <w:rPr>
                <w:rtl/>
              </w:rPr>
              <w:t>תרכובות כספית"</w:t>
            </w:r>
            <w:r>
              <w:rPr>
                <w:rFonts w:hint="cs"/>
                <w:rtl/>
              </w:rPr>
              <w:t xml:space="preserve">- </w:t>
            </w:r>
            <w:r>
              <w:rPr>
                <w:rtl/>
              </w:rPr>
              <w:t>כספית</w:t>
            </w:r>
            <w:r>
              <w:rPr>
                <w:rFonts w:hint="cs"/>
                <w:rtl/>
              </w:rPr>
              <w:t xml:space="preserve"> </w:t>
            </w:r>
            <w:r w:rsidRPr="00002BA8">
              <w:rPr>
                <w:rtl/>
              </w:rPr>
              <w:t>(</w:t>
            </w:r>
            <w:r w:rsidRPr="00002BA8">
              <w:t>I</w:t>
            </w:r>
            <w:r w:rsidRPr="00002BA8">
              <w:rPr>
                <w:rtl/>
              </w:rPr>
              <w:t>)</w:t>
            </w:r>
            <w:r>
              <w:rPr>
                <w:rFonts w:hint="cs"/>
                <w:rtl/>
              </w:rPr>
              <w:t xml:space="preserve"> </w:t>
            </w:r>
            <w:r w:rsidRPr="00002BA8">
              <w:rPr>
                <w:rtl/>
              </w:rPr>
              <w:t>כלורית</w:t>
            </w:r>
            <w:r>
              <w:rPr>
                <w:rFonts w:hint="cs"/>
                <w:rtl/>
              </w:rPr>
              <w:t xml:space="preserve"> </w:t>
            </w:r>
            <w:r w:rsidRPr="00002BA8">
              <w:rPr>
                <w:rtl/>
              </w:rPr>
              <w:t>(קאלומל</w:t>
            </w:r>
            <w:r w:rsidR="00BB2988">
              <w:rPr>
                <w:rFonts w:hint="cs"/>
                <w:rtl/>
              </w:rPr>
              <w:t xml:space="preserve">, </w:t>
            </w:r>
            <w:r w:rsidR="00BB2988" w:rsidRPr="00703495">
              <w:rPr>
                <w:rFonts w:cs="Arial"/>
                <w:szCs w:val="20"/>
              </w:rPr>
              <w:t>calomel</w:t>
            </w:r>
            <w:r w:rsidRPr="00002BA8">
              <w:rPr>
                <w:rtl/>
              </w:rPr>
              <w:t>), תחמוצ</w:t>
            </w:r>
            <w:r>
              <w:rPr>
                <w:rFonts w:hint="cs"/>
                <w:rtl/>
              </w:rPr>
              <w:t>ו</w:t>
            </w:r>
            <w:r w:rsidRPr="00002BA8">
              <w:rPr>
                <w:rtl/>
              </w:rPr>
              <w:t>ת כספית</w:t>
            </w:r>
            <w:r>
              <w:rPr>
                <w:rFonts w:hint="cs"/>
                <w:rtl/>
              </w:rPr>
              <w:t xml:space="preserve"> </w:t>
            </w:r>
            <w:r w:rsidRPr="00002BA8">
              <w:rPr>
                <w:rtl/>
              </w:rPr>
              <w:t>(</w:t>
            </w:r>
            <w:r w:rsidRPr="00002BA8">
              <w:t>II</w:t>
            </w:r>
            <w:r w:rsidRPr="00002BA8">
              <w:rPr>
                <w:rtl/>
              </w:rPr>
              <w:t>), סולפט כספית</w:t>
            </w:r>
            <w:r>
              <w:rPr>
                <w:rFonts w:hint="cs"/>
                <w:rtl/>
              </w:rPr>
              <w:t xml:space="preserve"> </w:t>
            </w:r>
            <w:r w:rsidRPr="00002BA8">
              <w:rPr>
                <w:rtl/>
              </w:rPr>
              <w:t>(</w:t>
            </w:r>
            <w:r w:rsidRPr="00002BA8">
              <w:t>II</w:t>
            </w:r>
            <w:r w:rsidRPr="00002BA8">
              <w:rPr>
                <w:rtl/>
              </w:rPr>
              <w:t>), ניטראט כספית</w:t>
            </w:r>
            <w:r>
              <w:rPr>
                <w:rFonts w:hint="cs"/>
                <w:rtl/>
              </w:rPr>
              <w:t xml:space="preserve"> </w:t>
            </w:r>
            <w:r w:rsidRPr="00002BA8">
              <w:rPr>
                <w:rtl/>
              </w:rPr>
              <w:t>(</w:t>
            </w:r>
            <w:r w:rsidRPr="00002BA8">
              <w:t>II</w:t>
            </w:r>
            <w:r w:rsidRPr="00002BA8">
              <w:rPr>
                <w:rtl/>
              </w:rPr>
              <w:t>), צ</w:t>
            </w:r>
            <w:r>
              <w:rPr>
                <w:rFonts w:hint="cs"/>
                <w:rtl/>
              </w:rPr>
              <w:t>י</w:t>
            </w:r>
            <w:r>
              <w:rPr>
                <w:rtl/>
              </w:rPr>
              <w:t>נ</w:t>
            </w:r>
            <w:r w:rsidRPr="00002BA8">
              <w:rPr>
                <w:rtl/>
              </w:rPr>
              <w:t>בר</w:t>
            </w:r>
            <w:r w:rsidR="00BB2988">
              <w:rPr>
                <w:rFonts w:hint="cs"/>
                <w:rtl/>
              </w:rPr>
              <w:t xml:space="preserve"> (</w:t>
            </w:r>
            <w:r w:rsidR="00BB2988" w:rsidRPr="00837A60">
              <w:rPr>
                <w:rFonts w:cs="Arial"/>
                <w:szCs w:val="20"/>
              </w:rPr>
              <w:t>cinnabar</w:t>
            </w:r>
            <w:r w:rsidR="00BB2988">
              <w:rPr>
                <w:rFonts w:hint="cs"/>
                <w:rtl/>
              </w:rPr>
              <w:t>)</w:t>
            </w:r>
            <w:r w:rsidRPr="00002BA8">
              <w:rPr>
                <w:rtl/>
              </w:rPr>
              <w:t xml:space="preserve"> וסולפיד הכספית</w:t>
            </w:r>
            <w:r w:rsidR="00382404">
              <w:rPr>
                <w:rFonts w:hint="cs"/>
                <w:rtl/>
              </w:rPr>
              <w:t>.</w:t>
            </w:r>
          </w:p>
        </w:tc>
      </w:tr>
      <w:tr w:rsidR="00510301" w14:paraId="6BC76B21" w14:textId="77777777" w:rsidTr="008B5AA9">
        <w:trPr>
          <w:cantSplit/>
          <w:trHeight w:val="60"/>
        </w:trPr>
        <w:tc>
          <w:tcPr>
            <w:tcW w:w="1871" w:type="dxa"/>
          </w:tcPr>
          <w:p w14:paraId="3D373AC5" w14:textId="77777777" w:rsidR="00510301" w:rsidRDefault="00510301" w:rsidP="001A5F9C">
            <w:pPr>
              <w:pStyle w:val="TableSideHeading"/>
              <w:keepLines w:val="0"/>
              <w:rPr>
                <w:rtl/>
              </w:rPr>
            </w:pPr>
          </w:p>
        </w:tc>
        <w:tc>
          <w:tcPr>
            <w:tcW w:w="624" w:type="dxa"/>
          </w:tcPr>
          <w:p w14:paraId="0AD67CA6" w14:textId="77777777" w:rsidR="00510301" w:rsidRDefault="00510301" w:rsidP="00510301">
            <w:pPr>
              <w:pStyle w:val="TableText"/>
            </w:pPr>
          </w:p>
        </w:tc>
        <w:tc>
          <w:tcPr>
            <w:tcW w:w="7146" w:type="dxa"/>
            <w:gridSpan w:val="3"/>
          </w:tcPr>
          <w:p w14:paraId="6178A10D" w14:textId="77777777" w:rsidR="00510301" w:rsidRDefault="00510301" w:rsidP="001C68CA">
            <w:pPr>
              <w:pStyle w:val="TableBlock"/>
              <w:numPr>
                <w:ilvl w:val="0"/>
                <w:numId w:val="13"/>
              </w:numPr>
              <w:tabs>
                <w:tab w:val="left" w:pos="624"/>
              </w:tabs>
              <w:rPr>
                <w:rtl/>
              </w:rPr>
            </w:pPr>
            <w:r>
              <w:rPr>
                <w:rFonts w:hint="cs"/>
                <w:rtl/>
              </w:rPr>
              <w:t>לא יכרה אדם כספית</w:t>
            </w:r>
            <w:r w:rsidRPr="001A5F9C">
              <w:rPr>
                <w:rFonts w:hint="cs"/>
                <w:rtl/>
              </w:rPr>
              <w:t>.</w:t>
            </w:r>
          </w:p>
        </w:tc>
      </w:tr>
      <w:tr w:rsidR="007A4231" w14:paraId="3CA6065A" w14:textId="77777777" w:rsidTr="008B5AA9">
        <w:trPr>
          <w:cantSplit/>
          <w:trHeight w:val="60"/>
        </w:trPr>
        <w:tc>
          <w:tcPr>
            <w:tcW w:w="1871" w:type="dxa"/>
          </w:tcPr>
          <w:p w14:paraId="5C65B10C" w14:textId="77777777" w:rsidR="007A4231" w:rsidRDefault="007A4231" w:rsidP="001A5F9C">
            <w:pPr>
              <w:pStyle w:val="TableSideHeading"/>
              <w:keepLines w:val="0"/>
              <w:rPr>
                <w:rtl/>
              </w:rPr>
            </w:pPr>
          </w:p>
        </w:tc>
        <w:tc>
          <w:tcPr>
            <w:tcW w:w="624" w:type="dxa"/>
          </w:tcPr>
          <w:p w14:paraId="4445EE1A" w14:textId="77777777" w:rsidR="007A4231" w:rsidRDefault="007A4231" w:rsidP="007A4231">
            <w:pPr>
              <w:pStyle w:val="TableText"/>
            </w:pPr>
          </w:p>
        </w:tc>
        <w:tc>
          <w:tcPr>
            <w:tcW w:w="7146" w:type="dxa"/>
            <w:gridSpan w:val="3"/>
          </w:tcPr>
          <w:p w14:paraId="49CC45FE" w14:textId="77777777" w:rsidR="007A4231" w:rsidRDefault="007A4231" w:rsidP="001C68CA">
            <w:pPr>
              <w:pStyle w:val="TableBlock"/>
              <w:numPr>
                <w:ilvl w:val="0"/>
                <w:numId w:val="13"/>
              </w:numPr>
              <w:tabs>
                <w:tab w:val="left" w:pos="624"/>
              </w:tabs>
              <w:rPr>
                <w:rtl/>
              </w:rPr>
            </w:pPr>
            <w:r>
              <w:rPr>
                <w:rFonts w:hint="cs"/>
                <w:rtl/>
              </w:rPr>
              <w:t xml:space="preserve">לא </w:t>
            </w:r>
            <w:r w:rsidRPr="0097378E">
              <w:rPr>
                <w:rtl/>
              </w:rPr>
              <w:t>ייצא</w:t>
            </w:r>
            <w:r>
              <w:rPr>
                <w:rFonts w:hint="cs"/>
                <w:rtl/>
              </w:rPr>
              <w:t xml:space="preserve"> </w:t>
            </w:r>
            <w:r w:rsidRPr="0097378E">
              <w:rPr>
                <w:rtl/>
              </w:rPr>
              <w:t>אדם</w:t>
            </w:r>
            <w:r>
              <w:rPr>
                <w:rFonts w:hint="cs"/>
                <w:rtl/>
              </w:rPr>
              <w:t xml:space="preserve"> </w:t>
            </w:r>
            <w:r w:rsidRPr="0097378E">
              <w:rPr>
                <w:rtl/>
              </w:rPr>
              <w:t>כספית</w:t>
            </w:r>
            <w:r>
              <w:rPr>
                <w:rFonts w:hint="cs"/>
                <w:rtl/>
              </w:rPr>
              <w:t xml:space="preserve">, </w:t>
            </w:r>
            <w:r w:rsidRPr="0097378E">
              <w:rPr>
                <w:rtl/>
              </w:rPr>
              <w:t>אלא לפי תעודת היתר מאת הממונה ובהתאם לתנאיו, ולאחר שהוכח להנחת דעתו של הממונה כי</w:t>
            </w:r>
            <w:r>
              <w:rPr>
                <w:rFonts w:hint="cs"/>
                <w:rtl/>
              </w:rPr>
              <w:t xml:space="preserve"> התקיימו כל אלה </w:t>
            </w:r>
            <w:r w:rsidRPr="0097378E">
              <w:rPr>
                <w:rtl/>
              </w:rPr>
              <w:t>-</w:t>
            </w:r>
          </w:p>
        </w:tc>
      </w:tr>
      <w:tr w:rsidR="007A4231" w14:paraId="5E0FEEE4" w14:textId="77777777">
        <w:trPr>
          <w:cantSplit/>
          <w:trHeight w:val="60"/>
        </w:trPr>
        <w:tc>
          <w:tcPr>
            <w:tcW w:w="1871" w:type="dxa"/>
          </w:tcPr>
          <w:p w14:paraId="484E85CF" w14:textId="77777777" w:rsidR="007A4231" w:rsidRDefault="007A4231">
            <w:pPr>
              <w:pStyle w:val="TableSideHeading"/>
            </w:pPr>
          </w:p>
        </w:tc>
        <w:tc>
          <w:tcPr>
            <w:tcW w:w="624" w:type="dxa"/>
          </w:tcPr>
          <w:p w14:paraId="07702B3F" w14:textId="77777777" w:rsidR="007A4231" w:rsidRDefault="007A4231">
            <w:pPr>
              <w:pStyle w:val="TableText"/>
            </w:pPr>
          </w:p>
        </w:tc>
        <w:tc>
          <w:tcPr>
            <w:tcW w:w="624" w:type="dxa"/>
          </w:tcPr>
          <w:p w14:paraId="7537C994" w14:textId="77777777" w:rsidR="007A4231" w:rsidRDefault="007A4231">
            <w:pPr>
              <w:pStyle w:val="TableText"/>
            </w:pPr>
          </w:p>
        </w:tc>
        <w:tc>
          <w:tcPr>
            <w:tcW w:w="6522" w:type="dxa"/>
            <w:gridSpan w:val="2"/>
          </w:tcPr>
          <w:p w14:paraId="783D2DB8" w14:textId="77777777" w:rsidR="007A4231" w:rsidRDefault="007A4231" w:rsidP="001C68CA">
            <w:pPr>
              <w:pStyle w:val="TableBlock"/>
              <w:numPr>
                <w:ilvl w:val="0"/>
                <w:numId w:val="11"/>
              </w:numPr>
              <w:tabs>
                <w:tab w:val="left" w:pos="624"/>
              </w:tabs>
            </w:pPr>
            <w:r>
              <w:rPr>
                <w:rFonts w:hint="cs"/>
                <w:rtl/>
              </w:rPr>
              <w:t xml:space="preserve">אם הייצוא הוא למדינה חברה </w:t>
            </w:r>
            <w:r>
              <w:rPr>
                <w:rtl/>
              </w:rPr>
              <w:t>–</w:t>
            </w:r>
            <w:r>
              <w:rPr>
                <w:rFonts w:hint="cs"/>
                <w:rtl/>
              </w:rPr>
              <w:t xml:space="preserve"> ניתנה הסכמה בכתב של אותה מדינה, והייצוא הוא לצורך שימוש מותר לאותה מדינה לפי האמנה או שהוא לצורך אחסון ביניים נאות.</w:t>
            </w:r>
          </w:p>
        </w:tc>
      </w:tr>
      <w:tr w:rsidR="007A4231" w14:paraId="656911ED" w14:textId="77777777">
        <w:trPr>
          <w:cantSplit/>
          <w:trHeight w:val="60"/>
        </w:trPr>
        <w:tc>
          <w:tcPr>
            <w:tcW w:w="1871" w:type="dxa"/>
          </w:tcPr>
          <w:p w14:paraId="244C9532" w14:textId="77777777" w:rsidR="007A4231" w:rsidRDefault="007A4231">
            <w:pPr>
              <w:pStyle w:val="TableSideHeading"/>
            </w:pPr>
          </w:p>
        </w:tc>
        <w:tc>
          <w:tcPr>
            <w:tcW w:w="624" w:type="dxa"/>
          </w:tcPr>
          <w:p w14:paraId="29045603" w14:textId="77777777" w:rsidR="007A4231" w:rsidRDefault="007A4231" w:rsidP="007A4231">
            <w:pPr>
              <w:pStyle w:val="TableText"/>
            </w:pPr>
          </w:p>
        </w:tc>
        <w:tc>
          <w:tcPr>
            <w:tcW w:w="624" w:type="dxa"/>
          </w:tcPr>
          <w:p w14:paraId="2664896F" w14:textId="77777777" w:rsidR="007A4231" w:rsidRDefault="007A4231">
            <w:pPr>
              <w:pStyle w:val="TableText"/>
            </w:pPr>
          </w:p>
        </w:tc>
        <w:tc>
          <w:tcPr>
            <w:tcW w:w="6522" w:type="dxa"/>
            <w:gridSpan w:val="2"/>
          </w:tcPr>
          <w:p w14:paraId="79F920B7" w14:textId="77777777" w:rsidR="007A4231" w:rsidRDefault="007A4231" w:rsidP="001C68CA">
            <w:pPr>
              <w:pStyle w:val="TableBlock"/>
              <w:numPr>
                <w:ilvl w:val="0"/>
                <w:numId w:val="11"/>
              </w:numPr>
              <w:tabs>
                <w:tab w:val="left" w:pos="624"/>
              </w:tabs>
              <w:rPr>
                <w:rtl/>
              </w:rPr>
            </w:pPr>
            <w:r>
              <w:rPr>
                <w:rFonts w:hint="cs"/>
                <w:rtl/>
              </w:rPr>
              <w:t xml:space="preserve">אם הייצוא הוא למדינה שאינה חברה - ניתנה הסכמה בכתב של אותה מדינה, הכולל תעודה </w:t>
            </w:r>
            <w:r w:rsidR="008A5CAD">
              <w:rPr>
                <w:rFonts w:hint="cs"/>
                <w:rtl/>
              </w:rPr>
              <w:t xml:space="preserve">ערוכה על פי דרישות האמנה, </w:t>
            </w:r>
            <w:r>
              <w:rPr>
                <w:rFonts w:hint="cs"/>
                <w:rtl/>
              </w:rPr>
              <w:t xml:space="preserve">המאשרת </w:t>
            </w:r>
            <w:r w:rsidR="00D47623">
              <w:rPr>
                <w:rFonts w:hint="cs"/>
                <w:rtl/>
              </w:rPr>
              <w:t>את כל אלה:</w:t>
            </w:r>
          </w:p>
        </w:tc>
      </w:tr>
      <w:tr w:rsidR="00D47623" w14:paraId="6861430D" w14:textId="77777777">
        <w:trPr>
          <w:cantSplit/>
          <w:trHeight w:val="60"/>
        </w:trPr>
        <w:tc>
          <w:tcPr>
            <w:tcW w:w="1871" w:type="dxa"/>
          </w:tcPr>
          <w:p w14:paraId="0AE19E46" w14:textId="77777777" w:rsidR="00D47623" w:rsidRDefault="00D47623">
            <w:pPr>
              <w:pStyle w:val="TableSideHeading"/>
            </w:pPr>
          </w:p>
        </w:tc>
        <w:tc>
          <w:tcPr>
            <w:tcW w:w="624" w:type="dxa"/>
          </w:tcPr>
          <w:p w14:paraId="0C81897F" w14:textId="77777777" w:rsidR="00D47623" w:rsidRDefault="00D47623">
            <w:pPr>
              <w:pStyle w:val="TableText"/>
            </w:pPr>
          </w:p>
        </w:tc>
        <w:tc>
          <w:tcPr>
            <w:tcW w:w="624" w:type="dxa"/>
          </w:tcPr>
          <w:p w14:paraId="60848B1A" w14:textId="77777777" w:rsidR="00D47623" w:rsidRDefault="00D47623">
            <w:pPr>
              <w:pStyle w:val="TableText"/>
            </w:pPr>
          </w:p>
        </w:tc>
        <w:tc>
          <w:tcPr>
            <w:tcW w:w="624" w:type="dxa"/>
          </w:tcPr>
          <w:p w14:paraId="57D9469A" w14:textId="77777777" w:rsidR="00D47623" w:rsidRDefault="00D47623">
            <w:pPr>
              <w:pStyle w:val="TableText"/>
            </w:pPr>
          </w:p>
        </w:tc>
        <w:tc>
          <w:tcPr>
            <w:tcW w:w="5898" w:type="dxa"/>
          </w:tcPr>
          <w:p w14:paraId="457659D6" w14:textId="77777777" w:rsidR="00D47623" w:rsidRDefault="00D47623" w:rsidP="001C68CA">
            <w:pPr>
              <w:pStyle w:val="TableBlock"/>
              <w:numPr>
                <w:ilvl w:val="0"/>
                <w:numId w:val="12"/>
              </w:numPr>
              <w:tabs>
                <w:tab w:val="left" w:pos="624"/>
              </w:tabs>
            </w:pPr>
            <w:r>
              <w:rPr>
                <w:rFonts w:hint="cs"/>
                <w:rtl/>
              </w:rPr>
              <w:t xml:space="preserve">קיימים במדינה אמצעים מספיקים על מנת להבטיח הגנה </w:t>
            </w:r>
            <w:r w:rsidRPr="0022373A">
              <w:rPr>
                <w:rtl/>
              </w:rPr>
              <w:t>על בריאות הציבור והסביבה</w:t>
            </w:r>
            <w:r>
              <w:rPr>
                <w:rFonts w:hint="cs"/>
                <w:rtl/>
              </w:rPr>
              <w:t xml:space="preserve"> ועמידה בדרישות האמנה לעניין אחסון ביניים נאות ולעניין טיפול בפסולת.</w:t>
            </w:r>
          </w:p>
        </w:tc>
      </w:tr>
      <w:tr w:rsidR="001200D5" w14:paraId="0F7F8C0B" w14:textId="77777777">
        <w:trPr>
          <w:cantSplit/>
          <w:trHeight w:val="60"/>
        </w:trPr>
        <w:tc>
          <w:tcPr>
            <w:tcW w:w="1871" w:type="dxa"/>
          </w:tcPr>
          <w:p w14:paraId="76564188" w14:textId="77777777" w:rsidR="001200D5" w:rsidRDefault="001200D5">
            <w:pPr>
              <w:pStyle w:val="TableSideHeading"/>
            </w:pPr>
          </w:p>
        </w:tc>
        <w:tc>
          <w:tcPr>
            <w:tcW w:w="624" w:type="dxa"/>
          </w:tcPr>
          <w:p w14:paraId="661CE941" w14:textId="77777777" w:rsidR="001200D5" w:rsidRDefault="001200D5" w:rsidP="001200D5">
            <w:pPr>
              <w:pStyle w:val="TableText"/>
            </w:pPr>
          </w:p>
        </w:tc>
        <w:tc>
          <w:tcPr>
            <w:tcW w:w="624" w:type="dxa"/>
          </w:tcPr>
          <w:p w14:paraId="7E2D3D59" w14:textId="77777777" w:rsidR="001200D5" w:rsidRDefault="001200D5">
            <w:pPr>
              <w:pStyle w:val="TableText"/>
            </w:pPr>
          </w:p>
        </w:tc>
        <w:tc>
          <w:tcPr>
            <w:tcW w:w="624" w:type="dxa"/>
          </w:tcPr>
          <w:p w14:paraId="28977E43" w14:textId="77777777" w:rsidR="001200D5" w:rsidRDefault="001200D5">
            <w:pPr>
              <w:pStyle w:val="TableText"/>
            </w:pPr>
          </w:p>
        </w:tc>
        <w:tc>
          <w:tcPr>
            <w:tcW w:w="5898" w:type="dxa"/>
          </w:tcPr>
          <w:p w14:paraId="56D39ECA" w14:textId="77777777" w:rsidR="001200D5" w:rsidRDefault="001200D5" w:rsidP="001C68CA">
            <w:pPr>
              <w:pStyle w:val="TableBlock"/>
              <w:numPr>
                <w:ilvl w:val="0"/>
                <w:numId w:val="12"/>
              </w:numPr>
              <w:tabs>
                <w:tab w:val="left" w:pos="624"/>
              </w:tabs>
              <w:rPr>
                <w:rtl/>
              </w:rPr>
            </w:pPr>
            <w:r>
              <w:rPr>
                <w:rFonts w:hint="cs"/>
                <w:rtl/>
              </w:rPr>
              <w:t>יבוא הכספית הוא לצורך שימוש מותר למדינה חברה לפי האמנה או לצורך אחסון ביניים נאות.</w:t>
            </w:r>
          </w:p>
        </w:tc>
      </w:tr>
      <w:tr w:rsidR="001A5F9C" w14:paraId="0CD68FD1" w14:textId="77777777" w:rsidTr="008B5AA9">
        <w:trPr>
          <w:cantSplit/>
          <w:trHeight w:val="60"/>
        </w:trPr>
        <w:tc>
          <w:tcPr>
            <w:tcW w:w="1871" w:type="dxa"/>
          </w:tcPr>
          <w:p w14:paraId="2B2C419D" w14:textId="77777777" w:rsidR="001A5F9C" w:rsidRDefault="001A5F9C" w:rsidP="007A4231">
            <w:pPr>
              <w:pStyle w:val="TableSideHeading"/>
              <w:keepLines w:val="0"/>
              <w:rPr>
                <w:rtl/>
              </w:rPr>
            </w:pPr>
          </w:p>
        </w:tc>
        <w:tc>
          <w:tcPr>
            <w:tcW w:w="624" w:type="dxa"/>
          </w:tcPr>
          <w:p w14:paraId="5BDDDFAD" w14:textId="77777777" w:rsidR="001A5F9C" w:rsidRDefault="001A5F9C" w:rsidP="001A5F9C">
            <w:pPr>
              <w:pStyle w:val="TableText"/>
            </w:pPr>
          </w:p>
        </w:tc>
        <w:tc>
          <w:tcPr>
            <w:tcW w:w="7146" w:type="dxa"/>
            <w:gridSpan w:val="3"/>
          </w:tcPr>
          <w:p w14:paraId="69DAE02A" w14:textId="77777777" w:rsidR="001A5F9C" w:rsidRPr="0097378E" w:rsidRDefault="0097378E" w:rsidP="001C68CA">
            <w:pPr>
              <w:pStyle w:val="TableBlock"/>
              <w:numPr>
                <w:ilvl w:val="0"/>
                <w:numId w:val="13"/>
              </w:numPr>
              <w:tabs>
                <w:tab w:val="left" w:pos="624"/>
              </w:tabs>
              <w:rPr>
                <w:rtl/>
              </w:rPr>
            </w:pPr>
            <w:r w:rsidRPr="0097378E">
              <w:rPr>
                <w:rtl/>
              </w:rPr>
              <w:t>לא ייבא אדם לישראל</w:t>
            </w:r>
            <w:r w:rsidR="00B07511">
              <w:rPr>
                <w:rFonts w:hint="cs"/>
                <w:rtl/>
              </w:rPr>
              <w:t xml:space="preserve"> כספית </w:t>
            </w:r>
            <w:r w:rsidR="00B07511" w:rsidRPr="00D11FDA">
              <w:rPr>
                <w:rtl/>
              </w:rPr>
              <w:t>ממדינה שאינה חברה</w:t>
            </w:r>
            <w:r w:rsidR="00033C23">
              <w:rPr>
                <w:rFonts w:hint="cs"/>
                <w:rtl/>
              </w:rPr>
              <w:t>,</w:t>
            </w:r>
            <w:r w:rsidRPr="0097378E">
              <w:rPr>
                <w:rtl/>
              </w:rPr>
              <w:t xml:space="preserve"> אלא לפי תעודת היתר מאת הממונה ובהתאם לתנאיו, </w:t>
            </w:r>
            <w:r w:rsidR="000B1668">
              <w:rPr>
                <w:rFonts w:hint="cs"/>
                <w:rtl/>
              </w:rPr>
              <w:t xml:space="preserve">ובלבד שניתנה תעודה, ערוכה על פי דרישות האמנה, המאשרת כי אינה ממקור </w:t>
            </w:r>
            <w:r w:rsidR="00F93E01">
              <w:rPr>
                <w:rFonts w:hint="cs"/>
                <w:rtl/>
              </w:rPr>
              <w:t>אסור</w:t>
            </w:r>
            <w:r w:rsidR="000B1668">
              <w:rPr>
                <w:rFonts w:hint="cs"/>
                <w:rtl/>
              </w:rPr>
              <w:t xml:space="preserve"> לפי </w:t>
            </w:r>
            <w:r w:rsidR="00F93E01">
              <w:rPr>
                <w:rFonts w:hint="cs"/>
                <w:rtl/>
              </w:rPr>
              <w:t xml:space="preserve">הוראות </w:t>
            </w:r>
            <w:r w:rsidR="000B1668">
              <w:rPr>
                <w:rFonts w:hint="cs"/>
                <w:rtl/>
              </w:rPr>
              <w:t>האמנה.</w:t>
            </w:r>
            <w:r w:rsidR="00C851A6">
              <w:rPr>
                <w:rFonts w:hint="cs"/>
                <w:rtl/>
              </w:rPr>
              <w:t xml:space="preserve"> </w:t>
            </w:r>
          </w:p>
        </w:tc>
      </w:tr>
      <w:tr w:rsidR="001A5F9C" w14:paraId="267C54E0" w14:textId="77777777" w:rsidTr="008B5AA9">
        <w:trPr>
          <w:cantSplit/>
          <w:trHeight w:val="60"/>
        </w:trPr>
        <w:tc>
          <w:tcPr>
            <w:tcW w:w="1871" w:type="dxa"/>
          </w:tcPr>
          <w:p w14:paraId="1E57EF43" w14:textId="77777777" w:rsidR="001A5F9C" w:rsidRDefault="001A5F9C" w:rsidP="001A5F9C">
            <w:pPr>
              <w:pStyle w:val="TableSideHeading"/>
              <w:keepLines w:val="0"/>
              <w:rPr>
                <w:rtl/>
              </w:rPr>
            </w:pPr>
          </w:p>
        </w:tc>
        <w:tc>
          <w:tcPr>
            <w:tcW w:w="624" w:type="dxa"/>
          </w:tcPr>
          <w:p w14:paraId="2E82A8DE" w14:textId="77777777" w:rsidR="001A5F9C" w:rsidRDefault="001A5F9C" w:rsidP="001A5F9C">
            <w:pPr>
              <w:pStyle w:val="TableText"/>
            </w:pPr>
          </w:p>
        </w:tc>
        <w:tc>
          <w:tcPr>
            <w:tcW w:w="7146" w:type="dxa"/>
            <w:gridSpan w:val="3"/>
          </w:tcPr>
          <w:p w14:paraId="65952A15" w14:textId="77777777" w:rsidR="001A5F9C" w:rsidRDefault="001A5F9C" w:rsidP="001C68CA">
            <w:pPr>
              <w:pStyle w:val="TableBlock"/>
              <w:numPr>
                <w:ilvl w:val="0"/>
                <w:numId w:val="13"/>
              </w:numPr>
              <w:tabs>
                <w:tab w:val="left" w:pos="624"/>
              </w:tabs>
              <w:rPr>
                <w:rtl/>
              </w:rPr>
            </w:pPr>
            <w:r>
              <w:rPr>
                <w:rFonts w:hint="cs"/>
                <w:rtl/>
              </w:rPr>
              <w:t>הוראות תקנה זו לא יחולו על כל אלה:</w:t>
            </w:r>
          </w:p>
        </w:tc>
      </w:tr>
      <w:tr w:rsidR="001A5F9C" w14:paraId="757E61DD" w14:textId="77777777">
        <w:trPr>
          <w:cantSplit/>
          <w:trHeight w:val="60"/>
        </w:trPr>
        <w:tc>
          <w:tcPr>
            <w:tcW w:w="1871" w:type="dxa"/>
          </w:tcPr>
          <w:p w14:paraId="0AD0E8C6" w14:textId="77777777" w:rsidR="001A5F9C" w:rsidRDefault="001A5F9C">
            <w:pPr>
              <w:pStyle w:val="TableSideHeading"/>
            </w:pPr>
          </w:p>
        </w:tc>
        <w:tc>
          <w:tcPr>
            <w:tcW w:w="624" w:type="dxa"/>
          </w:tcPr>
          <w:p w14:paraId="0B7EADC7" w14:textId="77777777" w:rsidR="001A5F9C" w:rsidRDefault="001A5F9C">
            <w:pPr>
              <w:pStyle w:val="TableText"/>
            </w:pPr>
          </w:p>
        </w:tc>
        <w:tc>
          <w:tcPr>
            <w:tcW w:w="624" w:type="dxa"/>
          </w:tcPr>
          <w:p w14:paraId="15DD6777" w14:textId="77777777" w:rsidR="001A5F9C" w:rsidRDefault="001A5F9C">
            <w:pPr>
              <w:pStyle w:val="TableText"/>
            </w:pPr>
          </w:p>
        </w:tc>
        <w:tc>
          <w:tcPr>
            <w:tcW w:w="6522" w:type="dxa"/>
            <w:gridSpan w:val="2"/>
          </w:tcPr>
          <w:p w14:paraId="69D6EE3C" w14:textId="77777777" w:rsidR="001A5F9C" w:rsidRDefault="001A5F9C" w:rsidP="001C68CA">
            <w:pPr>
              <w:pStyle w:val="TableBlock"/>
              <w:numPr>
                <w:ilvl w:val="0"/>
                <w:numId w:val="9"/>
              </w:numPr>
              <w:tabs>
                <w:tab w:val="left" w:pos="624"/>
              </w:tabs>
            </w:pPr>
            <w:r>
              <w:rPr>
                <w:rFonts w:hint="cs"/>
                <w:rtl/>
              </w:rPr>
              <w:t xml:space="preserve">כספית או תרכובת כספית המיועדת לשימוש לצורך מחקר בקנה מידה מעבדתי או </w:t>
            </w:r>
            <w:r w:rsidRPr="001B07D1">
              <w:rPr>
                <w:rFonts w:hint="cs"/>
                <w:rtl/>
              </w:rPr>
              <w:t xml:space="preserve">כתקן </w:t>
            </w:r>
            <w:r w:rsidR="00002BA8" w:rsidRPr="001B07D1">
              <w:rPr>
                <w:rFonts w:hint="cs"/>
                <w:rtl/>
              </w:rPr>
              <w:t>ל</w:t>
            </w:r>
            <w:r w:rsidR="001B07D1">
              <w:rPr>
                <w:rFonts w:hint="cs"/>
                <w:rtl/>
              </w:rPr>
              <w:t>מדידה</w:t>
            </w:r>
            <w:r w:rsidR="00C910E4">
              <w:rPr>
                <w:rFonts w:hint="cs"/>
                <w:rtl/>
              </w:rPr>
              <w:t xml:space="preserve"> (</w:t>
            </w:r>
            <w:r w:rsidR="00C910E4">
              <w:t>reference standard</w:t>
            </w:r>
            <w:r w:rsidR="00C910E4">
              <w:rPr>
                <w:rFonts w:hint="cs"/>
                <w:rtl/>
              </w:rPr>
              <w:t>)</w:t>
            </w:r>
            <w:r w:rsidR="009C1AC8">
              <w:rPr>
                <w:rFonts w:hint="cs"/>
                <w:rtl/>
              </w:rPr>
              <w:t>, ובכמות המתאימה לשימוש כאמור</w:t>
            </w:r>
            <w:r w:rsidR="001B07D1">
              <w:rPr>
                <w:rFonts w:hint="cs"/>
                <w:rtl/>
              </w:rPr>
              <w:t>;</w:t>
            </w:r>
          </w:p>
        </w:tc>
      </w:tr>
      <w:tr w:rsidR="001A5F9C" w14:paraId="67F219A5" w14:textId="77777777">
        <w:trPr>
          <w:cantSplit/>
          <w:trHeight w:val="60"/>
        </w:trPr>
        <w:tc>
          <w:tcPr>
            <w:tcW w:w="1871" w:type="dxa"/>
          </w:tcPr>
          <w:p w14:paraId="0C7D54F9" w14:textId="77777777" w:rsidR="001A5F9C" w:rsidRDefault="001A5F9C">
            <w:pPr>
              <w:pStyle w:val="TableSideHeading"/>
            </w:pPr>
          </w:p>
        </w:tc>
        <w:tc>
          <w:tcPr>
            <w:tcW w:w="624" w:type="dxa"/>
          </w:tcPr>
          <w:p w14:paraId="3F318755" w14:textId="77777777" w:rsidR="001A5F9C" w:rsidRDefault="001A5F9C" w:rsidP="001A5F9C">
            <w:pPr>
              <w:pStyle w:val="TableText"/>
            </w:pPr>
          </w:p>
        </w:tc>
        <w:tc>
          <w:tcPr>
            <w:tcW w:w="624" w:type="dxa"/>
          </w:tcPr>
          <w:p w14:paraId="6A21AE87" w14:textId="77777777" w:rsidR="001A5F9C" w:rsidRDefault="001A5F9C">
            <w:pPr>
              <w:pStyle w:val="TableText"/>
            </w:pPr>
          </w:p>
        </w:tc>
        <w:tc>
          <w:tcPr>
            <w:tcW w:w="6522" w:type="dxa"/>
            <w:gridSpan w:val="2"/>
          </w:tcPr>
          <w:p w14:paraId="29316B67" w14:textId="77777777" w:rsidR="001A5F9C" w:rsidRDefault="00FD6F2A" w:rsidP="001C68CA">
            <w:pPr>
              <w:pStyle w:val="TableBlock"/>
              <w:numPr>
                <w:ilvl w:val="0"/>
                <w:numId w:val="9"/>
              </w:numPr>
              <w:rPr>
                <w:rtl/>
              </w:rPr>
            </w:pPr>
            <w:r w:rsidRPr="00FD6F2A">
              <w:rPr>
                <w:rtl/>
              </w:rPr>
              <w:t xml:space="preserve">כמויות </w:t>
            </w:r>
            <w:r w:rsidR="009C1AC8" w:rsidRPr="001B07D1">
              <w:rPr>
                <w:rFonts w:hint="cs"/>
                <w:rtl/>
              </w:rPr>
              <w:t>שארתיות</w:t>
            </w:r>
            <w:r w:rsidR="009C1AC8">
              <w:rPr>
                <w:rFonts w:hint="cs"/>
                <w:rtl/>
              </w:rPr>
              <w:t xml:space="preserve"> </w:t>
            </w:r>
            <w:r w:rsidRPr="00FD6F2A">
              <w:rPr>
                <w:rtl/>
              </w:rPr>
              <w:t xml:space="preserve">טבעיות של כספית או תרכובות כספית הקיימות במוצרים כגון מתכות, עפרות, או מוצרים מינרליים, </w:t>
            </w:r>
            <w:r w:rsidR="009C1AC8">
              <w:rPr>
                <w:rFonts w:hint="cs"/>
                <w:rtl/>
              </w:rPr>
              <w:t>לרבות</w:t>
            </w:r>
            <w:r w:rsidRPr="00FD6F2A">
              <w:rPr>
                <w:rtl/>
              </w:rPr>
              <w:t xml:space="preserve"> פחם, או מוצרים </w:t>
            </w:r>
            <w:r w:rsidR="009C1AC8">
              <w:rPr>
                <w:rFonts w:hint="cs"/>
                <w:rtl/>
              </w:rPr>
              <w:t>שיוצרו ממוצרים כאמור</w:t>
            </w:r>
            <w:r w:rsidRPr="00FD6F2A">
              <w:rPr>
                <w:rtl/>
              </w:rPr>
              <w:t>, ו</w:t>
            </w:r>
            <w:r w:rsidR="009C1AC8">
              <w:rPr>
                <w:rFonts w:hint="cs"/>
                <w:rtl/>
              </w:rPr>
              <w:t xml:space="preserve">כן </w:t>
            </w:r>
            <w:r w:rsidRPr="00FD6F2A">
              <w:rPr>
                <w:rtl/>
              </w:rPr>
              <w:t xml:space="preserve">כמויות </w:t>
            </w:r>
            <w:r w:rsidR="009C1AC8" w:rsidRPr="001B07D1">
              <w:rPr>
                <w:rFonts w:hint="cs"/>
                <w:rtl/>
              </w:rPr>
              <w:t>שארתיות</w:t>
            </w:r>
            <w:r w:rsidR="009C1AC8">
              <w:rPr>
                <w:rFonts w:hint="cs"/>
                <w:rtl/>
              </w:rPr>
              <w:t xml:space="preserve"> </w:t>
            </w:r>
            <w:r w:rsidRPr="00FD6F2A">
              <w:rPr>
                <w:rtl/>
              </w:rPr>
              <w:t>במוצרים כימיים</w:t>
            </w:r>
            <w:r w:rsidR="009C1AC8" w:rsidRPr="00FD6F2A">
              <w:rPr>
                <w:rtl/>
              </w:rPr>
              <w:t xml:space="preserve"> </w:t>
            </w:r>
            <w:r w:rsidR="009C1AC8">
              <w:rPr>
                <w:rFonts w:hint="cs"/>
                <w:rtl/>
              </w:rPr>
              <w:t>שלא הוספו במכוון</w:t>
            </w:r>
            <w:r>
              <w:rPr>
                <w:rFonts w:hint="cs"/>
                <w:rtl/>
              </w:rPr>
              <w:t>;</w:t>
            </w:r>
            <w:r w:rsidR="009C1AC8">
              <w:rPr>
                <w:rFonts w:hint="cs"/>
                <w:rtl/>
              </w:rPr>
              <w:t xml:space="preserve"> </w:t>
            </w:r>
          </w:p>
        </w:tc>
      </w:tr>
      <w:tr w:rsidR="00FD6F2A" w14:paraId="6712BB59" w14:textId="77777777">
        <w:trPr>
          <w:cantSplit/>
          <w:trHeight w:val="60"/>
        </w:trPr>
        <w:tc>
          <w:tcPr>
            <w:tcW w:w="1871" w:type="dxa"/>
          </w:tcPr>
          <w:p w14:paraId="4DCEB6DE" w14:textId="77777777" w:rsidR="00FD6F2A" w:rsidRDefault="00FD6F2A">
            <w:pPr>
              <w:pStyle w:val="TableSideHeading"/>
            </w:pPr>
          </w:p>
        </w:tc>
        <w:tc>
          <w:tcPr>
            <w:tcW w:w="624" w:type="dxa"/>
          </w:tcPr>
          <w:p w14:paraId="0E4A3A05" w14:textId="77777777" w:rsidR="00FD6F2A" w:rsidRDefault="00FD6F2A" w:rsidP="00480049">
            <w:pPr>
              <w:pStyle w:val="TableText"/>
            </w:pPr>
          </w:p>
        </w:tc>
        <w:tc>
          <w:tcPr>
            <w:tcW w:w="624" w:type="dxa"/>
          </w:tcPr>
          <w:p w14:paraId="50A07D59" w14:textId="77777777" w:rsidR="00FD6F2A" w:rsidRDefault="00FD6F2A">
            <w:pPr>
              <w:pStyle w:val="TableText"/>
            </w:pPr>
          </w:p>
        </w:tc>
        <w:tc>
          <w:tcPr>
            <w:tcW w:w="6522" w:type="dxa"/>
            <w:gridSpan w:val="2"/>
          </w:tcPr>
          <w:p w14:paraId="37F5ADA1" w14:textId="77777777" w:rsidR="00FD6F2A" w:rsidRPr="00FD6F2A" w:rsidRDefault="00FD6F2A" w:rsidP="001C68CA">
            <w:pPr>
              <w:pStyle w:val="TableBlock"/>
              <w:numPr>
                <w:ilvl w:val="0"/>
                <w:numId w:val="9"/>
              </w:numPr>
              <w:rPr>
                <w:rtl/>
              </w:rPr>
            </w:pPr>
            <w:r w:rsidRPr="00FD6F2A">
              <w:rPr>
                <w:rtl/>
              </w:rPr>
              <w:t xml:space="preserve">מוצרים </w:t>
            </w:r>
            <w:r w:rsidR="00033C23">
              <w:rPr>
                <w:rFonts w:hint="cs"/>
                <w:rtl/>
              </w:rPr>
              <w:t>מכילים</w:t>
            </w:r>
            <w:r w:rsidRPr="00FD6F2A">
              <w:rPr>
                <w:rtl/>
              </w:rPr>
              <w:t xml:space="preserve"> כספית.</w:t>
            </w:r>
          </w:p>
        </w:tc>
      </w:tr>
      <w:tr w:rsidR="0022373A" w14:paraId="052C6C34" w14:textId="77777777" w:rsidTr="008B5AA9">
        <w:trPr>
          <w:cantSplit/>
          <w:trHeight w:val="60"/>
        </w:trPr>
        <w:tc>
          <w:tcPr>
            <w:tcW w:w="1871" w:type="dxa"/>
          </w:tcPr>
          <w:p w14:paraId="54AA3892" w14:textId="77777777" w:rsidR="0022373A" w:rsidRDefault="00EF6ABB" w:rsidP="002D0712">
            <w:pPr>
              <w:pStyle w:val="TableSideHeading"/>
              <w:keepLines w:val="0"/>
            </w:pPr>
            <w:r>
              <w:rPr>
                <w:rFonts w:hint="cs"/>
                <w:rtl/>
              </w:rPr>
              <w:t xml:space="preserve">הגבלת </w:t>
            </w:r>
            <w:r w:rsidR="00084EA8">
              <w:rPr>
                <w:rFonts w:hint="cs"/>
                <w:rtl/>
              </w:rPr>
              <w:t>ייצור</w:t>
            </w:r>
            <w:r w:rsidR="002D0712">
              <w:rPr>
                <w:rFonts w:hint="cs"/>
                <w:rtl/>
              </w:rPr>
              <w:t xml:space="preserve"> וסחר</w:t>
            </w:r>
            <w:r w:rsidR="00084EA8">
              <w:rPr>
                <w:rFonts w:hint="cs"/>
                <w:rtl/>
              </w:rPr>
              <w:t xml:space="preserve"> </w:t>
            </w:r>
            <w:r w:rsidR="002D0712">
              <w:rPr>
                <w:rFonts w:hint="cs"/>
                <w:rtl/>
              </w:rPr>
              <w:t>ב</w:t>
            </w:r>
            <w:r w:rsidR="00084EA8">
              <w:rPr>
                <w:rFonts w:hint="cs"/>
                <w:rtl/>
              </w:rPr>
              <w:t xml:space="preserve">מוצרים </w:t>
            </w:r>
            <w:r w:rsidR="00124101">
              <w:rPr>
                <w:rFonts w:hint="cs"/>
                <w:rtl/>
              </w:rPr>
              <w:t>המכילים</w:t>
            </w:r>
            <w:r w:rsidR="00084EA8">
              <w:rPr>
                <w:rFonts w:hint="cs"/>
                <w:rtl/>
              </w:rPr>
              <w:t xml:space="preserve"> כספית</w:t>
            </w:r>
          </w:p>
        </w:tc>
        <w:tc>
          <w:tcPr>
            <w:tcW w:w="624" w:type="dxa"/>
          </w:tcPr>
          <w:p w14:paraId="214920D1" w14:textId="77777777" w:rsidR="0022373A" w:rsidRDefault="0022373A" w:rsidP="001C68CA">
            <w:pPr>
              <w:pStyle w:val="TableText"/>
              <w:keepLines w:val="0"/>
              <w:numPr>
                <w:ilvl w:val="0"/>
                <w:numId w:val="2"/>
              </w:numPr>
            </w:pPr>
          </w:p>
        </w:tc>
        <w:tc>
          <w:tcPr>
            <w:tcW w:w="7146" w:type="dxa"/>
            <w:gridSpan w:val="3"/>
          </w:tcPr>
          <w:p w14:paraId="0D7CBB5C" w14:textId="28840D6C" w:rsidR="0022373A" w:rsidRPr="0022373A" w:rsidRDefault="001036E1" w:rsidP="00C921BE">
            <w:pPr>
              <w:pStyle w:val="TableBlock"/>
              <w:numPr>
                <w:ilvl w:val="0"/>
                <w:numId w:val="5"/>
              </w:numPr>
              <w:tabs>
                <w:tab w:val="left" w:pos="624"/>
              </w:tabs>
            </w:pPr>
            <w:r w:rsidRPr="00084EA8">
              <w:rPr>
                <w:rtl/>
              </w:rPr>
              <w:t xml:space="preserve">לא ייצר </w:t>
            </w:r>
            <w:r w:rsidR="00084EA8" w:rsidRPr="00084EA8">
              <w:rPr>
                <w:rtl/>
              </w:rPr>
              <w:t xml:space="preserve">אדם, </w:t>
            </w:r>
            <w:r>
              <w:rPr>
                <w:rFonts w:hint="cs"/>
                <w:rtl/>
              </w:rPr>
              <w:t xml:space="preserve">לא </w:t>
            </w:r>
            <w:r w:rsidR="00084EA8" w:rsidRPr="00084EA8">
              <w:rPr>
                <w:rtl/>
              </w:rPr>
              <w:t xml:space="preserve">ייצא </w:t>
            </w:r>
            <w:r>
              <w:rPr>
                <w:rFonts w:hint="cs"/>
                <w:rtl/>
              </w:rPr>
              <w:t>ולא</w:t>
            </w:r>
            <w:r w:rsidR="00084EA8" w:rsidRPr="00084EA8">
              <w:rPr>
                <w:rtl/>
              </w:rPr>
              <w:t xml:space="preserve"> ייבא מוצר </w:t>
            </w:r>
            <w:r w:rsidR="00124101">
              <w:rPr>
                <w:rFonts w:hint="cs"/>
                <w:rtl/>
              </w:rPr>
              <w:t>המכיל</w:t>
            </w:r>
            <w:r w:rsidR="00084EA8">
              <w:rPr>
                <w:rtl/>
              </w:rPr>
              <w:t xml:space="preserve"> כספית </w:t>
            </w:r>
            <w:r w:rsidR="00C921BE">
              <w:rPr>
                <w:rFonts w:hint="cs"/>
                <w:rtl/>
              </w:rPr>
              <w:t>המפורט בחלק 1 לנספח א' של האמנה</w:t>
            </w:r>
            <w:r w:rsidR="00A5721C">
              <w:rPr>
                <w:rFonts w:hint="cs"/>
                <w:rtl/>
              </w:rPr>
              <w:t xml:space="preserve">, </w:t>
            </w:r>
            <w:r w:rsidR="008426CC">
              <w:rPr>
                <w:rFonts w:hint="cs"/>
                <w:rtl/>
              </w:rPr>
              <w:t xml:space="preserve">ולא יתקין מוצר כאמור במוצר אחר (בתקנה זו </w:t>
            </w:r>
            <w:r w:rsidR="008426CC">
              <w:rPr>
                <w:rtl/>
              </w:rPr>
              <w:t>–</w:t>
            </w:r>
            <w:r w:rsidR="008426CC">
              <w:rPr>
                <w:rFonts w:hint="cs"/>
                <w:rtl/>
              </w:rPr>
              <w:t xml:space="preserve"> "מוצר מורכב")</w:t>
            </w:r>
            <w:r w:rsidR="004728DE">
              <w:rPr>
                <w:rFonts w:hint="cs"/>
                <w:rtl/>
              </w:rPr>
              <w:t>;</w:t>
            </w:r>
          </w:p>
        </w:tc>
      </w:tr>
      <w:tr w:rsidR="001B141C" w14:paraId="53454CF2" w14:textId="77777777" w:rsidTr="008B5AA9">
        <w:trPr>
          <w:cantSplit/>
          <w:trHeight w:val="60"/>
        </w:trPr>
        <w:tc>
          <w:tcPr>
            <w:tcW w:w="1871" w:type="dxa"/>
          </w:tcPr>
          <w:p w14:paraId="143FA7B6" w14:textId="77777777" w:rsidR="001B141C" w:rsidRDefault="001B141C" w:rsidP="00084EA8">
            <w:pPr>
              <w:pStyle w:val="TableSideHeading"/>
              <w:keepLines w:val="0"/>
              <w:rPr>
                <w:rtl/>
              </w:rPr>
            </w:pPr>
          </w:p>
        </w:tc>
        <w:tc>
          <w:tcPr>
            <w:tcW w:w="624" w:type="dxa"/>
          </w:tcPr>
          <w:p w14:paraId="6911BA05" w14:textId="77777777" w:rsidR="001B141C" w:rsidRDefault="001B141C" w:rsidP="001B141C">
            <w:pPr>
              <w:pStyle w:val="TableText"/>
            </w:pPr>
          </w:p>
        </w:tc>
        <w:tc>
          <w:tcPr>
            <w:tcW w:w="7146" w:type="dxa"/>
            <w:gridSpan w:val="3"/>
          </w:tcPr>
          <w:p w14:paraId="681A47E7" w14:textId="77777777" w:rsidR="001B141C" w:rsidRPr="00084EA8" w:rsidRDefault="001B141C" w:rsidP="001C68CA">
            <w:pPr>
              <w:pStyle w:val="TableBlock"/>
              <w:numPr>
                <w:ilvl w:val="0"/>
                <w:numId w:val="5"/>
              </w:numPr>
              <w:rPr>
                <w:rtl/>
              </w:rPr>
            </w:pPr>
            <w:r w:rsidRPr="001B141C">
              <w:rPr>
                <w:rtl/>
              </w:rPr>
              <w:t>תקנת משנה (א) לא תחול על מוצרים אלה:</w:t>
            </w:r>
          </w:p>
        </w:tc>
      </w:tr>
      <w:tr w:rsidR="00D11FDA" w14:paraId="69B0C5F4" w14:textId="77777777">
        <w:trPr>
          <w:cantSplit/>
          <w:trHeight w:val="60"/>
        </w:trPr>
        <w:tc>
          <w:tcPr>
            <w:tcW w:w="1871" w:type="dxa"/>
          </w:tcPr>
          <w:p w14:paraId="24A5CC90" w14:textId="77777777" w:rsidR="00D11FDA" w:rsidRDefault="00D11FDA">
            <w:pPr>
              <w:pStyle w:val="TableSideHeading"/>
            </w:pPr>
          </w:p>
        </w:tc>
        <w:tc>
          <w:tcPr>
            <w:tcW w:w="624" w:type="dxa"/>
          </w:tcPr>
          <w:p w14:paraId="07A57254" w14:textId="77777777" w:rsidR="00D11FDA" w:rsidRDefault="00D11FDA">
            <w:pPr>
              <w:pStyle w:val="TableText"/>
            </w:pPr>
          </w:p>
        </w:tc>
        <w:tc>
          <w:tcPr>
            <w:tcW w:w="624" w:type="dxa"/>
          </w:tcPr>
          <w:p w14:paraId="711FB4F6" w14:textId="77777777" w:rsidR="00D11FDA" w:rsidRDefault="00D11FDA">
            <w:pPr>
              <w:pStyle w:val="TableText"/>
            </w:pPr>
          </w:p>
        </w:tc>
        <w:tc>
          <w:tcPr>
            <w:tcW w:w="6522" w:type="dxa"/>
            <w:gridSpan w:val="2"/>
          </w:tcPr>
          <w:p w14:paraId="686E4743" w14:textId="77777777" w:rsidR="00D11FDA" w:rsidRDefault="001B141C" w:rsidP="001C68CA">
            <w:pPr>
              <w:pStyle w:val="TableBlock"/>
              <w:numPr>
                <w:ilvl w:val="0"/>
                <w:numId w:val="4"/>
              </w:numPr>
              <w:tabs>
                <w:tab w:val="left" w:pos="624"/>
              </w:tabs>
            </w:pPr>
            <w:r>
              <w:rPr>
                <w:rtl/>
              </w:rPr>
              <w:t xml:space="preserve">מוצרים חיוניים לשימוש </w:t>
            </w:r>
            <w:r>
              <w:rPr>
                <w:rFonts w:hint="cs"/>
                <w:rtl/>
              </w:rPr>
              <w:t>מערכת הביטחון;</w:t>
            </w:r>
          </w:p>
        </w:tc>
      </w:tr>
      <w:tr w:rsidR="001B141C" w14:paraId="2F475E26" w14:textId="77777777">
        <w:trPr>
          <w:cantSplit/>
          <w:trHeight w:val="60"/>
        </w:trPr>
        <w:tc>
          <w:tcPr>
            <w:tcW w:w="1871" w:type="dxa"/>
          </w:tcPr>
          <w:p w14:paraId="3DA72211" w14:textId="77777777" w:rsidR="001B141C" w:rsidRDefault="001B141C">
            <w:pPr>
              <w:pStyle w:val="TableSideHeading"/>
            </w:pPr>
          </w:p>
        </w:tc>
        <w:tc>
          <w:tcPr>
            <w:tcW w:w="624" w:type="dxa"/>
          </w:tcPr>
          <w:p w14:paraId="4FD2CCC1" w14:textId="77777777" w:rsidR="001B141C" w:rsidRDefault="001B141C" w:rsidP="001B141C">
            <w:pPr>
              <w:pStyle w:val="TableText"/>
            </w:pPr>
          </w:p>
        </w:tc>
        <w:tc>
          <w:tcPr>
            <w:tcW w:w="624" w:type="dxa"/>
          </w:tcPr>
          <w:p w14:paraId="6505D523" w14:textId="77777777" w:rsidR="001B141C" w:rsidRDefault="001B141C">
            <w:pPr>
              <w:pStyle w:val="TableText"/>
            </w:pPr>
          </w:p>
        </w:tc>
        <w:tc>
          <w:tcPr>
            <w:tcW w:w="6522" w:type="dxa"/>
            <w:gridSpan w:val="2"/>
          </w:tcPr>
          <w:p w14:paraId="2BCE956E" w14:textId="77777777" w:rsidR="001B141C" w:rsidRDefault="001B141C" w:rsidP="001C68CA">
            <w:pPr>
              <w:pStyle w:val="TableBlock"/>
              <w:numPr>
                <w:ilvl w:val="0"/>
                <w:numId w:val="4"/>
              </w:numPr>
              <w:tabs>
                <w:tab w:val="left" w:pos="624"/>
              </w:tabs>
              <w:rPr>
                <w:rtl/>
              </w:rPr>
            </w:pPr>
            <w:r>
              <w:rPr>
                <w:rtl/>
              </w:rPr>
              <w:t xml:space="preserve">מוצרים המשמשים למחקר, כיול של מכשור ושימוש כתקן </w:t>
            </w:r>
            <w:r w:rsidR="00F33378">
              <w:rPr>
                <w:rFonts w:hint="cs"/>
                <w:rtl/>
              </w:rPr>
              <w:t>למדידה</w:t>
            </w:r>
            <w:r>
              <w:rPr>
                <w:rFonts w:hint="cs"/>
                <w:rtl/>
              </w:rPr>
              <w:t>;</w:t>
            </w:r>
          </w:p>
        </w:tc>
      </w:tr>
      <w:tr w:rsidR="00D11FDA" w14:paraId="5EAD8092" w14:textId="77777777">
        <w:trPr>
          <w:cantSplit/>
          <w:trHeight w:val="60"/>
        </w:trPr>
        <w:tc>
          <w:tcPr>
            <w:tcW w:w="1871" w:type="dxa"/>
          </w:tcPr>
          <w:p w14:paraId="5FF3B2B1" w14:textId="77777777" w:rsidR="00D11FDA" w:rsidRDefault="00D11FDA">
            <w:pPr>
              <w:pStyle w:val="TableSideHeading"/>
            </w:pPr>
          </w:p>
        </w:tc>
        <w:tc>
          <w:tcPr>
            <w:tcW w:w="624" w:type="dxa"/>
          </w:tcPr>
          <w:p w14:paraId="231B16CE" w14:textId="77777777" w:rsidR="00D11FDA" w:rsidRDefault="00D11FDA" w:rsidP="00D11FDA">
            <w:pPr>
              <w:pStyle w:val="TableText"/>
            </w:pPr>
          </w:p>
        </w:tc>
        <w:tc>
          <w:tcPr>
            <w:tcW w:w="624" w:type="dxa"/>
          </w:tcPr>
          <w:p w14:paraId="6146A2E4" w14:textId="77777777" w:rsidR="00D11FDA" w:rsidRDefault="00D11FDA">
            <w:pPr>
              <w:pStyle w:val="TableText"/>
            </w:pPr>
          </w:p>
        </w:tc>
        <w:tc>
          <w:tcPr>
            <w:tcW w:w="6522" w:type="dxa"/>
            <w:gridSpan w:val="2"/>
          </w:tcPr>
          <w:p w14:paraId="6DE3FEA9" w14:textId="77777777" w:rsidR="00D11FDA" w:rsidRPr="00D11FDA" w:rsidRDefault="001B141C" w:rsidP="001C68CA">
            <w:pPr>
              <w:pStyle w:val="TableBlock"/>
              <w:numPr>
                <w:ilvl w:val="0"/>
                <w:numId w:val="4"/>
              </w:numPr>
              <w:tabs>
                <w:tab w:val="left" w:pos="624"/>
              </w:tabs>
              <w:rPr>
                <w:rtl/>
              </w:rPr>
            </w:pPr>
            <w:r>
              <w:rPr>
                <w:rtl/>
              </w:rPr>
              <w:t>מתגים</w:t>
            </w:r>
            <w:r w:rsidR="00F33378">
              <w:rPr>
                <w:rFonts w:hint="cs"/>
                <w:rtl/>
              </w:rPr>
              <w:t>,</w:t>
            </w:r>
            <w:r>
              <w:rPr>
                <w:rtl/>
              </w:rPr>
              <w:t xml:space="preserve"> ממסרים</w:t>
            </w:r>
            <w:r w:rsidR="00124101">
              <w:rPr>
                <w:rFonts w:hint="cs"/>
                <w:rtl/>
              </w:rPr>
              <w:t>,</w:t>
            </w:r>
            <w:r>
              <w:rPr>
                <w:rtl/>
              </w:rPr>
              <w:t xml:space="preserve"> מנורות ניאון עם קטודה קרה</w:t>
            </w:r>
            <w:r w:rsidR="00F33378">
              <w:rPr>
                <w:rFonts w:hint="cs"/>
                <w:rtl/>
              </w:rPr>
              <w:t>,</w:t>
            </w:r>
            <w:r>
              <w:rPr>
                <w:rtl/>
              </w:rPr>
              <w:t xml:space="preserve"> מנורות ניאון עם אלקטרודה חיצונית לצגים אלקטרוניים</w:t>
            </w:r>
            <w:r w:rsidR="00F33378">
              <w:rPr>
                <w:rFonts w:hint="cs"/>
                <w:rtl/>
              </w:rPr>
              <w:t>,</w:t>
            </w:r>
            <w:r>
              <w:rPr>
                <w:rtl/>
              </w:rPr>
              <w:t xml:space="preserve"> וכלי מדידה</w:t>
            </w:r>
            <w:r w:rsidR="00F33378">
              <w:rPr>
                <w:rFonts w:hint="cs"/>
                <w:rtl/>
              </w:rPr>
              <w:t xml:space="preserve"> - ובלבד ש</w:t>
            </w:r>
            <w:r w:rsidR="00F33378">
              <w:rPr>
                <w:rtl/>
              </w:rPr>
              <w:t xml:space="preserve">אין </w:t>
            </w:r>
            <w:r w:rsidR="00F33378">
              <w:rPr>
                <w:rFonts w:hint="cs"/>
                <w:rtl/>
              </w:rPr>
              <w:t xml:space="preserve">להם </w:t>
            </w:r>
            <w:r w:rsidR="00F33378">
              <w:rPr>
                <w:rtl/>
              </w:rPr>
              <w:t>חלופה מעשית זמינה נטולת כספית</w:t>
            </w:r>
            <w:r w:rsidR="00AC0218">
              <w:rPr>
                <w:rFonts w:hint="cs"/>
                <w:rtl/>
              </w:rPr>
              <w:t>;</w:t>
            </w:r>
          </w:p>
        </w:tc>
      </w:tr>
      <w:tr w:rsidR="001B141C" w14:paraId="51131044" w14:textId="77777777">
        <w:trPr>
          <w:cantSplit/>
          <w:trHeight w:val="60"/>
        </w:trPr>
        <w:tc>
          <w:tcPr>
            <w:tcW w:w="1871" w:type="dxa"/>
          </w:tcPr>
          <w:p w14:paraId="412A3F86" w14:textId="77777777" w:rsidR="001B141C" w:rsidRDefault="001B141C">
            <w:pPr>
              <w:pStyle w:val="TableSideHeading"/>
            </w:pPr>
          </w:p>
        </w:tc>
        <w:tc>
          <w:tcPr>
            <w:tcW w:w="624" w:type="dxa"/>
          </w:tcPr>
          <w:p w14:paraId="0CD3D365" w14:textId="77777777" w:rsidR="001B141C" w:rsidRDefault="001B141C" w:rsidP="001B141C">
            <w:pPr>
              <w:pStyle w:val="TableText"/>
            </w:pPr>
          </w:p>
        </w:tc>
        <w:tc>
          <w:tcPr>
            <w:tcW w:w="624" w:type="dxa"/>
          </w:tcPr>
          <w:p w14:paraId="356189C2" w14:textId="77777777" w:rsidR="001B141C" w:rsidRDefault="001B141C">
            <w:pPr>
              <w:pStyle w:val="TableText"/>
            </w:pPr>
          </w:p>
        </w:tc>
        <w:tc>
          <w:tcPr>
            <w:tcW w:w="6522" w:type="dxa"/>
            <w:gridSpan w:val="2"/>
          </w:tcPr>
          <w:p w14:paraId="79EE9690" w14:textId="77777777" w:rsidR="001B141C" w:rsidRDefault="001B141C" w:rsidP="001C68CA">
            <w:pPr>
              <w:pStyle w:val="TableBlock"/>
              <w:numPr>
                <w:ilvl w:val="0"/>
                <w:numId w:val="4"/>
              </w:numPr>
              <w:tabs>
                <w:tab w:val="left" w:pos="624"/>
              </w:tabs>
              <w:rPr>
                <w:rtl/>
              </w:rPr>
            </w:pPr>
            <w:r>
              <w:rPr>
                <w:rtl/>
              </w:rPr>
              <w:t xml:space="preserve">מוצרים המשמשים </w:t>
            </w:r>
            <w:r w:rsidR="00825973" w:rsidRPr="00460654">
              <w:rPr>
                <w:sz w:val="26"/>
                <w:rtl/>
              </w:rPr>
              <w:t>לצורכי דת או מסורת דתית</w:t>
            </w:r>
            <w:r>
              <w:rPr>
                <w:rFonts w:hint="cs"/>
                <w:rtl/>
              </w:rPr>
              <w:t>;</w:t>
            </w:r>
          </w:p>
        </w:tc>
      </w:tr>
      <w:tr w:rsidR="001B141C" w14:paraId="11FA0963" w14:textId="77777777">
        <w:trPr>
          <w:cantSplit/>
          <w:trHeight w:val="60"/>
        </w:trPr>
        <w:tc>
          <w:tcPr>
            <w:tcW w:w="1871" w:type="dxa"/>
          </w:tcPr>
          <w:p w14:paraId="6363E794" w14:textId="77777777" w:rsidR="001B141C" w:rsidRPr="002D6D7C" w:rsidRDefault="001B141C">
            <w:pPr>
              <w:pStyle w:val="TableSideHeading"/>
            </w:pPr>
          </w:p>
        </w:tc>
        <w:tc>
          <w:tcPr>
            <w:tcW w:w="624" w:type="dxa"/>
          </w:tcPr>
          <w:p w14:paraId="0AB801AB" w14:textId="77777777" w:rsidR="001B141C" w:rsidRDefault="001B141C" w:rsidP="001B141C">
            <w:pPr>
              <w:pStyle w:val="TableText"/>
            </w:pPr>
          </w:p>
        </w:tc>
        <w:tc>
          <w:tcPr>
            <w:tcW w:w="624" w:type="dxa"/>
          </w:tcPr>
          <w:p w14:paraId="5024BBFC" w14:textId="77777777" w:rsidR="001B141C" w:rsidRDefault="001B141C">
            <w:pPr>
              <w:pStyle w:val="TableText"/>
            </w:pPr>
          </w:p>
        </w:tc>
        <w:tc>
          <w:tcPr>
            <w:tcW w:w="6522" w:type="dxa"/>
            <w:gridSpan w:val="2"/>
          </w:tcPr>
          <w:p w14:paraId="2C4C9B99" w14:textId="77777777" w:rsidR="001B141C" w:rsidRDefault="001B141C" w:rsidP="001C68CA">
            <w:pPr>
              <w:pStyle w:val="TableBlock"/>
              <w:numPr>
                <w:ilvl w:val="0"/>
                <w:numId w:val="4"/>
              </w:numPr>
              <w:tabs>
                <w:tab w:val="left" w:pos="624"/>
              </w:tabs>
              <w:rPr>
                <w:rtl/>
              </w:rPr>
            </w:pPr>
            <w:r>
              <w:rPr>
                <w:rtl/>
              </w:rPr>
              <w:t>חיסונים המכילים תיומרסל כחומר משמר</w:t>
            </w:r>
            <w:r w:rsidR="00A5721C">
              <w:rPr>
                <w:rFonts w:hint="cs"/>
                <w:rtl/>
              </w:rPr>
              <w:t>.</w:t>
            </w:r>
          </w:p>
        </w:tc>
      </w:tr>
      <w:tr w:rsidR="00A5721C" w14:paraId="0EB3AED1" w14:textId="77777777">
        <w:trPr>
          <w:cantSplit/>
          <w:trHeight w:val="60"/>
        </w:trPr>
        <w:tc>
          <w:tcPr>
            <w:tcW w:w="1871" w:type="dxa"/>
          </w:tcPr>
          <w:p w14:paraId="4046D569" w14:textId="77777777" w:rsidR="00A5721C" w:rsidRDefault="00A5721C">
            <w:pPr>
              <w:pStyle w:val="TableSideHeading"/>
            </w:pPr>
          </w:p>
        </w:tc>
        <w:tc>
          <w:tcPr>
            <w:tcW w:w="624" w:type="dxa"/>
          </w:tcPr>
          <w:p w14:paraId="7875EAB1" w14:textId="77777777" w:rsidR="00A5721C" w:rsidRDefault="00A5721C">
            <w:pPr>
              <w:pStyle w:val="TableText"/>
            </w:pPr>
          </w:p>
        </w:tc>
        <w:tc>
          <w:tcPr>
            <w:tcW w:w="7146" w:type="dxa"/>
            <w:gridSpan w:val="3"/>
          </w:tcPr>
          <w:p w14:paraId="5EB9886D" w14:textId="77777777" w:rsidR="00A5721C" w:rsidRPr="00C34DE2" w:rsidRDefault="003B7644" w:rsidP="006F4215">
            <w:pPr>
              <w:pStyle w:val="TableBlock"/>
              <w:numPr>
                <w:ilvl w:val="0"/>
                <w:numId w:val="5"/>
              </w:numPr>
            </w:pPr>
            <w:r>
              <w:rPr>
                <w:rFonts w:hint="cs"/>
                <w:rtl/>
              </w:rPr>
              <w:t xml:space="preserve">לא יינתן היתר </w:t>
            </w:r>
            <w:r w:rsidR="00EA70A8">
              <w:rPr>
                <w:rFonts w:hint="cs"/>
                <w:rtl/>
              </w:rPr>
              <w:t xml:space="preserve">רעלים </w:t>
            </w:r>
            <w:r w:rsidR="00C838F3">
              <w:rPr>
                <w:rFonts w:hint="cs"/>
                <w:rtl/>
              </w:rPr>
              <w:t xml:space="preserve">או היתר פליטה </w:t>
            </w:r>
            <w:r w:rsidR="00EA70A8">
              <w:rPr>
                <w:rFonts w:hint="cs"/>
                <w:rtl/>
              </w:rPr>
              <w:t>המאפשר י</w:t>
            </w:r>
            <w:r w:rsidR="00A5721C">
              <w:rPr>
                <w:rFonts w:hint="cs"/>
                <w:rtl/>
              </w:rPr>
              <w:t>יצ</w:t>
            </w:r>
            <w:r w:rsidR="00EA70A8">
              <w:rPr>
                <w:rFonts w:hint="cs"/>
                <w:rtl/>
              </w:rPr>
              <w:t>ו</w:t>
            </w:r>
            <w:r w:rsidR="00A5721C">
              <w:rPr>
                <w:rFonts w:hint="cs"/>
                <w:rtl/>
              </w:rPr>
              <w:t xml:space="preserve">ר </w:t>
            </w:r>
            <w:r w:rsidR="006F4215">
              <w:rPr>
                <w:rFonts w:hint="cs"/>
                <w:rtl/>
              </w:rPr>
              <w:t xml:space="preserve">של מוצר מכיל כספית </w:t>
            </w:r>
            <w:r w:rsidR="00EA70A8">
              <w:rPr>
                <w:rFonts w:hint="cs"/>
                <w:rtl/>
              </w:rPr>
              <w:t>א</w:t>
            </w:r>
            <w:r w:rsidR="00A5721C">
              <w:rPr>
                <w:rFonts w:hint="cs"/>
                <w:rtl/>
              </w:rPr>
              <w:t>ו</w:t>
            </w:r>
            <w:r w:rsidR="00EA70A8">
              <w:rPr>
                <w:rFonts w:hint="cs"/>
                <w:rtl/>
              </w:rPr>
              <w:t xml:space="preserve"> סחר</w:t>
            </w:r>
            <w:r w:rsidR="006F4215">
              <w:rPr>
                <w:rFonts w:hint="cs"/>
                <w:rtl/>
              </w:rPr>
              <w:t xml:space="preserve"> במוצר כאמור</w:t>
            </w:r>
            <w:r w:rsidR="00A5721C">
              <w:rPr>
                <w:rFonts w:hint="cs"/>
                <w:rtl/>
              </w:rPr>
              <w:t>,</w:t>
            </w:r>
            <w:r w:rsidR="00EA70A8">
              <w:rPr>
                <w:rFonts w:hint="cs"/>
                <w:rtl/>
              </w:rPr>
              <w:t xml:space="preserve"> אלא אם התקיים אחד מאלה:</w:t>
            </w:r>
            <w:r w:rsidR="00A5721C">
              <w:rPr>
                <w:rFonts w:hint="cs"/>
                <w:rtl/>
              </w:rPr>
              <w:t xml:space="preserve"> </w:t>
            </w:r>
          </w:p>
        </w:tc>
      </w:tr>
      <w:tr w:rsidR="00EA70A8" w14:paraId="7796F280" w14:textId="77777777">
        <w:trPr>
          <w:cantSplit/>
          <w:trHeight w:val="60"/>
        </w:trPr>
        <w:tc>
          <w:tcPr>
            <w:tcW w:w="1871" w:type="dxa"/>
          </w:tcPr>
          <w:p w14:paraId="1E464D03" w14:textId="6FA88795" w:rsidR="00EA70A8" w:rsidRDefault="00EA70A8">
            <w:pPr>
              <w:pStyle w:val="TableSideHeading"/>
            </w:pPr>
          </w:p>
        </w:tc>
        <w:tc>
          <w:tcPr>
            <w:tcW w:w="624" w:type="dxa"/>
          </w:tcPr>
          <w:p w14:paraId="0A0531B4" w14:textId="77777777" w:rsidR="00EA70A8" w:rsidRDefault="00EA70A8">
            <w:pPr>
              <w:pStyle w:val="TableText"/>
            </w:pPr>
          </w:p>
        </w:tc>
        <w:tc>
          <w:tcPr>
            <w:tcW w:w="624" w:type="dxa"/>
          </w:tcPr>
          <w:p w14:paraId="0450700E" w14:textId="77777777" w:rsidR="00EA70A8" w:rsidRDefault="00EA70A8">
            <w:pPr>
              <w:pStyle w:val="TableText"/>
            </w:pPr>
          </w:p>
        </w:tc>
        <w:tc>
          <w:tcPr>
            <w:tcW w:w="6522" w:type="dxa"/>
            <w:gridSpan w:val="2"/>
          </w:tcPr>
          <w:p w14:paraId="1CE77C44" w14:textId="2F664D20" w:rsidR="00EA70A8" w:rsidRDefault="008A38CD" w:rsidP="00C13E3E">
            <w:pPr>
              <w:pStyle w:val="TableBlock"/>
              <w:numPr>
                <w:ilvl w:val="0"/>
                <w:numId w:val="27"/>
              </w:numPr>
              <w:tabs>
                <w:tab w:val="left" w:pos="624"/>
              </w:tabs>
            </w:pPr>
            <w:r>
              <w:rPr>
                <w:rFonts w:hint="cs"/>
                <w:rtl/>
              </w:rPr>
              <w:t xml:space="preserve">אם </w:t>
            </w:r>
            <w:r w:rsidR="00C13E3E">
              <w:rPr>
                <w:rFonts w:hint="cs"/>
                <w:rtl/>
              </w:rPr>
              <w:t xml:space="preserve">תהליך לייצור </w:t>
            </w:r>
            <w:r>
              <w:rPr>
                <w:rFonts w:hint="cs"/>
                <w:rtl/>
              </w:rPr>
              <w:t xml:space="preserve">המוצר המכיל כספית </w:t>
            </w:r>
            <w:r w:rsidR="00C13E3E">
              <w:rPr>
                <w:rFonts w:hint="cs"/>
                <w:rtl/>
              </w:rPr>
              <w:t xml:space="preserve">היה קיים </w:t>
            </w:r>
            <w:r>
              <w:rPr>
                <w:rFonts w:hint="cs"/>
                <w:rtl/>
              </w:rPr>
              <w:t xml:space="preserve">לפני </w:t>
            </w:r>
            <w:r w:rsidR="004D084A" w:rsidRPr="004D084A">
              <w:rPr>
                <w:rFonts w:hint="cs"/>
                <w:rtl/>
              </w:rPr>
              <w:t>יום</w:t>
            </w:r>
            <w:r w:rsidRPr="004D084A">
              <w:rPr>
                <w:rFonts w:hint="cs"/>
                <w:rtl/>
              </w:rPr>
              <w:t xml:space="preserve"> </w:t>
            </w:r>
            <w:r w:rsidR="004D084A" w:rsidRPr="004D084A">
              <w:rPr>
                <w:rFonts w:hint="cs"/>
                <w:rtl/>
              </w:rPr>
              <w:t>ה</w:t>
            </w:r>
            <w:r w:rsidRPr="004D084A">
              <w:rPr>
                <w:rFonts w:hint="cs"/>
                <w:rtl/>
              </w:rPr>
              <w:t>תחילה</w:t>
            </w:r>
            <w:r>
              <w:rPr>
                <w:rFonts w:hint="cs"/>
                <w:rtl/>
              </w:rPr>
              <w:t xml:space="preserve">, בין על ידי אותו יצרן או על ידי אחר </w:t>
            </w:r>
            <w:r>
              <w:rPr>
                <w:rtl/>
              </w:rPr>
              <w:t>–</w:t>
            </w:r>
            <w:r>
              <w:rPr>
                <w:rFonts w:hint="cs"/>
                <w:rtl/>
              </w:rPr>
              <w:t xml:space="preserve"> ייקבעו בהיתר הרעלים תנאים או הגבלות על הייצור בהתאם להוראות האמנה;</w:t>
            </w:r>
          </w:p>
        </w:tc>
      </w:tr>
      <w:tr w:rsidR="008A38CD" w14:paraId="0FB2EBC9" w14:textId="77777777">
        <w:trPr>
          <w:cantSplit/>
          <w:trHeight w:val="60"/>
        </w:trPr>
        <w:tc>
          <w:tcPr>
            <w:tcW w:w="1871" w:type="dxa"/>
          </w:tcPr>
          <w:p w14:paraId="74E2025F" w14:textId="77777777" w:rsidR="008A38CD" w:rsidRDefault="008A38CD">
            <w:pPr>
              <w:pStyle w:val="TableSideHeading"/>
            </w:pPr>
          </w:p>
        </w:tc>
        <w:tc>
          <w:tcPr>
            <w:tcW w:w="624" w:type="dxa"/>
          </w:tcPr>
          <w:p w14:paraId="1D81E9AE" w14:textId="77777777" w:rsidR="008A38CD" w:rsidRDefault="008A38CD" w:rsidP="008A38CD">
            <w:pPr>
              <w:pStyle w:val="TableText"/>
            </w:pPr>
          </w:p>
        </w:tc>
        <w:tc>
          <w:tcPr>
            <w:tcW w:w="624" w:type="dxa"/>
          </w:tcPr>
          <w:p w14:paraId="1BEE72BC" w14:textId="77777777" w:rsidR="008A38CD" w:rsidRDefault="008A38CD">
            <w:pPr>
              <w:pStyle w:val="TableText"/>
            </w:pPr>
          </w:p>
        </w:tc>
        <w:tc>
          <w:tcPr>
            <w:tcW w:w="6522" w:type="dxa"/>
            <w:gridSpan w:val="2"/>
          </w:tcPr>
          <w:p w14:paraId="25B44474" w14:textId="77777777" w:rsidR="008A38CD" w:rsidRDefault="008A38CD" w:rsidP="004D084A">
            <w:pPr>
              <w:pStyle w:val="TableBlock"/>
              <w:numPr>
                <w:ilvl w:val="0"/>
                <w:numId w:val="27"/>
              </w:numPr>
              <w:tabs>
                <w:tab w:val="left" w:pos="624"/>
              </w:tabs>
              <w:rPr>
                <w:rtl/>
              </w:rPr>
            </w:pPr>
            <w:r>
              <w:rPr>
                <w:rFonts w:hint="cs"/>
                <w:rtl/>
              </w:rPr>
              <w:t xml:space="preserve">אם המוצר המכיל כספית לא יוצר לפני </w:t>
            </w:r>
            <w:r w:rsidR="004D084A">
              <w:rPr>
                <w:rFonts w:hint="cs"/>
                <w:rtl/>
              </w:rPr>
              <w:t>יום התחילה</w:t>
            </w:r>
            <w:r>
              <w:rPr>
                <w:rFonts w:hint="cs"/>
                <w:rtl/>
              </w:rPr>
              <w:t xml:space="preserve"> </w:t>
            </w:r>
            <w:r>
              <w:rPr>
                <w:rtl/>
              </w:rPr>
              <w:t>–</w:t>
            </w:r>
            <w:r>
              <w:rPr>
                <w:rFonts w:hint="cs"/>
                <w:rtl/>
              </w:rPr>
              <w:t xml:space="preserve"> המבקש הגיש מסמך הערכת סיכונים ותועלות של המוצר, אשר הוכיחה, להנחת דעתו של הממונה, כי קיימים יתרונות לסביבה או לבריאות הציבור מהמוצר.</w:t>
            </w:r>
          </w:p>
        </w:tc>
      </w:tr>
      <w:tr w:rsidR="00F65166" w14:paraId="01A91AF5" w14:textId="77777777">
        <w:trPr>
          <w:cantSplit/>
          <w:trHeight w:val="60"/>
        </w:trPr>
        <w:tc>
          <w:tcPr>
            <w:tcW w:w="1871" w:type="dxa"/>
          </w:tcPr>
          <w:p w14:paraId="5E0C4919" w14:textId="77777777" w:rsidR="00F65166" w:rsidRDefault="006B78C2" w:rsidP="007E751D">
            <w:pPr>
              <w:pStyle w:val="TableSideHeading"/>
              <w:keepLines w:val="0"/>
            </w:pPr>
            <w:r>
              <w:rPr>
                <w:rFonts w:hint="cs"/>
                <w:rtl/>
              </w:rPr>
              <w:t>הגבלת שימוש בכספית בתהליך ייצור חדש</w:t>
            </w:r>
          </w:p>
        </w:tc>
        <w:tc>
          <w:tcPr>
            <w:tcW w:w="624" w:type="dxa"/>
          </w:tcPr>
          <w:p w14:paraId="185D1E13" w14:textId="77777777" w:rsidR="00F65166" w:rsidRDefault="00F65166" w:rsidP="001C68CA">
            <w:pPr>
              <w:pStyle w:val="TableText"/>
              <w:keepLines w:val="0"/>
              <w:numPr>
                <w:ilvl w:val="0"/>
                <w:numId w:val="2"/>
              </w:numPr>
            </w:pPr>
          </w:p>
        </w:tc>
        <w:tc>
          <w:tcPr>
            <w:tcW w:w="7146" w:type="dxa"/>
            <w:gridSpan w:val="3"/>
          </w:tcPr>
          <w:p w14:paraId="47577826" w14:textId="5E398FAA" w:rsidR="00F65166" w:rsidRPr="00F65166" w:rsidRDefault="00D55832" w:rsidP="001523F4">
            <w:pPr>
              <w:pStyle w:val="TableBlock"/>
              <w:numPr>
                <w:ilvl w:val="0"/>
                <w:numId w:val="6"/>
              </w:numPr>
              <w:tabs>
                <w:tab w:val="left" w:pos="624"/>
              </w:tabs>
            </w:pPr>
            <w:r w:rsidRPr="00D55832">
              <w:rPr>
                <w:rtl/>
              </w:rPr>
              <w:t>לא יעשה אדם שימוש בכספית</w:t>
            </w:r>
            <w:r w:rsidR="000205E5">
              <w:rPr>
                <w:rFonts w:hint="cs"/>
                <w:rtl/>
              </w:rPr>
              <w:t xml:space="preserve"> או בתרכובות כספית</w:t>
            </w:r>
            <w:r w:rsidRPr="00D55832">
              <w:rPr>
                <w:rtl/>
              </w:rPr>
              <w:t xml:space="preserve"> בתהליכי ייצור </w:t>
            </w:r>
            <w:r w:rsidR="001523F4">
              <w:rPr>
                <w:rFonts w:hint="cs"/>
                <w:rtl/>
              </w:rPr>
              <w:t>המפורטים בנספח ב' לאמנה</w:t>
            </w:r>
            <w:r w:rsidR="006F4215">
              <w:rPr>
                <w:rFonts w:hint="cs"/>
                <w:rtl/>
              </w:rPr>
              <w:t>.</w:t>
            </w:r>
          </w:p>
        </w:tc>
      </w:tr>
      <w:tr w:rsidR="00C838F3" w14:paraId="48B800D0" w14:textId="77777777">
        <w:trPr>
          <w:cantSplit/>
          <w:trHeight w:val="60"/>
        </w:trPr>
        <w:tc>
          <w:tcPr>
            <w:tcW w:w="1871" w:type="dxa"/>
          </w:tcPr>
          <w:p w14:paraId="4F7BD19D" w14:textId="77777777" w:rsidR="00C838F3" w:rsidRDefault="00C838F3" w:rsidP="007E751D">
            <w:pPr>
              <w:pStyle w:val="TableSideHeading"/>
              <w:keepLines w:val="0"/>
              <w:rPr>
                <w:rtl/>
              </w:rPr>
            </w:pPr>
          </w:p>
        </w:tc>
        <w:tc>
          <w:tcPr>
            <w:tcW w:w="624" w:type="dxa"/>
          </w:tcPr>
          <w:p w14:paraId="5C255F1C" w14:textId="77777777" w:rsidR="00C838F3" w:rsidRDefault="00C838F3" w:rsidP="00C838F3">
            <w:pPr>
              <w:pStyle w:val="TableText"/>
            </w:pPr>
          </w:p>
        </w:tc>
        <w:tc>
          <w:tcPr>
            <w:tcW w:w="7146" w:type="dxa"/>
            <w:gridSpan w:val="3"/>
          </w:tcPr>
          <w:p w14:paraId="20BE89C5" w14:textId="77777777" w:rsidR="00C838F3" w:rsidRPr="00D55832" w:rsidRDefault="00C838F3" w:rsidP="00433126">
            <w:pPr>
              <w:pStyle w:val="TableBlock"/>
              <w:numPr>
                <w:ilvl w:val="0"/>
                <w:numId w:val="6"/>
              </w:numPr>
              <w:tabs>
                <w:tab w:val="left" w:pos="624"/>
              </w:tabs>
              <w:rPr>
                <w:rtl/>
              </w:rPr>
            </w:pPr>
            <w:r>
              <w:rPr>
                <w:rFonts w:hint="cs"/>
                <w:rtl/>
              </w:rPr>
              <w:t xml:space="preserve">לא יינתן היתר רעלים או היתר פליטה למתקן ייצור שבו נעשה </w:t>
            </w:r>
            <w:r w:rsidRPr="00D55832">
              <w:rPr>
                <w:rtl/>
              </w:rPr>
              <w:t xml:space="preserve">שימוש </w:t>
            </w:r>
            <w:r>
              <w:rPr>
                <w:rFonts w:hint="cs"/>
                <w:rtl/>
              </w:rPr>
              <w:t xml:space="preserve">מכוון </w:t>
            </w:r>
            <w:r w:rsidRPr="00D55832">
              <w:rPr>
                <w:rtl/>
              </w:rPr>
              <w:t>בכספית</w:t>
            </w:r>
            <w:r>
              <w:rPr>
                <w:rFonts w:hint="cs"/>
                <w:rtl/>
              </w:rPr>
              <w:t xml:space="preserve"> או בתרכובות כספית</w:t>
            </w:r>
            <w:r w:rsidRPr="00D55832">
              <w:rPr>
                <w:rtl/>
              </w:rPr>
              <w:t xml:space="preserve"> בתהלי</w:t>
            </w:r>
            <w:r>
              <w:rPr>
                <w:rFonts w:hint="cs"/>
                <w:rtl/>
              </w:rPr>
              <w:t>ך</w:t>
            </w:r>
            <w:r w:rsidRPr="00D55832">
              <w:rPr>
                <w:rtl/>
              </w:rPr>
              <w:t xml:space="preserve"> ייצור</w:t>
            </w:r>
            <w:r>
              <w:rPr>
                <w:rFonts w:hint="cs"/>
                <w:rtl/>
              </w:rPr>
              <w:t xml:space="preserve"> שלא היה קיים ערב תחילתן של תקנות אלה, אלא אם הוכח כי תהליך הייצור מביא לתועלת משמעותית לסביבה או לבריאות הציבור</w:t>
            </w:r>
            <w:r w:rsidR="00433126">
              <w:rPr>
                <w:rFonts w:hint="cs"/>
                <w:rtl/>
              </w:rPr>
              <w:t xml:space="preserve"> וכי לא קיימות </w:t>
            </w:r>
            <w:r w:rsidR="00433126" w:rsidRPr="00CC5259">
              <w:rPr>
                <w:rtl/>
              </w:rPr>
              <w:t xml:space="preserve">חלופות </w:t>
            </w:r>
            <w:r w:rsidR="00433126">
              <w:rPr>
                <w:rFonts w:hint="cs"/>
                <w:rtl/>
              </w:rPr>
              <w:t>ישימות</w:t>
            </w:r>
            <w:r w:rsidR="00433126">
              <w:rPr>
                <w:rtl/>
              </w:rPr>
              <w:t xml:space="preserve"> </w:t>
            </w:r>
            <w:r w:rsidR="00433126">
              <w:rPr>
                <w:rFonts w:hint="cs"/>
                <w:rtl/>
              </w:rPr>
              <w:t xml:space="preserve">מבחינה </w:t>
            </w:r>
            <w:r w:rsidR="00433126">
              <w:rPr>
                <w:rtl/>
              </w:rPr>
              <w:t>טכנית וכלכלית,</w:t>
            </w:r>
            <w:r w:rsidR="00433126">
              <w:rPr>
                <w:rFonts w:hint="cs"/>
                <w:rtl/>
              </w:rPr>
              <w:t xml:space="preserve"> שהן נטולות כספית, המניבות אותה תועלת; הוכחת תועלת כאמור טעונה הסכמתה של ועידת הצדדים לפי האמנה.</w:t>
            </w:r>
          </w:p>
        </w:tc>
      </w:tr>
      <w:tr w:rsidR="000205E5" w14:paraId="49E04368" w14:textId="77777777">
        <w:trPr>
          <w:cantSplit/>
          <w:trHeight w:val="60"/>
        </w:trPr>
        <w:tc>
          <w:tcPr>
            <w:tcW w:w="1871" w:type="dxa"/>
          </w:tcPr>
          <w:p w14:paraId="560418E2" w14:textId="77777777" w:rsidR="000205E5" w:rsidRDefault="000205E5" w:rsidP="007E751D">
            <w:pPr>
              <w:pStyle w:val="TableSideHeading"/>
              <w:keepLines w:val="0"/>
              <w:rPr>
                <w:rtl/>
              </w:rPr>
            </w:pPr>
          </w:p>
        </w:tc>
        <w:tc>
          <w:tcPr>
            <w:tcW w:w="624" w:type="dxa"/>
          </w:tcPr>
          <w:p w14:paraId="763B7076" w14:textId="77777777" w:rsidR="000205E5" w:rsidRDefault="000205E5" w:rsidP="000205E5">
            <w:pPr>
              <w:pStyle w:val="TableText"/>
            </w:pPr>
          </w:p>
        </w:tc>
        <w:tc>
          <w:tcPr>
            <w:tcW w:w="7146" w:type="dxa"/>
            <w:gridSpan w:val="3"/>
          </w:tcPr>
          <w:p w14:paraId="61566151" w14:textId="77777777" w:rsidR="000205E5" w:rsidRPr="00F65166" w:rsidRDefault="000205E5" w:rsidP="00433126">
            <w:pPr>
              <w:pStyle w:val="TableBlock"/>
              <w:numPr>
                <w:ilvl w:val="0"/>
                <w:numId w:val="6"/>
              </w:numPr>
              <w:rPr>
                <w:rtl/>
              </w:rPr>
            </w:pPr>
            <w:r>
              <w:rPr>
                <w:rFonts w:hint="cs"/>
                <w:rtl/>
              </w:rPr>
              <w:t>לעניין תקנ</w:t>
            </w:r>
            <w:r w:rsidR="00433126">
              <w:rPr>
                <w:rFonts w:hint="cs"/>
                <w:rtl/>
              </w:rPr>
              <w:t>ה זו,</w:t>
            </w:r>
            <w:r>
              <w:rPr>
                <w:rFonts w:hint="cs"/>
                <w:rtl/>
              </w:rPr>
              <w:t xml:space="preserve"> "</w:t>
            </w:r>
            <w:r w:rsidR="00433126">
              <w:rPr>
                <w:rFonts w:hint="cs"/>
                <w:rtl/>
              </w:rPr>
              <w:t>תהליך ייצור</w:t>
            </w:r>
            <w:r>
              <w:rPr>
                <w:rFonts w:hint="cs"/>
                <w:rtl/>
              </w:rPr>
              <w:t>"</w:t>
            </w:r>
            <w:r w:rsidR="00433126">
              <w:rPr>
                <w:rFonts w:hint="cs"/>
                <w:rtl/>
              </w:rPr>
              <w:t xml:space="preserve"> -</w:t>
            </w:r>
            <w:r>
              <w:rPr>
                <w:rFonts w:hint="cs"/>
                <w:rtl/>
              </w:rPr>
              <w:t xml:space="preserve"> למעט</w:t>
            </w:r>
            <w:r w:rsidR="000C04D1">
              <w:rPr>
                <w:rtl/>
              </w:rPr>
              <w:t xml:space="preserve"> </w:t>
            </w:r>
            <w:r w:rsidR="00433126">
              <w:rPr>
                <w:rFonts w:hint="cs"/>
                <w:rtl/>
              </w:rPr>
              <w:t>כל אחד מאלה:</w:t>
            </w:r>
          </w:p>
        </w:tc>
      </w:tr>
      <w:tr w:rsidR="00433126" w14:paraId="4BAFB88B" w14:textId="77777777">
        <w:trPr>
          <w:cantSplit/>
          <w:trHeight w:val="60"/>
        </w:trPr>
        <w:tc>
          <w:tcPr>
            <w:tcW w:w="1871" w:type="dxa"/>
          </w:tcPr>
          <w:p w14:paraId="3B86C499" w14:textId="77777777" w:rsidR="00433126" w:rsidRDefault="00433126">
            <w:pPr>
              <w:pStyle w:val="TableSideHeading"/>
            </w:pPr>
          </w:p>
        </w:tc>
        <w:tc>
          <w:tcPr>
            <w:tcW w:w="624" w:type="dxa"/>
          </w:tcPr>
          <w:p w14:paraId="3C30F6ED" w14:textId="77777777" w:rsidR="00433126" w:rsidRDefault="00433126">
            <w:pPr>
              <w:pStyle w:val="TableText"/>
            </w:pPr>
          </w:p>
        </w:tc>
        <w:tc>
          <w:tcPr>
            <w:tcW w:w="624" w:type="dxa"/>
          </w:tcPr>
          <w:p w14:paraId="3D7DB7AB" w14:textId="77777777" w:rsidR="00433126" w:rsidRDefault="00433126">
            <w:pPr>
              <w:pStyle w:val="TableText"/>
            </w:pPr>
          </w:p>
        </w:tc>
        <w:tc>
          <w:tcPr>
            <w:tcW w:w="6522" w:type="dxa"/>
            <w:gridSpan w:val="2"/>
          </w:tcPr>
          <w:p w14:paraId="1AFBDF3C" w14:textId="77777777" w:rsidR="00433126" w:rsidRDefault="00433126" w:rsidP="00433126">
            <w:pPr>
              <w:pStyle w:val="TableBlock"/>
              <w:numPr>
                <w:ilvl w:val="0"/>
                <w:numId w:val="28"/>
              </w:numPr>
              <w:tabs>
                <w:tab w:val="left" w:pos="624"/>
              </w:tabs>
            </w:pPr>
            <w:r w:rsidRPr="000205E5">
              <w:rPr>
                <w:rtl/>
              </w:rPr>
              <w:t>תהלי</w:t>
            </w:r>
            <w:r>
              <w:rPr>
                <w:rFonts w:hint="cs"/>
                <w:rtl/>
              </w:rPr>
              <w:t>ך</w:t>
            </w:r>
            <w:r w:rsidRPr="000205E5">
              <w:rPr>
                <w:rtl/>
              </w:rPr>
              <w:t xml:space="preserve"> ב</w:t>
            </w:r>
            <w:r>
              <w:rPr>
                <w:rFonts w:hint="cs"/>
                <w:rtl/>
              </w:rPr>
              <w:t>ו</w:t>
            </w:r>
            <w:r w:rsidRPr="000205E5">
              <w:rPr>
                <w:rtl/>
              </w:rPr>
              <w:t xml:space="preserve"> נעשה שימוש במוצר </w:t>
            </w:r>
            <w:r>
              <w:rPr>
                <w:rFonts w:hint="cs"/>
                <w:rtl/>
              </w:rPr>
              <w:t>המכיל</w:t>
            </w:r>
            <w:r w:rsidRPr="000205E5">
              <w:rPr>
                <w:rtl/>
              </w:rPr>
              <w:t xml:space="preserve"> כ</w:t>
            </w:r>
            <w:r>
              <w:rPr>
                <w:rtl/>
              </w:rPr>
              <w:t>ספית</w:t>
            </w:r>
            <w:r>
              <w:rPr>
                <w:rFonts w:hint="cs"/>
                <w:rtl/>
              </w:rPr>
              <w:t>;</w:t>
            </w:r>
          </w:p>
        </w:tc>
      </w:tr>
      <w:tr w:rsidR="00433126" w14:paraId="63C22779" w14:textId="77777777">
        <w:trPr>
          <w:cantSplit/>
          <w:trHeight w:val="60"/>
        </w:trPr>
        <w:tc>
          <w:tcPr>
            <w:tcW w:w="1871" w:type="dxa"/>
          </w:tcPr>
          <w:p w14:paraId="2F478BBB" w14:textId="77777777" w:rsidR="00433126" w:rsidRDefault="00433126">
            <w:pPr>
              <w:pStyle w:val="TableSideHeading"/>
            </w:pPr>
          </w:p>
        </w:tc>
        <w:tc>
          <w:tcPr>
            <w:tcW w:w="624" w:type="dxa"/>
          </w:tcPr>
          <w:p w14:paraId="66C8599A" w14:textId="77777777" w:rsidR="00433126" w:rsidRDefault="00433126" w:rsidP="00433126">
            <w:pPr>
              <w:pStyle w:val="TableText"/>
            </w:pPr>
          </w:p>
        </w:tc>
        <w:tc>
          <w:tcPr>
            <w:tcW w:w="624" w:type="dxa"/>
          </w:tcPr>
          <w:p w14:paraId="2F224C87" w14:textId="77777777" w:rsidR="00433126" w:rsidRDefault="00433126">
            <w:pPr>
              <w:pStyle w:val="TableText"/>
            </w:pPr>
          </w:p>
        </w:tc>
        <w:tc>
          <w:tcPr>
            <w:tcW w:w="6522" w:type="dxa"/>
            <w:gridSpan w:val="2"/>
          </w:tcPr>
          <w:p w14:paraId="51DE99E1" w14:textId="77777777" w:rsidR="00433126" w:rsidRPr="000205E5" w:rsidRDefault="00433126" w:rsidP="00433126">
            <w:pPr>
              <w:pStyle w:val="TableBlock"/>
              <w:numPr>
                <w:ilvl w:val="0"/>
                <w:numId w:val="28"/>
              </w:numPr>
              <w:tabs>
                <w:tab w:val="left" w:pos="624"/>
              </w:tabs>
              <w:rPr>
                <w:rtl/>
              </w:rPr>
            </w:pPr>
            <w:r>
              <w:rPr>
                <w:rtl/>
              </w:rPr>
              <w:t>תהלי</w:t>
            </w:r>
            <w:r>
              <w:rPr>
                <w:rFonts w:hint="cs"/>
                <w:rtl/>
              </w:rPr>
              <w:t>ך</w:t>
            </w:r>
            <w:r>
              <w:rPr>
                <w:rtl/>
              </w:rPr>
              <w:t xml:space="preserve"> לייצור מוצר </w:t>
            </w:r>
            <w:r>
              <w:rPr>
                <w:rFonts w:hint="cs"/>
                <w:rtl/>
              </w:rPr>
              <w:t>המכיל</w:t>
            </w:r>
            <w:r w:rsidRPr="000205E5">
              <w:rPr>
                <w:rtl/>
              </w:rPr>
              <w:t xml:space="preserve"> כספית</w:t>
            </w:r>
            <w:r>
              <w:rPr>
                <w:rFonts w:hint="cs"/>
                <w:rtl/>
              </w:rPr>
              <w:t>;</w:t>
            </w:r>
          </w:p>
        </w:tc>
      </w:tr>
      <w:tr w:rsidR="00433126" w14:paraId="7DD17EE5" w14:textId="77777777">
        <w:trPr>
          <w:cantSplit/>
          <w:trHeight w:val="60"/>
        </w:trPr>
        <w:tc>
          <w:tcPr>
            <w:tcW w:w="1871" w:type="dxa"/>
          </w:tcPr>
          <w:p w14:paraId="2A714BE3" w14:textId="77777777" w:rsidR="00433126" w:rsidRDefault="00433126">
            <w:pPr>
              <w:pStyle w:val="TableSideHeading"/>
            </w:pPr>
          </w:p>
        </w:tc>
        <w:tc>
          <w:tcPr>
            <w:tcW w:w="624" w:type="dxa"/>
          </w:tcPr>
          <w:p w14:paraId="577911C4" w14:textId="77777777" w:rsidR="00433126" w:rsidRDefault="00433126" w:rsidP="00433126">
            <w:pPr>
              <w:pStyle w:val="TableText"/>
            </w:pPr>
          </w:p>
        </w:tc>
        <w:tc>
          <w:tcPr>
            <w:tcW w:w="624" w:type="dxa"/>
          </w:tcPr>
          <w:p w14:paraId="5AAB5EEC" w14:textId="77777777" w:rsidR="00433126" w:rsidRDefault="00433126">
            <w:pPr>
              <w:pStyle w:val="TableText"/>
            </w:pPr>
          </w:p>
        </w:tc>
        <w:tc>
          <w:tcPr>
            <w:tcW w:w="6522" w:type="dxa"/>
            <w:gridSpan w:val="2"/>
          </w:tcPr>
          <w:p w14:paraId="7B6571F3" w14:textId="77777777" w:rsidR="00433126" w:rsidRDefault="00433126" w:rsidP="00433126">
            <w:pPr>
              <w:pStyle w:val="TableBlock"/>
              <w:numPr>
                <w:ilvl w:val="0"/>
                <w:numId w:val="28"/>
              </w:numPr>
              <w:tabs>
                <w:tab w:val="left" w:pos="624"/>
              </w:tabs>
              <w:rPr>
                <w:rtl/>
              </w:rPr>
            </w:pPr>
            <w:r w:rsidRPr="000205E5">
              <w:rPr>
                <w:rtl/>
              </w:rPr>
              <w:t>תהלי</w:t>
            </w:r>
            <w:r>
              <w:rPr>
                <w:rFonts w:hint="cs"/>
                <w:rtl/>
              </w:rPr>
              <w:t>ך</w:t>
            </w:r>
            <w:r w:rsidRPr="000205E5">
              <w:rPr>
                <w:rtl/>
              </w:rPr>
              <w:t xml:space="preserve"> לעיבוד פסולת המכילה כספית</w:t>
            </w:r>
            <w:r>
              <w:rPr>
                <w:rFonts w:hint="cs"/>
                <w:rtl/>
              </w:rPr>
              <w:t>.</w:t>
            </w:r>
            <w:r w:rsidR="00253FCC">
              <w:rPr>
                <w:rFonts w:hint="cs"/>
                <w:rtl/>
              </w:rPr>
              <w:t xml:space="preserve"> </w:t>
            </w:r>
          </w:p>
        </w:tc>
      </w:tr>
      <w:tr w:rsidR="00417098" w14:paraId="595BAB17" w14:textId="77777777">
        <w:trPr>
          <w:cantSplit/>
          <w:trHeight w:val="60"/>
        </w:trPr>
        <w:tc>
          <w:tcPr>
            <w:tcW w:w="1871" w:type="dxa"/>
          </w:tcPr>
          <w:p w14:paraId="68FE0EB3" w14:textId="77777777" w:rsidR="00417098" w:rsidRDefault="00417098" w:rsidP="007E751D">
            <w:pPr>
              <w:pStyle w:val="TableSideHeading"/>
              <w:keepLines w:val="0"/>
            </w:pPr>
            <w:r w:rsidRPr="00595FE5">
              <w:rPr>
                <w:rFonts w:hint="cs"/>
                <w:rtl/>
              </w:rPr>
              <w:t>עונשין</w:t>
            </w:r>
          </w:p>
        </w:tc>
        <w:tc>
          <w:tcPr>
            <w:tcW w:w="624" w:type="dxa"/>
          </w:tcPr>
          <w:p w14:paraId="7586DE70" w14:textId="77777777" w:rsidR="00417098" w:rsidRDefault="00417098" w:rsidP="001C68CA">
            <w:pPr>
              <w:pStyle w:val="TableText"/>
              <w:keepLines w:val="0"/>
              <w:numPr>
                <w:ilvl w:val="0"/>
                <w:numId w:val="2"/>
              </w:numPr>
            </w:pPr>
          </w:p>
        </w:tc>
        <w:tc>
          <w:tcPr>
            <w:tcW w:w="7146" w:type="dxa"/>
            <w:gridSpan w:val="3"/>
          </w:tcPr>
          <w:p w14:paraId="521060BA" w14:textId="77777777" w:rsidR="00417098" w:rsidRPr="00C34DE2" w:rsidRDefault="00417098" w:rsidP="001C68CA">
            <w:pPr>
              <w:pStyle w:val="TableBlock"/>
              <w:numPr>
                <w:ilvl w:val="0"/>
                <w:numId w:val="7"/>
              </w:numPr>
              <w:tabs>
                <w:tab w:val="left" w:pos="624"/>
              </w:tabs>
            </w:pPr>
            <w:r w:rsidRPr="00595FE5">
              <w:rPr>
                <w:rtl/>
              </w:rPr>
              <w:t>הע</w:t>
            </w:r>
            <w:r w:rsidR="008A3A9F" w:rsidRPr="00595FE5">
              <w:rPr>
                <w:rtl/>
              </w:rPr>
              <w:t>ושה אחד מאלה, דינו – שישה חודשי</w:t>
            </w:r>
            <w:r w:rsidRPr="00595FE5">
              <w:rPr>
                <w:rtl/>
              </w:rPr>
              <w:t xml:space="preserve"> מאסר או קנס כאמור בסעיף 61(א)(1) לחוק העונשין:</w:t>
            </w:r>
          </w:p>
        </w:tc>
      </w:tr>
      <w:tr w:rsidR="00417098" w14:paraId="0875C523" w14:textId="77777777">
        <w:trPr>
          <w:cantSplit/>
          <w:trHeight w:val="60"/>
        </w:trPr>
        <w:tc>
          <w:tcPr>
            <w:tcW w:w="1871" w:type="dxa"/>
          </w:tcPr>
          <w:p w14:paraId="2CBF844C" w14:textId="77777777" w:rsidR="00417098" w:rsidRDefault="00417098">
            <w:pPr>
              <w:pStyle w:val="TableSideHeading"/>
            </w:pPr>
          </w:p>
        </w:tc>
        <w:tc>
          <w:tcPr>
            <w:tcW w:w="624" w:type="dxa"/>
          </w:tcPr>
          <w:p w14:paraId="4A432383" w14:textId="77777777" w:rsidR="00417098" w:rsidRDefault="00417098">
            <w:pPr>
              <w:pStyle w:val="TableText"/>
            </w:pPr>
          </w:p>
        </w:tc>
        <w:tc>
          <w:tcPr>
            <w:tcW w:w="624" w:type="dxa"/>
          </w:tcPr>
          <w:p w14:paraId="0CB63282" w14:textId="77777777" w:rsidR="00417098" w:rsidRDefault="00417098">
            <w:pPr>
              <w:pStyle w:val="TableText"/>
            </w:pPr>
          </w:p>
        </w:tc>
        <w:tc>
          <w:tcPr>
            <w:tcW w:w="6522" w:type="dxa"/>
            <w:gridSpan w:val="2"/>
          </w:tcPr>
          <w:p w14:paraId="44BC5781" w14:textId="77777777" w:rsidR="00417098" w:rsidRDefault="008A3A9F" w:rsidP="001C68CA">
            <w:pPr>
              <w:pStyle w:val="TableBlock"/>
              <w:numPr>
                <w:ilvl w:val="0"/>
                <w:numId w:val="8"/>
              </w:numPr>
              <w:tabs>
                <w:tab w:val="left" w:pos="624"/>
              </w:tabs>
            </w:pPr>
            <w:r>
              <w:rPr>
                <w:rFonts w:hint="cs"/>
                <w:rtl/>
              </w:rPr>
              <w:t>כרה כספית בניגוד ל</w:t>
            </w:r>
            <w:r w:rsidR="00253FCC">
              <w:rPr>
                <w:rFonts w:hint="cs"/>
                <w:rtl/>
              </w:rPr>
              <w:t xml:space="preserve">הוראות </w:t>
            </w:r>
            <w:r>
              <w:rPr>
                <w:rFonts w:hint="cs"/>
                <w:rtl/>
              </w:rPr>
              <w:t>תקנה 3</w:t>
            </w:r>
            <w:r w:rsidR="00253FCC">
              <w:rPr>
                <w:rFonts w:hint="cs"/>
                <w:rtl/>
              </w:rPr>
              <w:t>(ב)</w:t>
            </w:r>
            <w:r>
              <w:rPr>
                <w:rFonts w:hint="cs"/>
                <w:rtl/>
              </w:rPr>
              <w:t>;</w:t>
            </w:r>
          </w:p>
        </w:tc>
      </w:tr>
      <w:tr w:rsidR="008A3A9F" w14:paraId="3E81EF81" w14:textId="77777777">
        <w:trPr>
          <w:cantSplit/>
          <w:trHeight w:val="60"/>
        </w:trPr>
        <w:tc>
          <w:tcPr>
            <w:tcW w:w="1871" w:type="dxa"/>
          </w:tcPr>
          <w:p w14:paraId="291877F4" w14:textId="77777777" w:rsidR="008A3A9F" w:rsidRDefault="008A3A9F">
            <w:pPr>
              <w:pStyle w:val="TableSideHeading"/>
            </w:pPr>
          </w:p>
        </w:tc>
        <w:tc>
          <w:tcPr>
            <w:tcW w:w="624" w:type="dxa"/>
          </w:tcPr>
          <w:p w14:paraId="2ABE93E0" w14:textId="77777777" w:rsidR="008A3A9F" w:rsidRDefault="008A3A9F" w:rsidP="008A3A9F">
            <w:pPr>
              <w:pStyle w:val="TableText"/>
            </w:pPr>
          </w:p>
        </w:tc>
        <w:tc>
          <w:tcPr>
            <w:tcW w:w="624" w:type="dxa"/>
          </w:tcPr>
          <w:p w14:paraId="6C3BAFBF" w14:textId="77777777" w:rsidR="008A3A9F" w:rsidRDefault="008A3A9F">
            <w:pPr>
              <w:pStyle w:val="TableText"/>
            </w:pPr>
          </w:p>
        </w:tc>
        <w:tc>
          <w:tcPr>
            <w:tcW w:w="6522" w:type="dxa"/>
            <w:gridSpan w:val="2"/>
          </w:tcPr>
          <w:p w14:paraId="48D21524" w14:textId="77777777" w:rsidR="008A3A9F" w:rsidRDefault="00D06F53" w:rsidP="00253FCC">
            <w:pPr>
              <w:pStyle w:val="TableBlock"/>
              <w:numPr>
                <w:ilvl w:val="0"/>
                <w:numId w:val="8"/>
              </w:numPr>
              <w:tabs>
                <w:tab w:val="left" w:pos="624"/>
              </w:tabs>
              <w:rPr>
                <w:rtl/>
              </w:rPr>
            </w:pPr>
            <w:r>
              <w:rPr>
                <w:rFonts w:hint="cs"/>
                <w:rtl/>
              </w:rPr>
              <w:t xml:space="preserve">ייצא </w:t>
            </w:r>
            <w:r w:rsidR="00253FCC">
              <w:rPr>
                <w:rFonts w:hint="cs"/>
                <w:rtl/>
              </w:rPr>
              <w:t xml:space="preserve">או ייבא </w:t>
            </w:r>
            <w:r>
              <w:rPr>
                <w:rFonts w:hint="cs"/>
                <w:rtl/>
              </w:rPr>
              <w:t xml:space="preserve">כספית, בלא </w:t>
            </w:r>
            <w:r w:rsidR="00253FCC">
              <w:rPr>
                <w:rFonts w:hint="cs"/>
                <w:rtl/>
              </w:rPr>
              <w:t xml:space="preserve">תעודת </w:t>
            </w:r>
            <w:r>
              <w:rPr>
                <w:rFonts w:hint="cs"/>
                <w:rtl/>
              </w:rPr>
              <w:t xml:space="preserve">היתר או </w:t>
            </w:r>
            <w:r w:rsidR="00253FCC">
              <w:rPr>
                <w:rFonts w:hint="cs"/>
                <w:rtl/>
              </w:rPr>
              <w:t>בניגוד</w:t>
            </w:r>
            <w:r>
              <w:rPr>
                <w:rFonts w:hint="cs"/>
                <w:rtl/>
              </w:rPr>
              <w:t xml:space="preserve"> </w:t>
            </w:r>
            <w:r w:rsidR="00253FCC">
              <w:rPr>
                <w:rFonts w:hint="cs"/>
                <w:rtl/>
              </w:rPr>
              <w:t>ל</w:t>
            </w:r>
            <w:r>
              <w:rPr>
                <w:rFonts w:hint="cs"/>
                <w:rtl/>
              </w:rPr>
              <w:t>תנאי</w:t>
            </w:r>
            <w:r w:rsidR="00253FCC">
              <w:rPr>
                <w:rFonts w:hint="cs"/>
                <w:rtl/>
              </w:rPr>
              <w:t>ו,</w:t>
            </w:r>
            <w:r>
              <w:rPr>
                <w:rFonts w:hint="cs"/>
                <w:rtl/>
              </w:rPr>
              <w:t xml:space="preserve"> בניגוד להוראות תקנה </w:t>
            </w:r>
            <w:r w:rsidR="00253FCC">
              <w:rPr>
                <w:rFonts w:hint="cs"/>
                <w:rtl/>
              </w:rPr>
              <w:t>3(ג) או 3(ד), לפי העניין;</w:t>
            </w:r>
          </w:p>
        </w:tc>
      </w:tr>
      <w:tr w:rsidR="00D06F53" w14:paraId="4BD9321A" w14:textId="77777777">
        <w:trPr>
          <w:cantSplit/>
          <w:trHeight w:val="60"/>
        </w:trPr>
        <w:tc>
          <w:tcPr>
            <w:tcW w:w="1871" w:type="dxa"/>
          </w:tcPr>
          <w:p w14:paraId="19CDF125" w14:textId="77777777" w:rsidR="00D06F53" w:rsidRDefault="00D06F53">
            <w:pPr>
              <w:pStyle w:val="TableSideHeading"/>
            </w:pPr>
          </w:p>
        </w:tc>
        <w:tc>
          <w:tcPr>
            <w:tcW w:w="624" w:type="dxa"/>
          </w:tcPr>
          <w:p w14:paraId="0CA8E4A6" w14:textId="77777777" w:rsidR="00D06F53" w:rsidRDefault="00D06F53" w:rsidP="00D06F53">
            <w:pPr>
              <w:pStyle w:val="TableText"/>
            </w:pPr>
          </w:p>
        </w:tc>
        <w:tc>
          <w:tcPr>
            <w:tcW w:w="624" w:type="dxa"/>
          </w:tcPr>
          <w:p w14:paraId="46585D5E" w14:textId="77777777" w:rsidR="00D06F53" w:rsidRDefault="00D06F53">
            <w:pPr>
              <w:pStyle w:val="TableText"/>
            </w:pPr>
          </w:p>
        </w:tc>
        <w:tc>
          <w:tcPr>
            <w:tcW w:w="6522" w:type="dxa"/>
            <w:gridSpan w:val="2"/>
          </w:tcPr>
          <w:p w14:paraId="4702A74E" w14:textId="572B3EF4" w:rsidR="00D06F53" w:rsidRDefault="00373462" w:rsidP="001523F4">
            <w:pPr>
              <w:pStyle w:val="TableBlock"/>
              <w:numPr>
                <w:ilvl w:val="0"/>
                <w:numId w:val="8"/>
              </w:numPr>
              <w:tabs>
                <w:tab w:val="left" w:pos="624"/>
              </w:tabs>
              <w:rPr>
                <w:rtl/>
              </w:rPr>
            </w:pPr>
            <w:r w:rsidRPr="00084EA8">
              <w:rPr>
                <w:rtl/>
              </w:rPr>
              <w:t>ייצר, ייצא</w:t>
            </w:r>
            <w:r w:rsidR="00253FCC">
              <w:rPr>
                <w:rFonts w:hint="cs"/>
                <w:rtl/>
              </w:rPr>
              <w:t>,</w:t>
            </w:r>
            <w:r w:rsidRPr="00084EA8">
              <w:rPr>
                <w:rtl/>
              </w:rPr>
              <w:t xml:space="preserve"> ייבא </w:t>
            </w:r>
            <w:r w:rsidR="00253FCC">
              <w:rPr>
                <w:rFonts w:hint="cs"/>
                <w:rtl/>
              </w:rPr>
              <w:t xml:space="preserve">או התקין </w:t>
            </w:r>
            <w:r w:rsidRPr="00084EA8">
              <w:rPr>
                <w:rtl/>
              </w:rPr>
              <w:t xml:space="preserve">מוצר </w:t>
            </w:r>
            <w:r>
              <w:rPr>
                <w:rFonts w:hint="cs"/>
                <w:rtl/>
              </w:rPr>
              <w:t>המכיל</w:t>
            </w:r>
            <w:r>
              <w:rPr>
                <w:rtl/>
              </w:rPr>
              <w:t xml:space="preserve"> כספית </w:t>
            </w:r>
            <w:r w:rsidR="001523F4">
              <w:rPr>
                <w:rFonts w:hint="cs"/>
                <w:rtl/>
              </w:rPr>
              <w:t>כמפורט בחלק 1 לנספח א' של האמנה</w:t>
            </w:r>
            <w:r>
              <w:rPr>
                <w:rFonts w:hint="cs"/>
                <w:rtl/>
              </w:rPr>
              <w:t xml:space="preserve">, בניגוד להוראות תקנה </w:t>
            </w:r>
            <w:r w:rsidR="00253FCC">
              <w:rPr>
                <w:rFonts w:hint="cs"/>
                <w:rtl/>
              </w:rPr>
              <w:t>4</w:t>
            </w:r>
            <w:r w:rsidR="00613895">
              <w:rPr>
                <w:rFonts w:hint="cs"/>
                <w:rtl/>
              </w:rPr>
              <w:t>.</w:t>
            </w:r>
          </w:p>
        </w:tc>
      </w:tr>
      <w:tr w:rsidR="00417098" w14:paraId="2D7CF2E5" w14:textId="77777777">
        <w:trPr>
          <w:cantSplit/>
          <w:trHeight w:val="60"/>
        </w:trPr>
        <w:tc>
          <w:tcPr>
            <w:tcW w:w="1871" w:type="dxa"/>
          </w:tcPr>
          <w:p w14:paraId="5551C30C" w14:textId="77777777" w:rsidR="00417098" w:rsidRDefault="00417098">
            <w:pPr>
              <w:pStyle w:val="TableSideHeading"/>
            </w:pPr>
          </w:p>
        </w:tc>
        <w:tc>
          <w:tcPr>
            <w:tcW w:w="624" w:type="dxa"/>
          </w:tcPr>
          <w:p w14:paraId="3CB48F08" w14:textId="77777777" w:rsidR="00417098" w:rsidRDefault="00417098">
            <w:pPr>
              <w:pStyle w:val="TableText"/>
            </w:pPr>
          </w:p>
        </w:tc>
        <w:tc>
          <w:tcPr>
            <w:tcW w:w="7146" w:type="dxa"/>
            <w:gridSpan w:val="3"/>
          </w:tcPr>
          <w:p w14:paraId="75E0006B" w14:textId="77777777" w:rsidR="00417098" w:rsidRPr="00C34DE2" w:rsidRDefault="00417098" w:rsidP="001C68CA">
            <w:pPr>
              <w:pStyle w:val="TableBlock"/>
              <w:numPr>
                <w:ilvl w:val="0"/>
                <w:numId w:val="7"/>
              </w:numPr>
              <w:tabs>
                <w:tab w:val="left" w:pos="624"/>
              </w:tabs>
            </w:pPr>
            <w:r w:rsidRPr="00417098">
              <w:rPr>
                <w:rtl/>
              </w:rPr>
              <w:t>עבירה לפי תקנות אלה היא מסוג של אחריות קפידה.</w:t>
            </w:r>
          </w:p>
        </w:tc>
      </w:tr>
      <w:tr w:rsidR="0009164A" w14:paraId="5F42A743" w14:textId="77777777">
        <w:trPr>
          <w:cantSplit/>
          <w:trHeight w:val="60"/>
        </w:trPr>
        <w:tc>
          <w:tcPr>
            <w:tcW w:w="1871" w:type="dxa"/>
          </w:tcPr>
          <w:p w14:paraId="2D7F15EE" w14:textId="77777777" w:rsidR="0009164A" w:rsidRDefault="0009164A" w:rsidP="00B54CB5">
            <w:pPr>
              <w:pStyle w:val="TableSideHeading"/>
              <w:keepLines w:val="0"/>
            </w:pPr>
            <w:r>
              <w:rPr>
                <w:rFonts w:hint="cs"/>
                <w:rtl/>
              </w:rPr>
              <w:t>הוראת מעבר</w:t>
            </w:r>
          </w:p>
        </w:tc>
        <w:tc>
          <w:tcPr>
            <w:tcW w:w="624" w:type="dxa"/>
          </w:tcPr>
          <w:p w14:paraId="7F792406" w14:textId="77777777" w:rsidR="0009164A" w:rsidRDefault="0009164A" w:rsidP="001C68CA">
            <w:pPr>
              <w:pStyle w:val="TableText"/>
              <w:keepLines w:val="0"/>
              <w:numPr>
                <w:ilvl w:val="0"/>
                <w:numId w:val="2"/>
              </w:numPr>
            </w:pPr>
          </w:p>
        </w:tc>
        <w:tc>
          <w:tcPr>
            <w:tcW w:w="7146" w:type="dxa"/>
            <w:gridSpan w:val="3"/>
          </w:tcPr>
          <w:p w14:paraId="6567EED7" w14:textId="311B04DD" w:rsidR="0009164A" w:rsidRPr="00C34DE2" w:rsidRDefault="00595FE5" w:rsidP="001523F4">
            <w:pPr>
              <w:pStyle w:val="TableBlock"/>
              <w:keepLines w:val="0"/>
            </w:pPr>
            <w:r>
              <w:rPr>
                <w:rFonts w:hint="cs"/>
                <w:rtl/>
              </w:rPr>
              <w:t>על אף האמור ב</w:t>
            </w:r>
            <w:r w:rsidR="0009164A">
              <w:rPr>
                <w:rFonts w:hint="cs"/>
                <w:rtl/>
              </w:rPr>
              <w:t xml:space="preserve">תקנה 5(א) </w:t>
            </w:r>
            <w:r>
              <w:rPr>
                <w:rFonts w:hint="cs"/>
                <w:rtl/>
              </w:rPr>
              <w:t xml:space="preserve">לתקנות אלה, רשאי מפעיל של תהליך ייצור </w:t>
            </w:r>
            <w:r w:rsidR="001523F4">
              <w:rPr>
                <w:rFonts w:hint="cs"/>
                <w:rtl/>
              </w:rPr>
              <w:t>כלור- אלקלי כמפורט בחלק הראשון של נספח ב' לאמנה</w:t>
            </w:r>
            <w:r w:rsidR="00B54CB5">
              <w:rPr>
                <w:rFonts w:hint="cs"/>
                <w:rtl/>
              </w:rPr>
              <w:t xml:space="preserve">, </w:t>
            </w:r>
            <w:r>
              <w:rPr>
                <w:rFonts w:hint="cs"/>
                <w:rtl/>
              </w:rPr>
              <w:t>שנעשה בו שימוש בכספית ערב יום התחילה</w:t>
            </w:r>
            <w:r w:rsidR="00B54CB5">
              <w:rPr>
                <w:rFonts w:hint="cs"/>
                <w:rtl/>
              </w:rPr>
              <w:t>,</w:t>
            </w:r>
            <w:r>
              <w:rPr>
                <w:rFonts w:hint="cs"/>
                <w:rtl/>
              </w:rPr>
              <w:t xml:space="preserve"> להמשיך ולהפעיל אותו תהליך ייצור, עד המועד שנקבע לגביו בהיתר פליטה שניתן לו לעניין אותו תהליך ייצור, ובכפוף לתנאי ההיתר כאמור</w:t>
            </w:r>
            <w:r w:rsidR="00B54CB5">
              <w:rPr>
                <w:rFonts w:hint="cs"/>
                <w:rtl/>
              </w:rPr>
              <w:t xml:space="preserve">, ולא יאוחר מיום </w:t>
            </w:r>
            <w:r w:rsidR="00B54CB5" w:rsidRPr="00B54CB5">
              <w:rPr>
                <w:rtl/>
              </w:rPr>
              <w:t>י״א בטבת ה׳תשפ״ו</w:t>
            </w:r>
            <w:r w:rsidR="00B54CB5">
              <w:rPr>
                <w:rFonts w:hint="cs"/>
                <w:rtl/>
              </w:rPr>
              <w:t xml:space="preserve"> (31 בדצמבר 2025)</w:t>
            </w:r>
            <w:r w:rsidR="0009164A">
              <w:rPr>
                <w:rFonts w:hint="cs"/>
                <w:rtl/>
              </w:rPr>
              <w:t>.</w:t>
            </w:r>
          </w:p>
        </w:tc>
      </w:tr>
    </w:tbl>
    <w:p w14:paraId="08BB551B" w14:textId="77777777" w:rsidR="00DF735F" w:rsidRDefault="00DF735F" w:rsidP="00722C14"/>
    <w:p w14:paraId="15BCAAED" w14:textId="77777777" w:rsidR="00DF735F" w:rsidRDefault="00DF735F" w:rsidP="00722C14">
      <w:pPr>
        <w:rPr>
          <w:rtl/>
        </w:rPr>
      </w:pPr>
    </w:p>
    <w:p w14:paraId="01F60FD5" w14:textId="77777777" w:rsidR="00DF735F" w:rsidRDefault="00DF735F" w:rsidP="00722C14">
      <w:pPr>
        <w:rPr>
          <w:rFonts w:eastAsia="Calibri"/>
          <w:rtl/>
        </w:rPr>
      </w:pPr>
      <w:r>
        <w:rPr>
          <w:rFonts w:eastAsia="Calibri" w:hint="cs"/>
          <w:rtl/>
        </w:rPr>
        <w:t>___ ב________ התש_______ (___ ב________ ____20)</w:t>
      </w:r>
    </w:p>
    <w:p w14:paraId="7C94E1D1" w14:textId="77777777" w:rsidR="00DF735F" w:rsidRDefault="00DF735F" w:rsidP="00722C14">
      <w:pPr>
        <w:rPr>
          <w:rtl/>
        </w:rPr>
      </w:pPr>
      <w:r>
        <w:rPr>
          <w:rFonts w:hint="cs"/>
          <w:rtl/>
        </w:rPr>
        <w:t>(חמ _____-3)</w:t>
      </w:r>
    </w:p>
    <w:p w14:paraId="76A816B1" w14:textId="77777777" w:rsidR="00DF735F" w:rsidRDefault="00DF735F" w:rsidP="00722C14">
      <w:pPr>
        <w:rPr>
          <w:rtl/>
        </w:rPr>
      </w:pPr>
    </w:p>
    <w:p w14:paraId="297B899A" w14:textId="437E9667" w:rsidR="00DF735F" w:rsidRDefault="00DF735F" w:rsidP="00722C14">
      <w:pPr>
        <w:ind w:left="5760"/>
        <w:jc w:val="center"/>
        <w:rPr>
          <w:rtl/>
        </w:rPr>
      </w:pPr>
      <w:r>
        <w:rPr>
          <w:rFonts w:hint="cs"/>
          <w:rtl/>
        </w:rPr>
        <w:t>__________________</w:t>
      </w:r>
    </w:p>
    <w:p w14:paraId="035A91D2" w14:textId="49368487" w:rsidR="00DF735F" w:rsidRDefault="00D20E7D" w:rsidP="00722C14">
      <w:pPr>
        <w:ind w:left="5760"/>
        <w:jc w:val="center"/>
        <w:rPr>
          <w:rtl/>
        </w:rPr>
      </w:pPr>
      <w:r>
        <w:rPr>
          <w:rFonts w:hint="cs"/>
          <w:rtl/>
        </w:rPr>
        <w:t>תמר זנדברג</w:t>
      </w:r>
    </w:p>
    <w:p w14:paraId="4498D398" w14:textId="19CD2F4F" w:rsidR="00DF735F" w:rsidRDefault="00D20E7D" w:rsidP="00722C14">
      <w:pPr>
        <w:ind w:left="5760"/>
        <w:jc w:val="center"/>
        <w:rPr>
          <w:rtl/>
        </w:rPr>
      </w:pPr>
      <w:r>
        <w:rPr>
          <w:rFonts w:hint="cs"/>
          <w:rtl/>
        </w:rPr>
        <w:t>השרה להגנת הסביבה</w:t>
      </w:r>
    </w:p>
    <w:p w14:paraId="5F20E84F" w14:textId="77777777" w:rsidR="00DF735F" w:rsidRDefault="00DF735F" w:rsidP="00722C14">
      <w:pPr>
        <w:pStyle w:val="HeadDivreiHesber"/>
        <w:rPr>
          <w:rtl/>
        </w:rPr>
      </w:pPr>
      <w:r>
        <w:rPr>
          <w:rtl/>
        </w:rPr>
        <w:lastRenderedPageBreak/>
        <w:t>דברי הסבר</w:t>
      </w:r>
    </w:p>
    <w:p w14:paraId="0C7CF971" w14:textId="77777777" w:rsidR="004A6ABE" w:rsidRPr="00AC257B" w:rsidRDefault="004A6ABE" w:rsidP="00AC257B">
      <w:pPr>
        <w:pStyle w:val="Hesber1st"/>
        <w:tabs>
          <w:tab w:val="clear" w:pos="680"/>
        </w:tabs>
        <w:rPr>
          <w:b/>
          <w:bCs/>
          <w:rtl/>
        </w:rPr>
      </w:pPr>
      <w:r w:rsidRPr="00AC257B">
        <w:rPr>
          <w:rFonts w:hint="cs"/>
          <w:b/>
          <w:bCs/>
          <w:rtl/>
        </w:rPr>
        <w:t>רקע</w:t>
      </w:r>
    </w:p>
    <w:p w14:paraId="317A1641" w14:textId="77777777" w:rsidR="00A20138" w:rsidRPr="00E57A6B" w:rsidRDefault="00E57A6B" w:rsidP="00AC257B">
      <w:pPr>
        <w:pStyle w:val="Hesber1st"/>
        <w:tabs>
          <w:tab w:val="clear" w:pos="680"/>
        </w:tabs>
      </w:pPr>
      <w:r w:rsidRPr="00FD511C">
        <w:rPr>
          <w:rtl/>
        </w:rPr>
        <w:t>אמנת מינמטה בדבר כספית</w:t>
      </w:r>
      <w:r>
        <w:rPr>
          <w:rFonts w:hint="cs"/>
          <w:rtl/>
        </w:rPr>
        <w:t xml:space="preserve"> (</w:t>
      </w:r>
      <w:r w:rsidRPr="00E57A6B">
        <w:t xml:space="preserve">Minamata Convention on </w:t>
      </w:r>
      <w:r w:rsidRPr="00AC257B">
        <w:t>Mercury</w:t>
      </w:r>
      <w:r>
        <w:rPr>
          <w:rFonts w:hint="cs"/>
          <w:rtl/>
        </w:rPr>
        <w:t>) משנת 2013</w:t>
      </w:r>
      <w:r w:rsidRPr="00D64B23">
        <w:rPr>
          <w:rtl/>
        </w:rPr>
        <w:t>,</w:t>
      </w:r>
      <w:r>
        <w:rPr>
          <w:rFonts w:hint="cs"/>
          <w:rtl/>
        </w:rPr>
        <w:t xml:space="preserve"> של ארגון האומות המאוחדות </w:t>
      </w:r>
      <w:r w:rsidR="00AC257B">
        <w:rPr>
          <w:rFonts w:hint="cs"/>
          <w:rtl/>
        </w:rPr>
        <w:t>(להלן: "האמנה"), היא חלק</w:t>
      </w:r>
      <w:r w:rsidR="004D483A" w:rsidRPr="00E57A6B">
        <w:rPr>
          <w:rtl/>
        </w:rPr>
        <w:t xml:space="preserve"> </w:t>
      </w:r>
      <w:r w:rsidR="00AC257B">
        <w:rPr>
          <w:rFonts w:hint="cs"/>
          <w:rtl/>
        </w:rPr>
        <w:t>מ</w:t>
      </w:r>
      <w:r w:rsidR="004D483A" w:rsidRPr="00E57A6B">
        <w:rPr>
          <w:rtl/>
        </w:rPr>
        <w:t>התכנית הסביבתית של ארגון האומות המאוחדות (</w:t>
      </w:r>
      <w:r w:rsidR="004D483A" w:rsidRPr="00E57A6B">
        <w:t>U</w:t>
      </w:r>
      <w:r w:rsidR="008E33DE" w:rsidRPr="00E57A6B">
        <w:t xml:space="preserve">nited </w:t>
      </w:r>
      <w:r w:rsidR="004D483A" w:rsidRPr="00E57A6B">
        <w:t>N</w:t>
      </w:r>
      <w:r w:rsidR="008E33DE" w:rsidRPr="00E57A6B">
        <w:t xml:space="preserve">ations </w:t>
      </w:r>
      <w:r w:rsidR="004D483A" w:rsidRPr="00E57A6B">
        <w:t>E</w:t>
      </w:r>
      <w:r w:rsidR="008E33DE" w:rsidRPr="00E57A6B">
        <w:t>nvironmen</w:t>
      </w:r>
      <w:r w:rsidR="00120096" w:rsidRPr="00E57A6B">
        <w:t>t</w:t>
      </w:r>
      <w:r w:rsidR="008E33DE" w:rsidRPr="00E57A6B">
        <w:t xml:space="preserve"> </w:t>
      </w:r>
      <w:r w:rsidR="00120096" w:rsidRPr="00E57A6B">
        <w:t>Programme</w:t>
      </w:r>
      <w:r w:rsidR="00AC257B">
        <w:t xml:space="preserve"> - UNEP</w:t>
      </w:r>
      <w:r w:rsidR="004D483A" w:rsidRPr="00E57A6B">
        <w:rPr>
          <w:rtl/>
        </w:rPr>
        <w:t xml:space="preserve">). אמנה זו הציבה כמטרה </w:t>
      </w:r>
      <w:r>
        <w:rPr>
          <w:rFonts w:hint="cs"/>
          <w:rtl/>
        </w:rPr>
        <w:t>הגנה</w:t>
      </w:r>
      <w:r w:rsidR="004D483A" w:rsidRPr="00E57A6B">
        <w:rPr>
          <w:rtl/>
        </w:rPr>
        <w:t xml:space="preserve"> על בריאות האדם ועל הסביבה </w:t>
      </w:r>
      <w:r w:rsidR="00A20138" w:rsidRPr="00E57A6B">
        <w:rPr>
          <w:rFonts w:hint="cs"/>
          <w:rtl/>
        </w:rPr>
        <w:t xml:space="preserve">מההשפעות הבריאותיות והסביבתיות </w:t>
      </w:r>
      <w:r w:rsidR="00AC257B" w:rsidRPr="00E57A6B">
        <w:rPr>
          <w:rFonts w:hint="cs"/>
          <w:rtl/>
        </w:rPr>
        <w:t xml:space="preserve">המשמעותיות </w:t>
      </w:r>
      <w:r w:rsidR="00A20138" w:rsidRPr="00E57A6B">
        <w:rPr>
          <w:rFonts w:hint="cs"/>
          <w:rtl/>
        </w:rPr>
        <w:t xml:space="preserve">של </w:t>
      </w:r>
      <w:r w:rsidR="004D483A" w:rsidRPr="00E57A6B">
        <w:rPr>
          <w:rtl/>
        </w:rPr>
        <w:t>כספית ותרכובותיה.</w:t>
      </w:r>
      <w:r w:rsidR="00A20138" w:rsidRPr="00E57A6B">
        <w:rPr>
          <w:rFonts w:hint="cs"/>
          <w:rtl/>
        </w:rPr>
        <w:t xml:space="preserve"> </w:t>
      </w:r>
    </w:p>
    <w:p w14:paraId="33B489EA" w14:textId="77777777" w:rsidR="004A3EF5" w:rsidRPr="00E57A6B" w:rsidRDefault="004A3EF5" w:rsidP="00130A67">
      <w:pPr>
        <w:pStyle w:val="Hesber"/>
        <w:rPr>
          <w:rtl/>
        </w:rPr>
      </w:pPr>
      <w:r w:rsidRPr="00E57A6B">
        <w:rPr>
          <w:rFonts w:hint="cs"/>
          <w:rtl/>
        </w:rPr>
        <w:t xml:space="preserve">האמנה קרויה על שם </w:t>
      </w:r>
      <w:r w:rsidR="00F35CDF" w:rsidRPr="00E57A6B">
        <w:rPr>
          <w:rFonts w:hint="cs"/>
          <w:rtl/>
        </w:rPr>
        <w:t xml:space="preserve">העיר </w:t>
      </w:r>
      <w:r w:rsidRPr="00E57A6B">
        <w:rPr>
          <w:rFonts w:hint="cs"/>
          <w:rtl/>
        </w:rPr>
        <w:t>מינמטה (</w:t>
      </w:r>
      <w:r w:rsidRPr="00E57A6B">
        <w:t>Minamata</w:t>
      </w:r>
      <w:r w:rsidR="00F35CDF" w:rsidRPr="00E57A6B">
        <w:rPr>
          <w:rFonts w:hint="cs"/>
          <w:rtl/>
        </w:rPr>
        <w:t>) ב</w:t>
      </w:r>
      <w:r w:rsidRPr="00E57A6B">
        <w:rPr>
          <w:rFonts w:hint="cs"/>
          <w:rtl/>
        </w:rPr>
        <w:t>יפן</w:t>
      </w:r>
      <w:r w:rsidR="00F35CDF" w:rsidRPr="00E57A6B">
        <w:rPr>
          <w:rFonts w:hint="cs"/>
          <w:rtl/>
        </w:rPr>
        <w:t>, בה פעל מפעל תעשייה כימית שהזרים את שפכיו למפרץ מינמטה הסמוך</w:t>
      </w:r>
      <w:r w:rsidR="00E57A6B">
        <w:rPr>
          <w:rFonts w:hint="cs"/>
          <w:rtl/>
        </w:rPr>
        <w:t xml:space="preserve"> אליו,</w:t>
      </w:r>
      <w:r w:rsidR="00BB0B88" w:rsidRPr="00E57A6B">
        <w:rPr>
          <w:rFonts w:hint="cs"/>
          <w:rtl/>
        </w:rPr>
        <w:t xml:space="preserve"> במשך עשרות שנים באמצע המאה ה-20</w:t>
      </w:r>
      <w:r w:rsidR="00F35CDF" w:rsidRPr="00E57A6B">
        <w:rPr>
          <w:rFonts w:hint="cs"/>
          <w:rtl/>
        </w:rPr>
        <w:t>.</w:t>
      </w:r>
      <w:r w:rsidRPr="00E57A6B">
        <w:rPr>
          <w:rFonts w:hint="cs"/>
          <w:rtl/>
        </w:rPr>
        <w:t xml:space="preserve"> </w:t>
      </w:r>
      <w:r w:rsidR="00BB0B88" w:rsidRPr="00E57A6B">
        <w:rPr>
          <w:rFonts w:hint="cs"/>
          <w:rtl/>
        </w:rPr>
        <w:t xml:space="preserve">החל משנת 1956 הופיעו תופעות נוירולוגיות קשות בתושבים של מינמטה והתברר שמקור המחלה </w:t>
      </w:r>
      <w:r w:rsidR="00BD79B8" w:rsidRPr="00E57A6B">
        <w:rPr>
          <w:rFonts w:hint="cs"/>
          <w:rtl/>
        </w:rPr>
        <w:t xml:space="preserve">הוא </w:t>
      </w:r>
      <w:r w:rsidR="00BB0B88" w:rsidRPr="00E57A6B">
        <w:rPr>
          <w:rFonts w:hint="cs"/>
          <w:rtl/>
        </w:rPr>
        <w:t>בכספית שהוזרמה בשפכי המפעל, הצטברה ברקמות דגי המפרץ</w:t>
      </w:r>
      <w:r w:rsidR="00E57A6B">
        <w:rPr>
          <w:rFonts w:hint="cs"/>
          <w:rtl/>
        </w:rPr>
        <w:t>,</w:t>
      </w:r>
      <w:r w:rsidR="00BB0B88" w:rsidRPr="00E57A6B">
        <w:rPr>
          <w:rFonts w:hint="cs"/>
          <w:rtl/>
        </w:rPr>
        <w:t xml:space="preserve"> שנאכלו על ידי התושבים.</w:t>
      </w:r>
      <w:r w:rsidRPr="00E57A6B">
        <w:rPr>
          <w:rFonts w:hint="cs"/>
          <w:rtl/>
        </w:rPr>
        <w:t xml:space="preserve"> </w:t>
      </w:r>
      <w:r w:rsidR="00BD79B8" w:rsidRPr="00E57A6B">
        <w:rPr>
          <w:rFonts w:hint="cs"/>
          <w:rtl/>
        </w:rPr>
        <w:t xml:space="preserve">בסך הכל נפטרו מהמחלה 1,784 </w:t>
      </w:r>
      <w:r w:rsidR="00E57A6B">
        <w:rPr>
          <w:rFonts w:hint="cs"/>
          <w:rtl/>
        </w:rPr>
        <w:t xml:space="preserve">אנשים </w:t>
      </w:r>
      <w:r w:rsidR="00BD79B8" w:rsidRPr="00E57A6B">
        <w:rPr>
          <w:rFonts w:hint="cs"/>
          <w:rtl/>
        </w:rPr>
        <w:t>וכ</w:t>
      </w:r>
      <w:r w:rsidR="00E57A6B">
        <w:rPr>
          <w:rFonts w:hint="cs"/>
          <w:rtl/>
        </w:rPr>
        <w:t>-</w:t>
      </w:r>
      <w:r w:rsidR="00BD79B8" w:rsidRPr="00E57A6B">
        <w:rPr>
          <w:rFonts w:hint="cs"/>
          <w:rtl/>
        </w:rPr>
        <w:t xml:space="preserve"> 10,000 תושבים היו זכאים לפיצוי כספי מהמפעל</w:t>
      </w:r>
      <w:r w:rsidR="00E57A6B">
        <w:rPr>
          <w:rFonts w:hint="cs"/>
          <w:rtl/>
        </w:rPr>
        <w:t xml:space="preserve"> בהקשר זה</w:t>
      </w:r>
      <w:r w:rsidR="00BD79B8" w:rsidRPr="00E57A6B">
        <w:rPr>
          <w:rFonts w:hint="cs"/>
          <w:rtl/>
        </w:rPr>
        <w:t>.</w:t>
      </w:r>
      <w:r w:rsidR="00AC257B">
        <w:rPr>
          <w:rFonts w:hint="cs"/>
          <w:rtl/>
        </w:rPr>
        <w:t xml:space="preserve"> </w:t>
      </w:r>
    </w:p>
    <w:p w14:paraId="301BA8BB" w14:textId="77777777" w:rsidR="00F35CDF" w:rsidRPr="00E57A6B" w:rsidRDefault="004A3EF5" w:rsidP="00130A67">
      <w:pPr>
        <w:pStyle w:val="Hesber"/>
        <w:rPr>
          <w:rtl/>
        </w:rPr>
      </w:pPr>
      <w:r w:rsidRPr="00E57A6B">
        <w:rPr>
          <w:rFonts w:hint="cs"/>
          <w:rtl/>
        </w:rPr>
        <w:t xml:space="preserve">תהליך העבודה לקראת כתיבה וחתימה על אמנה הנוגעת לכספית החל ב-2001, כאשר </w:t>
      </w:r>
      <w:r w:rsidR="00130A67">
        <w:rPr>
          <w:rFonts w:hint="cs"/>
        </w:rPr>
        <w:t>UNEP</w:t>
      </w:r>
      <w:r w:rsidRPr="00E57A6B">
        <w:rPr>
          <w:rFonts w:hint="cs"/>
          <w:rtl/>
        </w:rPr>
        <w:t xml:space="preserve"> החלה לפעול ל</w:t>
      </w:r>
      <w:r w:rsidR="00130A67">
        <w:rPr>
          <w:rFonts w:hint="cs"/>
          <w:rtl/>
        </w:rPr>
        <w:t>קידום מדיניות להתמודדות עם ההשפעות</w:t>
      </w:r>
      <w:r w:rsidRPr="00E57A6B">
        <w:rPr>
          <w:rFonts w:hint="cs"/>
          <w:rtl/>
        </w:rPr>
        <w:t xml:space="preserve"> הבריאותי</w:t>
      </w:r>
      <w:r w:rsidR="00130A67">
        <w:rPr>
          <w:rFonts w:hint="cs"/>
          <w:rtl/>
        </w:rPr>
        <w:t>ות</w:t>
      </w:r>
      <w:r w:rsidRPr="00E57A6B">
        <w:rPr>
          <w:rFonts w:hint="cs"/>
          <w:rtl/>
        </w:rPr>
        <w:t xml:space="preserve"> והסביבתי</w:t>
      </w:r>
      <w:r w:rsidR="00130A67">
        <w:rPr>
          <w:rFonts w:hint="cs"/>
          <w:rtl/>
        </w:rPr>
        <w:t>ות</w:t>
      </w:r>
      <w:r w:rsidRPr="00E57A6B">
        <w:rPr>
          <w:rFonts w:hint="cs"/>
          <w:rtl/>
        </w:rPr>
        <w:t xml:space="preserve"> של הרעלות כספית. העבודה </w:t>
      </w:r>
      <w:r w:rsidR="00130A67">
        <w:rPr>
          <w:rFonts w:hint="cs"/>
          <w:rtl/>
        </w:rPr>
        <w:t>בנושא</w:t>
      </w:r>
      <w:r w:rsidRPr="00E57A6B">
        <w:rPr>
          <w:rFonts w:hint="cs"/>
          <w:rtl/>
        </w:rPr>
        <w:t xml:space="preserve"> כללה ביצוע הערכות בנושא השפעות בריאותיות, </w:t>
      </w:r>
      <w:r w:rsidR="00130A67">
        <w:rPr>
          <w:rFonts w:hint="cs"/>
          <w:rtl/>
        </w:rPr>
        <w:t xml:space="preserve">זיהוי </w:t>
      </w:r>
      <w:r w:rsidRPr="00E57A6B">
        <w:rPr>
          <w:rFonts w:hint="cs"/>
          <w:rtl/>
        </w:rPr>
        <w:t xml:space="preserve">מקורות פליטה, </w:t>
      </w:r>
      <w:r w:rsidR="00130A67">
        <w:rPr>
          <w:rFonts w:hint="cs"/>
          <w:rtl/>
        </w:rPr>
        <w:t>אמצעים ל</w:t>
      </w:r>
      <w:r w:rsidRPr="00E57A6B">
        <w:rPr>
          <w:rFonts w:hint="cs"/>
          <w:rtl/>
        </w:rPr>
        <w:t>מניעת חשיפה</w:t>
      </w:r>
      <w:r w:rsidR="00130A67">
        <w:rPr>
          <w:rFonts w:hint="cs"/>
          <w:rtl/>
        </w:rPr>
        <w:t>,</w:t>
      </w:r>
      <w:r w:rsidRPr="00E57A6B">
        <w:rPr>
          <w:rFonts w:hint="cs"/>
          <w:rtl/>
        </w:rPr>
        <w:t xml:space="preserve"> טכנולוגיות </w:t>
      </w:r>
      <w:r w:rsidR="00130A67">
        <w:rPr>
          <w:rFonts w:hint="cs"/>
          <w:rtl/>
        </w:rPr>
        <w:t xml:space="preserve">קיימות </w:t>
      </w:r>
      <w:r w:rsidRPr="00E57A6B">
        <w:rPr>
          <w:rFonts w:hint="cs"/>
          <w:rtl/>
        </w:rPr>
        <w:t>בתחום הכספית</w:t>
      </w:r>
      <w:r w:rsidR="00130A67">
        <w:rPr>
          <w:rFonts w:hint="cs"/>
          <w:rtl/>
        </w:rPr>
        <w:t>,</w:t>
      </w:r>
      <w:r w:rsidRPr="00E57A6B">
        <w:rPr>
          <w:rFonts w:hint="cs"/>
          <w:rtl/>
        </w:rPr>
        <w:t xml:space="preserve"> ועוד. בשנת </w:t>
      </w:r>
      <w:r w:rsidR="00130A67" w:rsidRPr="00E57A6B">
        <w:rPr>
          <w:rFonts w:hint="cs"/>
          <w:rtl/>
        </w:rPr>
        <w:t xml:space="preserve">2003 הודיעה </w:t>
      </w:r>
      <w:r w:rsidR="00130A67">
        <w:rPr>
          <w:rFonts w:hint="cs"/>
        </w:rPr>
        <w:t>UNEP</w:t>
      </w:r>
      <w:r w:rsidRPr="00E57A6B">
        <w:rPr>
          <w:rFonts w:hint="cs"/>
          <w:rtl/>
        </w:rPr>
        <w:t xml:space="preserve"> כי יש לפעול באופן גלובלי לצמצום ההשפעות של כספית ותרכובותיה על בני האדם ועל הסביבה. ב-2009 </w:t>
      </w:r>
      <w:r w:rsidR="00130A67">
        <w:rPr>
          <w:rFonts w:hint="cs"/>
          <w:rtl/>
        </w:rPr>
        <w:t>החלו צעדים אופרטיביים לגיבוש האמנה כ</w:t>
      </w:r>
      <w:r w:rsidRPr="00E57A6B">
        <w:rPr>
          <w:rFonts w:hint="cs"/>
          <w:rtl/>
        </w:rPr>
        <w:t>כלי משפטי מחייב בנושא כספית</w:t>
      </w:r>
      <w:r w:rsidR="00130A67">
        <w:rPr>
          <w:rFonts w:hint="cs"/>
          <w:rtl/>
        </w:rPr>
        <w:t>.</w:t>
      </w:r>
      <w:r w:rsidRPr="00E57A6B">
        <w:rPr>
          <w:rFonts w:hint="cs"/>
          <w:rtl/>
        </w:rPr>
        <w:t xml:space="preserve"> </w:t>
      </w:r>
      <w:r w:rsidR="00130A67">
        <w:rPr>
          <w:rFonts w:hint="cs"/>
          <w:rtl/>
        </w:rPr>
        <w:t xml:space="preserve">בשנת 2013 גובש נוסח האמנה בהסכמה בינלאומית רחבה של </w:t>
      </w:r>
      <w:r w:rsidRPr="00E57A6B">
        <w:rPr>
          <w:rFonts w:hint="cs"/>
          <w:rtl/>
        </w:rPr>
        <w:t>140 מדינות. ב-</w:t>
      </w:r>
      <w:bookmarkStart w:id="1" w:name="_Hlk28339268"/>
      <w:r w:rsidR="0026254D" w:rsidRPr="00E57A6B">
        <w:rPr>
          <w:rFonts w:hint="cs"/>
          <w:rtl/>
        </w:rPr>
        <w:t>9</w:t>
      </w:r>
      <w:r w:rsidRPr="00E57A6B">
        <w:rPr>
          <w:rFonts w:hint="cs"/>
          <w:rtl/>
        </w:rPr>
        <w:t xml:space="preserve"> באוקטובר 2013 </w:t>
      </w:r>
      <w:bookmarkEnd w:id="1"/>
      <w:r w:rsidRPr="00E57A6B">
        <w:rPr>
          <w:rFonts w:hint="cs"/>
          <w:rtl/>
        </w:rPr>
        <w:t>האמנה נפתחה לחתימה ע"י המדינות</w:t>
      </w:r>
      <w:r w:rsidR="00130A67" w:rsidRPr="00130A67">
        <w:rPr>
          <w:rFonts w:hint="cs"/>
          <w:rtl/>
        </w:rPr>
        <w:t xml:space="preserve"> </w:t>
      </w:r>
      <w:r w:rsidR="00130A67">
        <w:rPr>
          <w:rFonts w:hint="cs"/>
          <w:rtl/>
        </w:rPr>
        <w:t>במסגרת</w:t>
      </w:r>
      <w:r w:rsidR="00130A67" w:rsidRPr="00E57A6B">
        <w:rPr>
          <w:rFonts w:hint="cs"/>
          <w:rtl/>
        </w:rPr>
        <w:t xml:space="preserve"> ועידה במינמטה, יפן</w:t>
      </w:r>
      <w:r w:rsidRPr="00E57A6B">
        <w:rPr>
          <w:rFonts w:hint="cs"/>
          <w:rtl/>
        </w:rPr>
        <w:t>. ישראל חתמה על האמנה במסגרת ועידה</w:t>
      </w:r>
      <w:r w:rsidR="0026254D" w:rsidRPr="00E57A6B">
        <w:rPr>
          <w:rFonts w:hint="cs"/>
          <w:rtl/>
        </w:rPr>
        <w:t xml:space="preserve"> זו </w:t>
      </w:r>
      <w:r w:rsidR="00F35CDF" w:rsidRPr="00E57A6B">
        <w:rPr>
          <w:rFonts w:hint="cs"/>
          <w:rtl/>
        </w:rPr>
        <w:t xml:space="preserve">והצהירה </w:t>
      </w:r>
      <w:r w:rsidR="0026254D" w:rsidRPr="00E57A6B">
        <w:rPr>
          <w:rFonts w:hint="cs"/>
          <w:rtl/>
        </w:rPr>
        <w:t xml:space="preserve">בכך </w:t>
      </w:r>
      <w:r w:rsidR="00F35CDF" w:rsidRPr="00E57A6B">
        <w:rPr>
          <w:rFonts w:hint="cs"/>
          <w:rtl/>
        </w:rPr>
        <w:t>על כוונתה ליישם את דרישותי</w:t>
      </w:r>
      <w:r w:rsidR="00F35CDF" w:rsidRPr="00E57A6B">
        <w:rPr>
          <w:rFonts w:hint="eastAsia"/>
          <w:rtl/>
        </w:rPr>
        <w:t>ה</w:t>
      </w:r>
      <w:r w:rsidR="00F35CDF" w:rsidRPr="00E57A6B">
        <w:rPr>
          <w:rFonts w:hint="cs"/>
          <w:rtl/>
        </w:rPr>
        <w:t>.</w:t>
      </w:r>
    </w:p>
    <w:p w14:paraId="3024D5CB" w14:textId="3E2BA42E" w:rsidR="0026254D" w:rsidRDefault="0026254D" w:rsidP="00193D2E">
      <w:pPr>
        <w:pStyle w:val="Hesber"/>
        <w:rPr>
          <w:rtl/>
        </w:rPr>
      </w:pPr>
      <w:r w:rsidRPr="0084721A">
        <w:rPr>
          <w:rFonts w:hint="cs"/>
          <w:rtl/>
        </w:rPr>
        <w:t>אמנת מינמטה נכנסה לתוקף ב-16 באוגוסט 2017, 90 יום לאחר ש-50 מדינות הגישו את מסמכי אשרור האמנה</w:t>
      </w:r>
      <w:r w:rsidR="0084721A">
        <w:rPr>
          <w:rFonts w:hint="cs"/>
          <w:rtl/>
        </w:rPr>
        <w:t xml:space="preserve">. </w:t>
      </w:r>
      <w:r w:rsidRPr="00193D2E">
        <w:rPr>
          <w:rFonts w:hint="cs"/>
          <w:rtl/>
        </w:rPr>
        <w:t>נכון ל</w:t>
      </w:r>
      <w:r w:rsidR="00193D2E" w:rsidRPr="00193D2E">
        <w:rPr>
          <w:rFonts w:hint="cs"/>
          <w:rtl/>
        </w:rPr>
        <w:t>יוני</w:t>
      </w:r>
      <w:r w:rsidRPr="00193D2E">
        <w:rPr>
          <w:rFonts w:hint="cs"/>
          <w:rtl/>
        </w:rPr>
        <w:t xml:space="preserve"> 2021 חברות באמנה 131 מדינות.</w:t>
      </w:r>
    </w:p>
    <w:p w14:paraId="102A87A5" w14:textId="77777777" w:rsidR="00953B12" w:rsidRPr="00E57A6B" w:rsidRDefault="00953B12" w:rsidP="00953B12">
      <w:pPr>
        <w:pStyle w:val="Hesber"/>
        <w:rPr>
          <w:rtl/>
        </w:rPr>
      </w:pPr>
      <w:r w:rsidRPr="00E57A6B">
        <w:rPr>
          <w:rFonts w:hint="cs"/>
          <w:rtl/>
        </w:rPr>
        <w:t>האמנה מתייחסת לכל שלבי "מחזור החיים" של הכספית</w:t>
      </w:r>
      <w:r>
        <w:rPr>
          <w:rFonts w:hint="cs"/>
          <w:rtl/>
        </w:rPr>
        <w:t xml:space="preserve"> אשר כוללים - </w:t>
      </w:r>
      <w:r w:rsidRPr="00E57A6B">
        <w:rPr>
          <w:rFonts w:hint="cs"/>
          <w:rtl/>
        </w:rPr>
        <w:t xml:space="preserve">מקורות אספקה </w:t>
      </w:r>
      <w:r w:rsidRPr="00E57A6B">
        <w:rPr>
          <w:rtl/>
        </w:rPr>
        <w:t>–</w:t>
      </w:r>
      <w:r w:rsidRPr="00E57A6B">
        <w:rPr>
          <w:rFonts w:hint="cs"/>
          <w:rtl/>
        </w:rPr>
        <w:t xml:space="preserve"> חציבה, </w:t>
      </w:r>
      <w:r w:rsidRPr="00953B12">
        <w:rPr>
          <w:rFonts w:hint="cs"/>
          <w:rtl/>
        </w:rPr>
        <w:t>מחזור</w:t>
      </w:r>
      <w:r w:rsidRPr="00E57A6B">
        <w:rPr>
          <w:rFonts w:hint="cs"/>
          <w:rtl/>
        </w:rPr>
        <w:t xml:space="preserve"> כספית</w:t>
      </w:r>
      <w:r>
        <w:rPr>
          <w:rFonts w:hint="cs"/>
          <w:rtl/>
        </w:rPr>
        <w:t>;</w:t>
      </w:r>
      <w:r w:rsidRPr="00324663">
        <w:rPr>
          <w:rFonts w:hint="cs"/>
          <w:rtl/>
        </w:rPr>
        <w:t xml:space="preserve"> </w:t>
      </w:r>
      <w:r w:rsidRPr="00E57A6B">
        <w:rPr>
          <w:rFonts w:hint="cs"/>
          <w:rtl/>
        </w:rPr>
        <w:t xml:space="preserve">מסחר </w:t>
      </w:r>
      <w:r w:rsidRPr="00E57A6B">
        <w:rPr>
          <w:rtl/>
        </w:rPr>
        <w:t>–</w:t>
      </w:r>
      <w:r w:rsidRPr="00E57A6B">
        <w:rPr>
          <w:rFonts w:hint="cs"/>
          <w:rtl/>
        </w:rPr>
        <w:t xml:space="preserve"> יבוא ויצוא</w:t>
      </w:r>
      <w:r>
        <w:rPr>
          <w:rFonts w:hint="cs"/>
          <w:rtl/>
        </w:rPr>
        <w:t xml:space="preserve">; </w:t>
      </w:r>
      <w:r w:rsidRPr="00E57A6B">
        <w:rPr>
          <w:rFonts w:hint="cs"/>
          <w:rtl/>
        </w:rPr>
        <w:t xml:space="preserve">שימושים </w:t>
      </w:r>
      <w:r w:rsidRPr="00E57A6B">
        <w:rPr>
          <w:rtl/>
        </w:rPr>
        <w:t>–</w:t>
      </w:r>
      <w:r w:rsidRPr="00E57A6B">
        <w:rPr>
          <w:rFonts w:hint="cs"/>
          <w:rtl/>
        </w:rPr>
        <w:t xml:space="preserve"> תהליכים תעשייתיים, מוצרים מכילי כספית</w:t>
      </w:r>
      <w:r>
        <w:rPr>
          <w:rFonts w:hint="cs"/>
          <w:rtl/>
        </w:rPr>
        <w:t xml:space="preserve">; </w:t>
      </w:r>
      <w:r w:rsidRPr="00E57A6B">
        <w:rPr>
          <w:rFonts w:hint="cs"/>
          <w:rtl/>
        </w:rPr>
        <w:t>פליטות והזרמות לסביבה</w:t>
      </w:r>
      <w:r>
        <w:rPr>
          <w:rFonts w:hint="cs"/>
          <w:rtl/>
        </w:rPr>
        <w:t xml:space="preserve">; </w:t>
      </w:r>
      <w:r w:rsidRPr="00E57A6B">
        <w:rPr>
          <w:rFonts w:hint="cs"/>
          <w:rtl/>
        </w:rPr>
        <w:t>אחסון והובלת כספית ופסולת כספית</w:t>
      </w:r>
      <w:r>
        <w:rPr>
          <w:rFonts w:hint="cs"/>
          <w:rtl/>
        </w:rPr>
        <w:t xml:space="preserve">; </w:t>
      </w:r>
      <w:r w:rsidRPr="00E57A6B">
        <w:rPr>
          <w:rFonts w:hint="cs"/>
          <w:rtl/>
        </w:rPr>
        <w:t xml:space="preserve">היסטוריה </w:t>
      </w:r>
      <w:r w:rsidRPr="00E57A6B">
        <w:rPr>
          <w:rtl/>
        </w:rPr>
        <w:t>–</w:t>
      </w:r>
      <w:r w:rsidRPr="00E57A6B">
        <w:rPr>
          <w:rFonts w:hint="cs"/>
          <w:rtl/>
        </w:rPr>
        <w:t xml:space="preserve"> אתרים מזוהמים בכספית</w:t>
      </w:r>
      <w:r>
        <w:rPr>
          <w:rFonts w:hint="cs"/>
          <w:rtl/>
        </w:rPr>
        <w:t xml:space="preserve">. האמנה כוללת גם </w:t>
      </w:r>
      <w:r w:rsidRPr="00E57A6B">
        <w:rPr>
          <w:rFonts w:hint="cs"/>
          <w:rtl/>
        </w:rPr>
        <w:t xml:space="preserve">היבטים נוספים כגון </w:t>
      </w:r>
      <w:r w:rsidRPr="00E57A6B">
        <w:rPr>
          <w:rtl/>
        </w:rPr>
        <w:t>–</w:t>
      </w:r>
      <w:r w:rsidRPr="00E57A6B">
        <w:rPr>
          <w:rFonts w:hint="cs"/>
          <w:rtl/>
        </w:rPr>
        <w:t xml:space="preserve"> בניית ידע, שיתוף מידע, הגברת מודעות וחינוך, מחקר, ניטור סביבתי ועוד.</w:t>
      </w:r>
    </w:p>
    <w:p w14:paraId="4AA26F93" w14:textId="77777777" w:rsidR="0006314A" w:rsidRPr="0084721A" w:rsidRDefault="0006314A" w:rsidP="00324663">
      <w:pPr>
        <w:pStyle w:val="Hesber"/>
        <w:rPr>
          <w:rtl/>
        </w:rPr>
      </w:pPr>
      <w:r>
        <w:rPr>
          <w:rFonts w:hint="cs"/>
          <w:rtl/>
        </w:rPr>
        <w:t>לצורך אשרור האמנה בישראל, נערכה עב</w:t>
      </w:r>
      <w:r w:rsidR="007020FF">
        <w:rPr>
          <w:rFonts w:hint="cs"/>
          <w:rtl/>
        </w:rPr>
        <w:t xml:space="preserve">ודה מקצועית מקיפה למיפוי דרישות האמנה אל מול המצב הקיים בישראל. נמצא כי ישראל עומדת </w:t>
      </w:r>
      <w:r w:rsidR="00324663">
        <w:rPr>
          <w:rFonts w:hint="cs"/>
          <w:rtl/>
        </w:rPr>
        <w:t xml:space="preserve">ככלל </w:t>
      </w:r>
      <w:r w:rsidR="007020FF">
        <w:rPr>
          <w:rFonts w:hint="cs"/>
          <w:rtl/>
        </w:rPr>
        <w:t>בסטנדרטים שנקבעו באמנה בהתייחס להיבטים רבים, באמצעות כלים רגולטוריים קיימים. יחד עם זאת, נמצא כי קיימים פערים מסוימים, לעניין דרישות האמנה שלא קיימות סמכויות מתאימות להגבלה על עיסוק בכספית ביחס אליהן</w:t>
      </w:r>
      <w:r w:rsidR="00324663">
        <w:rPr>
          <w:rFonts w:hint="cs"/>
          <w:rtl/>
        </w:rPr>
        <w:t>.</w:t>
      </w:r>
      <w:r w:rsidR="007020FF">
        <w:rPr>
          <w:rFonts w:hint="cs"/>
          <w:rtl/>
        </w:rPr>
        <w:t xml:space="preserve"> מכאן הצורך בהתקנת תקנות המטילות מגבלות על עיסוק בכספית.</w:t>
      </w:r>
    </w:p>
    <w:p w14:paraId="549F41CD" w14:textId="77777777" w:rsidR="003E5F46" w:rsidRDefault="003E5F46" w:rsidP="0026254D">
      <w:pPr>
        <w:ind w:left="32"/>
        <w:rPr>
          <w:b/>
          <w:bCs/>
          <w:rtl/>
        </w:rPr>
      </w:pPr>
    </w:p>
    <w:p w14:paraId="7CAC48C9" w14:textId="77777777" w:rsidR="004A3EF5" w:rsidRPr="00324663" w:rsidRDefault="00953B12" w:rsidP="00324663">
      <w:pPr>
        <w:pStyle w:val="Hesber1st"/>
        <w:tabs>
          <w:tab w:val="clear" w:pos="680"/>
        </w:tabs>
        <w:rPr>
          <w:b/>
          <w:bCs/>
          <w:rtl/>
        </w:rPr>
      </w:pPr>
      <w:r>
        <w:rPr>
          <w:rFonts w:hint="cs"/>
          <w:b/>
          <w:bCs/>
          <w:rtl/>
        </w:rPr>
        <w:t>כספית</w:t>
      </w:r>
    </w:p>
    <w:p w14:paraId="787135C3" w14:textId="77777777" w:rsidR="004A3EF5" w:rsidRPr="0084721A" w:rsidRDefault="004A3EF5" w:rsidP="00324663">
      <w:pPr>
        <w:pStyle w:val="Hesber1st"/>
        <w:tabs>
          <w:tab w:val="clear" w:pos="680"/>
        </w:tabs>
        <w:rPr>
          <w:rtl/>
        </w:rPr>
      </w:pPr>
      <w:r w:rsidRPr="00324663">
        <w:rPr>
          <w:rtl/>
        </w:rPr>
        <w:t>כספית</w:t>
      </w:r>
      <w:r w:rsidRPr="0084721A">
        <w:rPr>
          <w:rtl/>
        </w:rPr>
        <w:t xml:space="preserve"> הי</w:t>
      </w:r>
      <w:r w:rsidRPr="0084721A">
        <w:rPr>
          <w:rFonts w:hint="cs"/>
          <w:rtl/>
        </w:rPr>
        <w:t>א</w:t>
      </w:r>
      <w:r w:rsidRPr="0084721A">
        <w:rPr>
          <w:rtl/>
        </w:rPr>
        <w:t xml:space="preserve"> מתכת כבדה</w:t>
      </w:r>
      <w:r w:rsidR="00324663">
        <w:rPr>
          <w:rFonts w:hint="cs"/>
          <w:rtl/>
        </w:rPr>
        <w:t xml:space="preserve"> ורעילה</w:t>
      </w:r>
      <w:r w:rsidRPr="0084721A">
        <w:rPr>
          <w:rFonts w:hint="cs"/>
          <w:rtl/>
        </w:rPr>
        <w:t xml:space="preserve">. סימנה הכימי הוא </w:t>
      </w:r>
      <w:r w:rsidRPr="0084721A">
        <w:t>Hg</w:t>
      </w:r>
      <w:r w:rsidRPr="0084721A">
        <w:rPr>
          <w:rFonts w:hint="cs"/>
          <w:rtl/>
        </w:rPr>
        <w:t xml:space="preserve"> ומספר ה-</w:t>
      </w:r>
      <w:r w:rsidRPr="0084721A">
        <w:rPr>
          <w:rFonts w:hint="cs"/>
        </w:rPr>
        <w:t>CA</w:t>
      </w:r>
      <w:r w:rsidRPr="0084721A">
        <w:t>S</w:t>
      </w:r>
      <w:r w:rsidRPr="0084721A">
        <w:rPr>
          <w:rFonts w:hint="cs"/>
          <w:rtl/>
        </w:rPr>
        <w:t xml:space="preserve"> שלה הוא </w:t>
      </w:r>
      <w:r w:rsidRPr="0084721A">
        <w:rPr>
          <w:rtl/>
        </w:rPr>
        <w:t>7439-97-6</w:t>
      </w:r>
      <w:r w:rsidRPr="0084721A">
        <w:rPr>
          <w:rFonts w:hint="cs"/>
          <w:rtl/>
        </w:rPr>
        <w:t>.</w:t>
      </w:r>
      <w:r w:rsidRPr="0084721A">
        <w:rPr>
          <w:rtl/>
        </w:rPr>
        <w:t xml:space="preserve"> </w:t>
      </w:r>
      <w:r w:rsidRPr="0084721A">
        <w:rPr>
          <w:rFonts w:hint="cs"/>
          <w:rtl/>
        </w:rPr>
        <w:t xml:space="preserve">הכספית </w:t>
      </w:r>
      <w:r w:rsidRPr="0084721A">
        <w:rPr>
          <w:rtl/>
        </w:rPr>
        <w:t xml:space="preserve">חסרת ריח </w:t>
      </w:r>
      <w:r w:rsidRPr="0084721A">
        <w:rPr>
          <w:rFonts w:hint="cs"/>
          <w:rtl/>
        </w:rPr>
        <w:t>ו</w:t>
      </w:r>
      <w:r w:rsidRPr="0084721A">
        <w:rPr>
          <w:rtl/>
        </w:rPr>
        <w:t>בטמפרטורת החדר</w:t>
      </w:r>
      <w:r w:rsidRPr="0084721A">
        <w:rPr>
          <w:rFonts w:hint="cs"/>
          <w:rtl/>
        </w:rPr>
        <w:t xml:space="preserve"> היא נמצאת </w:t>
      </w:r>
      <w:r w:rsidR="00324663">
        <w:rPr>
          <w:rFonts w:hint="cs"/>
          <w:rtl/>
        </w:rPr>
        <w:t>במצב צבירה נוזלי.</w:t>
      </w:r>
      <w:r w:rsidRPr="0084721A">
        <w:rPr>
          <w:rFonts w:hint="cs"/>
          <w:rtl/>
        </w:rPr>
        <w:t xml:space="preserve"> עם זאת, היא מתאדה בקלות </w:t>
      </w:r>
      <w:r w:rsidR="00324663">
        <w:rPr>
          <w:rFonts w:hint="cs"/>
          <w:rtl/>
        </w:rPr>
        <w:t>לאוויר</w:t>
      </w:r>
      <w:r w:rsidRPr="0084721A">
        <w:rPr>
          <w:rtl/>
        </w:rPr>
        <w:t xml:space="preserve">. </w:t>
      </w:r>
      <w:r w:rsidRPr="0084721A">
        <w:rPr>
          <w:rFonts w:hint="cs"/>
          <w:rtl/>
        </w:rPr>
        <w:t xml:space="preserve"> </w:t>
      </w:r>
      <w:r w:rsidRPr="0084721A">
        <w:rPr>
          <w:rtl/>
        </w:rPr>
        <w:t xml:space="preserve"> </w:t>
      </w:r>
    </w:p>
    <w:p w14:paraId="2A2865AA" w14:textId="77777777" w:rsidR="004A3EF5" w:rsidRDefault="004A3EF5" w:rsidP="00324663">
      <w:pPr>
        <w:pStyle w:val="Hesber"/>
        <w:rPr>
          <w:rtl/>
        </w:rPr>
      </w:pPr>
      <w:r w:rsidRPr="0084721A">
        <w:rPr>
          <w:rtl/>
        </w:rPr>
        <w:lastRenderedPageBreak/>
        <w:t xml:space="preserve">לכספית תכונות </w:t>
      </w:r>
      <w:r w:rsidRPr="0084721A">
        <w:rPr>
          <w:rFonts w:hint="cs"/>
          <w:rtl/>
        </w:rPr>
        <w:t xml:space="preserve">כימיות ופיסיקליות ייחודיות, בהן </w:t>
      </w:r>
      <w:r w:rsidRPr="0084721A">
        <w:rPr>
          <w:rtl/>
        </w:rPr>
        <w:t xml:space="preserve">מוליכות חשמלית טובה ויכולת </w:t>
      </w:r>
      <w:r w:rsidRPr="0084721A">
        <w:rPr>
          <w:rFonts w:hint="cs"/>
          <w:rtl/>
        </w:rPr>
        <w:t>ל</w:t>
      </w:r>
      <w:r w:rsidRPr="0084721A">
        <w:rPr>
          <w:rtl/>
        </w:rPr>
        <w:t>יצירת סגסוגות עם מתכות רבות</w:t>
      </w:r>
      <w:r w:rsidRPr="0084721A">
        <w:rPr>
          <w:rFonts w:hint="cs"/>
          <w:rtl/>
        </w:rPr>
        <w:t>, לרבות מתכות אצילות</w:t>
      </w:r>
      <w:r w:rsidRPr="0084721A">
        <w:rPr>
          <w:rtl/>
        </w:rPr>
        <w:t xml:space="preserve"> (זהב, אלומיניום וכסף). </w:t>
      </w:r>
      <w:r w:rsidRPr="0084721A">
        <w:rPr>
          <w:rFonts w:hint="cs"/>
          <w:rtl/>
        </w:rPr>
        <w:t>עקב תכונותיה הייחודיות, בעבר נעשה שימוש נרחב ב</w:t>
      </w:r>
      <w:r w:rsidRPr="0084721A">
        <w:rPr>
          <w:rtl/>
        </w:rPr>
        <w:t xml:space="preserve">כספית </w:t>
      </w:r>
      <w:r w:rsidRPr="0084721A">
        <w:rPr>
          <w:rFonts w:hint="cs"/>
          <w:rtl/>
        </w:rPr>
        <w:t>כרכיב במגוון מוצרים, כגון:</w:t>
      </w:r>
      <w:r w:rsidRPr="0084721A">
        <w:rPr>
          <w:rFonts w:hint="cs"/>
        </w:rPr>
        <w:t xml:space="preserve"> </w:t>
      </w:r>
      <w:r w:rsidRPr="0084721A">
        <w:rPr>
          <w:rFonts w:hint="cs"/>
          <w:rtl/>
        </w:rPr>
        <w:t xml:space="preserve">ציוד חשמלי ואלקטרוני, מתגים, ציוד מדידה ובקרה (מדי חום וטמפרטורה), </w:t>
      </w:r>
      <w:r w:rsidRPr="0084721A">
        <w:rPr>
          <w:rtl/>
        </w:rPr>
        <w:t xml:space="preserve">סוללות, </w:t>
      </w:r>
      <w:r w:rsidRPr="0084721A">
        <w:rPr>
          <w:rFonts w:hint="cs"/>
          <w:rtl/>
        </w:rPr>
        <w:t>סתימות לשיניים ו</w:t>
      </w:r>
      <w:r w:rsidRPr="0084721A">
        <w:rPr>
          <w:rtl/>
        </w:rPr>
        <w:t>כ</w:t>
      </w:r>
      <w:r w:rsidRPr="0084721A">
        <w:rPr>
          <w:rFonts w:hint="cs"/>
          <w:rtl/>
        </w:rPr>
        <w:t>זרז</w:t>
      </w:r>
      <w:r w:rsidRPr="0084721A">
        <w:rPr>
          <w:rtl/>
        </w:rPr>
        <w:t xml:space="preserve"> בתהליכים כימיים</w:t>
      </w:r>
      <w:r w:rsidRPr="0084721A">
        <w:rPr>
          <w:rFonts w:hint="cs"/>
          <w:rtl/>
        </w:rPr>
        <w:t>. עקב השימוש הנרחב בכספית</w:t>
      </w:r>
      <w:r w:rsidRPr="0084721A">
        <w:rPr>
          <w:rtl/>
        </w:rPr>
        <w:t xml:space="preserve"> </w:t>
      </w:r>
      <w:r w:rsidRPr="0084721A">
        <w:rPr>
          <w:rFonts w:hint="cs"/>
          <w:rtl/>
        </w:rPr>
        <w:t xml:space="preserve">במוצרים ובתעשייה </w:t>
      </w:r>
      <w:r w:rsidR="00324663">
        <w:rPr>
          <w:rFonts w:hint="cs"/>
          <w:rtl/>
        </w:rPr>
        <w:t>נגרמה חשיפה ישירה ועקיפה משמעותית לבני אדם ולסביבה לאורך השנים, ו</w:t>
      </w:r>
      <w:r w:rsidRPr="0084721A">
        <w:rPr>
          <w:rtl/>
        </w:rPr>
        <w:t xml:space="preserve">נפלטו </w:t>
      </w:r>
      <w:r w:rsidRPr="0084721A">
        <w:rPr>
          <w:rFonts w:hint="cs"/>
          <w:rtl/>
        </w:rPr>
        <w:t>ב</w:t>
      </w:r>
      <w:r w:rsidR="00324663">
        <w:rPr>
          <w:rFonts w:hint="cs"/>
          <w:rtl/>
        </w:rPr>
        <w:t>רחבי ה</w:t>
      </w:r>
      <w:r w:rsidRPr="0084721A">
        <w:rPr>
          <w:rFonts w:hint="cs"/>
          <w:rtl/>
        </w:rPr>
        <w:t xml:space="preserve">עולם </w:t>
      </w:r>
      <w:r w:rsidRPr="0084721A">
        <w:rPr>
          <w:rtl/>
        </w:rPr>
        <w:t>כמויות גדולות של כספית לאוויר, לים ולקרקע</w:t>
      </w:r>
      <w:r>
        <w:rPr>
          <w:rFonts w:hint="cs"/>
          <w:rtl/>
        </w:rPr>
        <w:t>.</w:t>
      </w:r>
    </w:p>
    <w:p w14:paraId="6AD0ECEB" w14:textId="77777777" w:rsidR="004A3EF5" w:rsidRPr="0084721A" w:rsidRDefault="004A3EF5" w:rsidP="00A372A6">
      <w:pPr>
        <w:pStyle w:val="Hesber"/>
        <w:rPr>
          <w:rtl/>
        </w:rPr>
      </w:pPr>
      <w:r w:rsidRPr="0084721A">
        <w:rPr>
          <w:rFonts w:hint="cs"/>
          <w:rtl/>
        </w:rPr>
        <w:t xml:space="preserve">כיום </w:t>
      </w:r>
      <w:r w:rsidRPr="0084721A">
        <w:rPr>
          <w:rtl/>
        </w:rPr>
        <w:t xml:space="preserve">המקורות התעשייתיים העיקריים </w:t>
      </w:r>
      <w:r w:rsidRPr="0084721A">
        <w:rPr>
          <w:rFonts w:hint="cs"/>
          <w:rtl/>
        </w:rPr>
        <w:t xml:space="preserve">בעולם </w:t>
      </w:r>
      <w:r w:rsidRPr="0084721A">
        <w:rPr>
          <w:rtl/>
        </w:rPr>
        <w:t xml:space="preserve">לפליטת כספית </w:t>
      </w:r>
      <w:r w:rsidR="00324663">
        <w:rPr>
          <w:rFonts w:hint="cs"/>
          <w:rtl/>
        </w:rPr>
        <w:t>לאוויר</w:t>
      </w:r>
      <w:r w:rsidRPr="0084721A">
        <w:rPr>
          <w:rFonts w:hint="cs"/>
          <w:rtl/>
        </w:rPr>
        <w:t xml:space="preserve"> הן</w:t>
      </w:r>
      <w:r w:rsidRPr="0084721A">
        <w:rPr>
          <w:rtl/>
        </w:rPr>
        <w:t xml:space="preserve"> </w:t>
      </w:r>
      <w:r w:rsidRPr="0084721A">
        <w:rPr>
          <w:rFonts w:hint="cs"/>
          <w:rtl/>
        </w:rPr>
        <w:t xml:space="preserve">כריית מתכות, </w:t>
      </w:r>
      <w:r w:rsidRPr="0084721A">
        <w:rPr>
          <w:rtl/>
        </w:rPr>
        <w:t>הפק</w:t>
      </w:r>
      <w:r w:rsidRPr="0084721A">
        <w:rPr>
          <w:rFonts w:hint="cs"/>
          <w:rtl/>
        </w:rPr>
        <w:t>ה ושריפה של</w:t>
      </w:r>
      <w:r w:rsidRPr="0084721A">
        <w:rPr>
          <w:rtl/>
        </w:rPr>
        <w:t xml:space="preserve"> דלקים, ה</w:t>
      </w:r>
      <w:r w:rsidRPr="0084721A">
        <w:rPr>
          <w:rFonts w:hint="cs"/>
          <w:rtl/>
        </w:rPr>
        <w:t>תכת</w:t>
      </w:r>
      <w:r w:rsidRPr="0084721A">
        <w:rPr>
          <w:rtl/>
        </w:rPr>
        <w:t xml:space="preserve"> מתכות וייצור מלט</w:t>
      </w:r>
      <w:r w:rsidR="00324663">
        <w:rPr>
          <w:rFonts w:hint="cs"/>
          <w:rtl/>
        </w:rPr>
        <w:t>.</w:t>
      </w:r>
      <w:r w:rsidRPr="0084721A">
        <w:rPr>
          <w:rFonts w:hint="cs"/>
          <w:rtl/>
        </w:rPr>
        <w:t xml:space="preserve"> </w:t>
      </w:r>
      <w:r w:rsidRPr="0084721A">
        <w:rPr>
          <w:rtl/>
        </w:rPr>
        <w:t>המקורות התעשייתיים העיקריים לפליטת</w:t>
      </w:r>
      <w:r w:rsidR="00324663">
        <w:rPr>
          <w:rFonts w:hint="cs"/>
          <w:rtl/>
        </w:rPr>
        <w:t xml:space="preserve"> כספית</w:t>
      </w:r>
      <w:r w:rsidRPr="0084721A">
        <w:rPr>
          <w:rtl/>
        </w:rPr>
        <w:t xml:space="preserve"> למים ולקרק</w:t>
      </w:r>
      <w:r w:rsidR="00324663">
        <w:rPr>
          <w:rFonts w:hint="cs"/>
          <w:rtl/>
        </w:rPr>
        <w:t>ע ה</w:t>
      </w:r>
      <w:r w:rsidRPr="0084721A">
        <w:rPr>
          <w:rFonts w:hint="cs"/>
          <w:rtl/>
        </w:rPr>
        <w:t xml:space="preserve">ם </w:t>
      </w:r>
      <w:r w:rsidRPr="0084721A">
        <w:rPr>
          <w:rtl/>
        </w:rPr>
        <w:t xml:space="preserve">כריית מתכות (כסף וזהב), הטמנת פסולת עירונית, </w:t>
      </w:r>
      <w:r w:rsidRPr="0084721A">
        <w:rPr>
          <w:rFonts w:hint="cs"/>
          <w:rtl/>
        </w:rPr>
        <w:t xml:space="preserve">הזרמת </w:t>
      </w:r>
      <w:r w:rsidRPr="0084721A">
        <w:rPr>
          <w:rtl/>
        </w:rPr>
        <w:t>ביוב, זיקוק מתכות וייצור כימיקלים</w:t>
      </w:r>
      <w:r w:rsidRPr="0084721A">
        <w:t>.</w:t>
      </w:r>
      <w:r w:rsidRPr="0084721A">
        <w:rPr>
          <w:rFonts w:hint="cs"/>
          <w:rtl/>
        </w:rPr>
        <w:t xml:space="preserve"> מקורות טבעיים לפליטת כספית ה</w:t>
      </w:r>
      <w:r w:rsidR="00324663">
        <w:rPr>
          <w:rFonts w:hint="cs"/>
          <w:rtl/>
        </w:rPr>
        <w:t>ם</w:t>
      </w:r>
      <w:r w:rsidRPr="0084721A">
        <w:rPr>
          <w:rFonts w:hint="cs"/>
          <w:rtl/>
        </w:rPr>
        <w:t xml:space="preserve"> בעיקר התפרצויות געשיות ופעילויות גיאותרמיות. ברמה העולמית, מוערך שפליטות טבעיות מהוות רק 10% מכלל פליטות הכספית לסביבה</w:t>
      </w:r>
      <w:r w:rsidR="00D2370B" w:rsidRPr="0084721A">
        <w:rPr>
          <w:rFonts w:hint="cs"/>
          <w:rtl/>
        </w:rPr>
        <w:t xml:space="preserve"> ו</w:t>
      </w:r>
      <w:r w:rsidR="00A372A6">
        <w:rPr>
          <w:rFonts w:hint="cs"/>
          <w:rtl/>
        </w:rPr>
        <w:t>- 90% מ</w:t>
      </w:r>
      <w:r w:rsidR="00D2370B" w:rsidRPr="0084721A">
        <w:rPr>
          <w:rFonts w:hint="cs"/>
          <w:rtl/>
        </w:rPr>
        <w:t xml:space="preserve">הפליטות הן </w:t>
      </w:r>
      <w:r w:rsidR="00324663">
        <w:rPr>
          <w:rFonts w:hint="cs"/>
          <w:rtl/>
        </w:rPr>
        <w:t>תוצר של פעילות אנושית</w:t>
      </w:r>
      <w:r w:rsidR="00D2370B" w:rsidRPr="0084721A">
        <w:rPr>
          <w:rFonts w:hint="cs"/>
          <w:rtl/>
        </w:rPr>
        <w:t>.</w:t>
      </w:r>
    </w:p>
    <w:p w14:paraId="6C1DDC1E" w14:textId="77777777" w:rsidR="004A3EF5" w:rsidRPr="0084721A" w:rsidRDefault="004A3EF5" w:rsidP="0084721A">
      <w:pPr>
        <w:pStyle w:val="Hesber"/>
      </w:pPr>
      <w:r w:rsidRPr="0084721A">
        <w:rPr>
          <w:rtl/>
        </w:rPr>
        <w:t xml:space="preserve">כאשר כספית </w:t>
      </w:r>
      <w:r w:rsidRPr="0084721A">
        <w:rPr>
          <w:rFonts w:hint="cs"/>
          <w:rtl/>
        </w:rPr>
        <w:t>נפלטת</w:t>
      </w:r>
      <w:r w:rsidRPr="0084721A">
        <w:rPr>
          <w:rtl/>
        </w:rPr>
        <w:t xml:space="preserve"> או מוזרמת לסביבה,</w:t>
      </w:r>
      <w:r w:rsidRPr="0084721A">
        <w:rPr>
          <w:rFonts w:hint="cs"/>
          <w:rtl/>
        </w:rPr>
        <w:t xml:space="preserve"> </w:t>
      </w:r>
      <w:r w:rsidR="00D2370B" w:rsidRPr="0084721A">
        <w:rPr>
          <w:rFonts w:hint="cs"/>
          <w:rtl/>
        </w:rPr>
        <w:t>היא</w:t>
      </w:r>
      <w:r w:rsidRPr="0084721A">
        <w:rPr>
          <w:rFonts w:hint="cs"/>
          <w:rtl/>
        </w:rPr>
        <w:t xml:space="preserve"> יכולה </w:t>
      </w:r>
      <w:r w:rsidRPr="0084721A">
        <w:rPr>
          <w:rtl/>
        </w:rPr>
        <w:t>ל</w:t>
      </w:r>
      <w:r w:rsidRPr="0084721A">
        <w:rPr>
          <w:rFonts w:hint="cs"/>
          <w:rtl/>
        </w:rPr>
        <w:t>נוע ל</w:t>
      </w:r>
      <w:r w:rsidRPr="0084721A">
        <w:rPr>
          <w:rtl/>
        </w:rPr>
        <w:t xml:space="preserve">מרחקים </w:t>
      </w:r>
      <w:r w:rsidR="00D2370B" w:rsidRPr="0084721A">
        <w:rPr>
          <w:rFonts w:hint="cs"/>
          <w:rtl/>
        </w:rPr>
        <w:t>גדולים</w:t>
      </w:r>
      <w:r w:rsidRPr="0084721A">
        <w:rPr>
          <w:rtl/>
        </w:rPr>
        <w:t xml:space="preserve"> ולהימצא באוויר, במים</w:t>
      </w:r>
      <w:r w:rsidRPr="0084721A">
        <w:rPr>
          <w:rFonts w:hint="cs"/>
          <w:rtl/>
        </w:rPr>
        <w:t xml:space="preserve">, </w:t>
      </w:r>
      <w:r w:rsidRPr="0084721A">
        <w:rPr>
          <w:rtl/>
        </w:rPr>
        <w:t>בקרקע</w:t>
      </w:r>
      <w:r w:rsidRPr="0084721A">
        <w:rPr>
          <w:rFonts w:hint="cs"/>
          <w:rtl/>
        </w:rPr>
        <w:t xml:space="preserve">, </w:t>
      </w:r>
      <w:r w:rsidRPr="0084721A">
        <w:rPr>
          <w:rtl/>
        </w:rPr>
        <w:t>באורגניזמים חיים</w:t>
      </w:r>
      <w:r w:rsidRPr="0084721A">
        <w:rPr>
          <w:rFonts w:hint="cs"/>
          <w:rtl/>
        </w:rPr>
        <w:t xml:space="preserve"> ויכולה</w:t>
      </w:r>
      <w:r w:rsidRPr="0084721A">
        <w:rPr>
          <w:rtl/>
        </w:rPr>
        <w:t xml:space="preserve"> להישאר </w:t>
      </w:r>
      <w:r w:rsidR="00D2370B" w:rsidRPr="0084721A">
        <w:rPr>
          <w:rFonts w:hint="cs"/>
          <w:rtl/>
        </w:rPr>
        <w:t>ניידת</w:t>
      </w:r>
      <w:r w:rsidRPr="0084721A">
        <w:rPr>
          <w:rtl/>
        </w:rPr>
        <w:t xml:space="preserve"> </w:t>
      </w:r>
      <w:r w:rsidR="00D2370B" w:rsidRPr="0084721A">
        <w:rPr>
          <w:rFonts w:hint="cs"/>
          <w:rtl/>
        </w:rPr>
        <w:t xml:space="preserve">בסביבה </w:t>
      </w:r>
      <w:r w:rsidRPr="0084721A">
        <w:rPr>
          <w:rtl/>
        </w:rPr>
        <w:t>במשך אלפי שנים. כספית המ</w:t>
      </w:r>
      <w:r w:rsidRPr="0084721A">
        <w:rPr>
          <w:rFonts w:hint="cs"/>
          <w:rtl/>
        </w:rPr>
        <w:t>גיעה</w:t>
      </w:r>
      <w:r w:rsidRPr="0084721A">
        <w:rPr>
          <w:rtl/>
        </w:rPr>
        <w:t xml:space="preserve"> לקרקע, </w:t>
      </w:r>
      <w:r w:rsidRPr="0084721A">
        <w:rPr>
          <w:rFonts w:hint="cs"/>
          <w:rtl/>
        </w:rPr>
        <w:t>עוברת לרוב תגובה כימית</w:t>
      </w:r>
      <w:r w:rsidRPr="0084721A">
        <w:rPr>
          <w:rtl/>
        </w:rPr>
        <w:t xml:space="preserve">, בעיקר באמצעות מטבוליזם ע"י חיידקים והופכת למתיל-כספית, </w:t>
      </w:r>
      <w:r w:rsidRPr="0084721A">
        <w:rPr>
          <w:rFonts w:hint="cs"/>
          <w:rtl/>
        </w:rPr>
        <w:t>תרכובת הכספית</w:t>
      </w:r>
      <w:r w:rsidRPr="0084721A">
        <w:rPr>
          <w:rtl/>
        </w:rPr>
        <w:t xml:space="preserve"> המסוכנת ביותר לבריאות האדם והסביבה.</w:t>
      </w:r>
    </w:p>
    <w:p w14:paraId="509268B4" w14:textId="77777777" w:rsidR="004A3EF5" w:rsidRPr="0084721A" w:rsidRDefault="00D2370B" w:rsidP="00365210">
      <w:pPr>
        <w:pStyle w:val="Hesber"/>
        <w:rPr>
          <w:rtl/>
        </w:rPr>
      </w:pPr>
      <w:r w:rsidRPr="0084721A">
        <w:rPr>
          <w:rFonts w:hint="cs"/>
          <w:rtl/>
        </w:rPr>
        <w:t>המתיל-</w:t>
      </w:r>
      <w:r w:rsidR="004A3EF5" w:rsidRPr="0084721A">
        <w:rPr>
          <w:rtl/>
        </w:rPr>
        <w:t xml:space="preserve">כספית </w:t>
      </w:r>
      <w:r w:rsidR="00FD79CF" w:rsidRPr="0084721A">
        <w:rPr>
          <w:rFonts w:hint="cs"/>
          <w:rtl/>
        </w:rPr>
        <w:t>ה</w:t>
      </w:r>
      <w:r w:rsidR="00365210">
        <w:rPr>
          <w:rFonts w:hint="cs"/>
          <w:rtl/>
        </w:rPr>
        <w:t>יא</w:t>
      </w:r>
      <w:r w:rsidR="00FD79CF" w:rsidRPr="0084721A">
        <w:rPr>
          <w:rFonts w:hint="cs"/>
          <w:rtl/>
        </w:rPr>
        <w:t xml:space="preserve"> תרכובת אורגנית הנקלטת</w:t>
      </w:r>
      <w:r w:rsidR="004A3EF5" w:rsidRPr="0084721A">
        <w:rPr>
          <w:rtl/>
        </w:rPr>
        <w:t xml:space="preserve"> </w:t>
      </w:r>
      <w:r w:rsidR="004A3EF5" w:rsidRPr="0084721A">
        <w:rPr>
          <w:rFonts w:hint="cs"/>
          <w:rtl/>
        </w:rPr>
        <w:t>ו</w:t>
      </w:r>
      <w:r w:rsidR="00FD79CF" w:rsidRPr="0084721A">
        <w:rPr>
          <w:rFonts w:hint="cs"/>
          <w:rtl/>
        </w:rPr>
        <w:t>מצ</w:t>
      </w:r>
      <w:r w:rsidR="004A3EF5" w:rsidRPr="0084721A">
        <w:rPr>
          <w:rFonts w:hint="cs"/>
          <w:rtl/>
        </w:rPr>
        <w:t>טבר</w:t>
      </w:r>
      <w:r w:rsidR="00FD79CF" w:rsidRPr="0084721A">
        <w:rPr>
          <w:rFonts w:hint="cs"/>
          <w:rtl/>
        </w:rPr>
        <w:t>ת</w:t>
      </w:r>
      <w:r w:rsidR="004A3EF5" w:rsidRPr="0084721A">
        <w:rPr>
          <w:rFonts w:hint="cs"/>
          <w:rtl/>
        </w:rPr>
        <w:t xml:space="preserve"> </w:t>
      </w:r>
      <w:r w:rsidR="00FD79CF" w:rsidRPr="0084721A">
        <w:rPr>
          <w:rFonts w:hint="cs"/>
          <w:rtl/>
        </w:rPr>
        <w:t>ברקמות בעלי חיים ו</w:t>
      </w:r>
      <w:r w:rsidR="004A3EF5" w:rsidRPr="0084721A">
        <w:rPr>
          <w:rFonts w:hint="cs"/>
          <w:rtl/>
        </w:rPr>
        <w:t>ב</w:t>
      </w:r>
      <w:r w:rsidR="004A3EF5" w:rsidRPr="0084721A">
        <w:rPr>
          <w:rtl/>
        </w:rPr>
        <w:t>שרשרת המזון</w:t>
      </w:r>
      <w:r w:rsidR="004A3EF5" w:rsidRPr="0084721A">
        <w:rPr>
          <w:rFonts w:hint="cs"/>
          <w:rtl/>
        </w:rPr>
        <w:t xml:space="preserve">. </w:t>
      </w:r>
      <w:r w:rsidR="00FD79CF" w:rsidRPr="0084721A">
        <w:rPr>
          <w:rFonts w:hint="cs"/>
          <w:rtl/>
        </w:rPr>
        <w:t xml:space="preserve">מאחר </w:t>
      </w:r>
      <w:r w:rsidR="00365210">
        <w:rPr>
          <w:rFonts w:hint="cs"/>
          <w:rtl/>
        </w:rPr>
        <w:t>ש</w:t>
      </w:r>
      <w:r w:rsidR="00FD79CF" w:rsidRPr="0084721A">
        <w:rPr>
          <w:rFonts w:hint="cs"/>
          <w:rtl/>
        </w:rPr>
        <w:t>תהליך יצירת ה</w:t>
      </w:r>
      <w:r w:rsidR="00FD79CF" w:rsidRPr="0084721A">
        <w:rPr>
          <w:rtl/>
        </w:rPr>
        <w:t>מתיל</w:t>
      </w:r>
      <w:r w:rsidR="00FD79CF" w:rsidRPr="0084721A">
        <w:rPr>
          <w:rFonts w:hint="cs"/>
          <w:rtl/>
        </w:rPr>
        <w:t xml:space="preserve">-כספית </w:t>
      </w:r>
      <w:r w:rsidR="00FD79CF" w:rsidRPr="0084721A">
        <w:rPr>
          <w:rtl/>
        </w:rPr>
        <w:t xml:space="preserve">על ידי מיקרואורגניזמים </w:t>
      </w:r>
      <w:r w:rsidR="00FD79CF" w:rsidRPr="0084721A">
        <w:rPr>
          <w:rFonts w:hint="cs"/>
          <w:rtl/>
        </w:rPr>
        <w:t>מתרחש בעיקר</w:t>
      </w:r>
      <w:r w:rsidR="00FD79CF" w:rsidRPr="0084721A">
        <w:rPr>
          <w:rtl/>
        </w:rPr>
        <w:t xml:space="preserve"> בגופי מים</w:t>
      </w:r>
      <w:r w:rsidR="00365210">
        <w:rPr>
          <w:rFonts w:hint="cs"/>
          <w:rtl/>
        </w:rPr>
        <w:t>,</w:t>
      </w:r>
      <w:r w:rsidR="00FD79CF" w:rsidRPr="0084721A">
        <w:rPr>
          <w:rtl/>
        </w:rPr>
        <w:t xml:space="preserve"> </w:t>
      </w:r>
      <w:r w:rsidR="00FD79CF" w:rsidRPr="0084721A">
        <w:rPr>
          <w:rFonts w:hint="cs"/>
          <w:rtl/>
        </w:rPr>
        <w:t>הרי ש</w:t>
      </w:r>
      <w:r w:rsidR="00FD79CF" w:rsidRPr="0084721A">
        <w:rPr>
          <w:rtl/>
        </w:rPr>
        <w:t xml:space="preserve">הסיכון הגדול ביותר לבני אדם </w:t>
      </w:r>
      <w:r w:rsidR="00FD79CF" w:rsidRPr="0084721A">
        <w:rPr>
          <w:rFonts w:hint="cs"/>
          <w:rtl/>
        </w:rPr>
        <w:t xml:space="preserve">הוא מצריכת </w:t>
      </w:r>
      <w:r w:rsidR="0084721A" w:rsidRPr="0084721A">
        <w:rPr>
          <w:rFonts w:hint="cs"/>
          <w:rtl/>
        </w:rPr>
        <w:t>מזון שמקורו ב</w:t>
      </w:r>
      <w:r w:rsidR="00FD79CF" w:rsidRPr="0084721A">
        <w:rPr>
          <w:rFonts w:hint="cs"/>
          <w:rtl/>
        </w:rPr>
        <w:t>בעלי חיים משרשרת המזון המימית</w:t>
      </w:r>
      <w:r w:rsidR="004A3EF5" w:rsidRPr="0084721A">
        <w:rPr>
          <w:rtl/>
        </w:rPr>
        <w:t>.</w:t>
      </w:r>
    </w:p>
    <w:p w14:paraId="1BC79A55" w14:textId="77777777" w:rsidR="00D2370B" w:rsidRPr="0084721A" w:rsidRDefault="00BC6D3A" w:rsidP="0084721A">
      <w:pPr>
        <w:pStyle w:val="Hesber"/>
        <w:rPr>
          <w:rtl/>
        </w:rPr>
      </w:pPr>
      <w:r w:rsidRPr="0084721A">
        <w:rPr>
          <w:rFonts w:hint="cs"/>
          <w:rtl/>
        </w:rPr>
        <w:t>המתיל-</w:t>
      </w:r>
      <w:r w:rsidR="00FD79CF" w:rsidRPr="0084721A">
        <w:rPr>
          <w:rFonts w:hint="cs"/>
          <w:rtl/>
        </w:rPr>
        <w:t>ה</w:t>
      </w:r>
      <w:r w:rsidR="004A3EF5" w:rsidRPr="0084721A">
        <w:rPr>
          <w:rFonts w:hint="cs"/>
          <w:rtl/>
        </w:rPr>
        <w:t>כספית</w:t>
      </w:r>
      <w:r w:rsidR="004A3EF5" w:rsidRPr="0084721A">
        <w:rPr>
          <w:rtl/>
        </w:rPr>
        <w:t xml:space="preserve"> מצטבר</w:t>
      </w:r>
      <w:r w:rsidRPr="0084721A">
        <w:rPr>
          <w:rFonts w:hint="cs"/>
          <w:rtl/>
        </w:rPr>
        <w:t>ת</w:t>
      </w:r>
      <w:r w:rsidR="004A3EF5" w:rsidRPr="0084721A">
        <w:rPr>
          <w:rtl/>
        </w:rPr>
        <w:t xml:space="preserve"> ברקמות</w:t>
      </w:r>
      <w:r w:rsidR="0084721A">
        <w:rPr>
          <w:rFonts w:hint="cs"/>
          <w:rtl/>
        </w:rPr>
        <w:t xml:space="preserve"> האדם</w:t>
      </w:r>
      <w:r w:rsidR="004A3EF5" w:rsidRPr="0084721A">
        <w:rPr>
          <w:rFonts w:hint="cs"/>
          <w:rtl/>
        </w:rPr>
        <w:t xml:space="preserve"> ועלול</w:t>
      </w:r>
      <w:r w:rsidRPr="0084721A">
        <w:rPr>
          <w:rFonts w:hint="cs"/>
          <w:rtl/>
        </w:rPr>
        <w:t>ה</w:t>
      </w:r>
      <w:r w:rsidR="004A3EF5" w:rsidRPr="0084721A">
        <w:rPr>
          <w:rFonts w:hint="cs"/>
          <w:rtl/>
        </w:rPr>
        <w:t xml:space="preserve"> לפגוע במערכת העצבים, בלוטת התריס, כליות, ריאות, מערכת החיסונית, עיניים, חניכיים ועור.</w:t>
      </w:r>
      <w:r w:rsidR="00D2370B" w:rsidRPr="0084721A">
        <w:rPr>
          <w:rFonts w:hint="cs"/>
          <w:rtl/>
        </w:rPr>
        <w:t xml:space="preserve"> </w:t>
      </w:r>
      <w:r w:rsidR="00D2370B" w:rsidRPr="0084721A">
        <w:rPr>
          <w:rtl/>
        </w:rPr>
        <w:t xml:space="preserve">החשיפה לכספית </w:t>
      </w:r>
      <w:r w:rsidR="00D2370B" w:rsidRPr="0084721A">
        <w:rPr>
          <w:rFonts w:hint="cs"/>
          <w:rtl/>
        </w:rPr>
        <w:t>משפיעה</w:t>
      </w:r>
      <w:r w:rsidR="00D2370B" w:rsidRPr="0084721A">
        <w:rPr>
          <w:rtl/>
        </w:rPr>
        <w:t xml:space="preserve"> על ההתפתחות הנוירולוגי</w:t>
      </w:r>
      <w:r w:rsidRPr="0084721A">
        <w:rPr>
          <w:rFonts w:hint="cs"/>
          <w:rtl/>
        </w:rPr>
        <w:t>ת</w:t>
      </w:r>
      <w:r w:rsidR="00D2370B" w:rsidRPr="0084721A">
        <w:rPr>
          <w:rtl/>
        </w:rPr>
        <w:t xml:space="preserve"> של עוברים</w:t>
      </w:r>
      <w:r w:rsidR="00D2370B" w:rsidRPr="0084721A">
        <w:rPr>
          <w:rFonts w:hint="cs"/>
          <w:rtl/>
        </w:rPr>
        <w:t xml:space="preserve">, וכן קיים </w:t>
      </w:r>
      <w:r w:rsidR="00D2370B" w:rsidRPr="0084721A">
        <w:rPr>
          <w:rtl/>
        </w:rPr>
        <w:t xml:space="preserve"> קשר בין </w:t>
      </w:r>
      <w:r w:rsidR="00D2370B" w:rsidRPr="0084721A">
        <w:rPr>
          <w:rFonts w:hint="cs"/>
          <w:rtl/>
        </w:rPr>
        <w:t>החשיפה ל</w:t>
      </w:r>
      <w:r w:rsidR="00D2370B" w:rsidRPr="0084721A">
        <w:rPr>
          <w:rtl/>
        </w:rPr>
        <w:t xml:space="preserve">כספית </w:t>
      </w:r>
      <w:r w:rsidR="00D2370B" w:rsidRPr="0084721A">
        <w:rPr>
          <w:rFonts w:hint="cs"/>
          <w:rtl/>
        </w:rPr>
        <w:t xml:space="preserve">לבין </w:t>
      </w:r>
      <w:r w:rsidR="00D2370B" w:rsidRPr="0084721A">
        <w:rPr>
          <w:rtl/>
        </w:rPr>
        <w:t>ירידה בפריון, נזק מוחי ועצבי</w:t>
      </w:r>
      <w:r w:rsidR="00D2370B" w:rsidRPr="0084721A">
        <w:rPr>
          <w:rFonts w:hint="cs"/>
          <w:rtl/>
        </w:rPr>
        <w:t xml:space="preserve">, נזק </w:t>
      </w:r>
      <w:r w:rsidRPr="0084721A">
        <w:rPr>
          <w:rFonts w:hint="cs"/>
          <w:rtl/>
        </w:rPr>
        <w:t>ל</w:t>
      </w:r>
      <w:r w:rsidR="00D2370B" w:rsidRPr="0084721A">
        <w:rPr>
          <w:rFonts w:hint="cs"/>
          <w:rtl/>
        </w:rPr>
        <w:t xml:space="preserve">מערכת העיכול, אובדן זיכרון, פגיעה ביכולת הדיבור </w:t>
      </w:r>
      <w:r w:rsidR="00D2370B" w:rsidRPr="0084721A">
        <w:rPr>
          <w:rtl/>
        </w:rPr>
        <w:t>ומחלת לב</w:t>
      </w:r>
      <w:r w:rsidR="00D2370B" w:rsidRPr="0084721A">
        <w:rPr>
          <w:rFonts w:hint="cs"/>
          <w:rtl/>
        </w:rPr>
        <w:t>.</w:t>
      </w:r>
    </w:p>
    <w:p w14:paraId="537879A8" w14:textId="77777777" w:rsidR="00BC6D3A" w:rsidRPr="0084721A" w:rsidRDefault="00BC6D3A" w:rsidP="00953B12">
      <w:pPr>
        <w:pStyle w:val="Hesber"/>
      </w:pPr>
      <w:r w:rsidRPr="0084721A">
        <w:rPr>
          <w:rtl/>
        </w:rPr>
        <w:t>הוועדה הבין משרדית לחומרים מסרטנים מוטגנים וטרטוגנים</w:t>
      </w:r>
      <w:r w:rsidRPr="0084721A">
        <w:rPr>
          <w:rFonts w:hint="cs"/>
          <w:rtl/>
        </w:rPr>
        <w:t xml:space="preserve"> </w:t>
      </w:r>
      <w:r w:rsidR="00365210">
        <w:rPr>
          <w:rFonts w:hint="cs"/>
          <w:rtl/>
        </w:rPr>
        <w:t xml:space="preserve">קבעה, בהתאם לפרסומי הארגון הבינלאומי לחקר הסרטן </w:t>
      </w:r>
      <w:r w:rsidR="00953B12">
        <w:rPr>
          <w:rFonts w:hint="cs"/>
          <w:rtl/>
        </w:rPr>
        <w:t>(</w:t>
      </w:r>
      <w:r w:rsidR="00365210" w:rsidRPr="00375A30">
        <w:rPr>
          <w:sz w:val="24"/>
          <w:szCs w:val="24"/>
        </w:rPr>
        <w:t>IARC- International Agency for Research on Cancer</w:t>
      </w:r>
      <w:r w:rsidR="00953B12">
        <w:rPr>
          <w:rFonts w:hint="cs"/>
          <w:rtl/>
        </w:rPr>
        <w:t>)</w:t>
      </w:r>
      <w:r w:rsidRPr="0084721A">
        <w:rPr>
          <w:rFonts w:hint="cs"/>
          <w:rtl/>
        </w:rPr>
        <w:t>:</w:t>
      </w:r>
      <w:r w:rsidR="00953B12">
        <w:rPr>
          <w:rFonts w:hint="cs"/>
          <w:rtl/>
        </w:rPr>
        <w:t xml:space="preserve"> </w:t>
      </w:r>
      <w:r w:rsidRPr="0084721A">
        <w:rPr>
          <w:rFonts w:hint="cs"/>
          <w:rtl/>
        </w:rPr>
        <w:t>תרכובות</w:t>
      </w:r>
      <w:r w:rsidR="004A3EF5" w:rsidRPr="0084721A">
        <w:t xml:space="preserve"> </w:t>
      </w:r>
      <w:r w:rsidR="004A3EF5" w:rsidRPr="0084721A">
        <w:rPr>
          <w:rFonts w:hint="cs"/>
          <w:rtl/>
        </w:rPr>
        <w:t xml:space="preserve">מתיל </w:t>
      </w:r>
      <w:r w:rsidR="004A3EF5" w:rsidRPr="0084721A">
        <w:rPr>
          <w:rtl/>
        </w:rPr>
        <w:t xml:space="preserve">כספית </w:t>
      </w:r>
      <w:r w:rsidR="007A630F" w:rsidRPr="0084721A">
        <w:rPr>
          <w:rtl/>
        </w:rPr>
        <w:t>–</w:t>
      </w:r>
      <w:r w:rsidR="007A630F" w:rsidRPr="0084721A">
        <w:rPr>
          <w:rFonts w:hint="cs"/>
          <w:rtl/>
        </w:rPr>
        <w:t xml:space="preserve"> </w:t>
      </w:r>
      <w:r w:rsidRPr="0084721A">
        <w:rPr>
          <w:rFonts w:hint="cs"/>
          <w:rtl/>
        </w:rPr>
        <w:t>"</w:t>
      </w:r>
      <w:r w:rsidRPr="0084721A">
        <w:rPr>
          <w:rtl/>
        </w:rPr>
        <w:t>גורמים המוכרים כמסרטנים אפשריים בבני אדם</w:t>
      </w:r>
      <w:r w:rsidRPr="0084721A">
        <w:rPr>
          <w:rFonts w:hint="cs"/>
          <w:rtl/>
        </w:rPr>
        <w:t>",</w:t>
      </w:r>
      <w:r w:rsidRPr="0084721A">
        <w:rPr>
          <w:rtl/>
        </w:rPr>
        <w:t xml:space="preserve"> </w:t>
      </w:r>
      <w:r w:rsidRPr="0084721A">
        <w:rPr>
          <w:rFonts w:hint="cs"/>
          <w:rtl/>
        </w:rPr>
        <w:t>(</w:t>
      </w:r>
      <w:r w:rsidRPr="0084721A">
        <w:rPr>
          <w:rtl/>
        </w:rPr>
        <w:t>רשימה ג (</w:t>
      </w:r>
      <w:r w:rsidRPr="0084721A">
        <w:t>B2</w:t>
      </w:r>
      <w:r w:rsidRPr="0084721A">
        <w:rPr>
          <w:rtl/>
        </w:rPr>
        <w:t>)</w:t>
      </w:r>
      <w:r w:rsidRPr="0084721A">
        <w:rPr>
          <w:rFonts w:hint="cs"/>
          <w:rtl/>
        </w:rPr>
        <w:t>,</w:t>
      </w:r>
      <w:r w:rsidRPr="0084721A">
        <w:rPr>
          <w:rtl/>
        </w:rPr>
        <w:t xml:space="preserve"> עדכון ינואר 2018)</w:t>
      </w:r>
      <w:r w:rsidR="00953B12">
        <w:rPr>
          <w:rFonts w:hint="cs"/>
          <w:rtl/>
        </w:rPr>
        <w:t xml:space="preserve">; </w:t>
      </w:r>
      <w:r w:rsidRPr="0084721A">
        <w:rPr>
          <w:rFonts w:hint="cs"/>
          <w:rtl/>
        </w:rPr>
        <w:t xml:space="preserve">כספית </w:t>
      </w:r>
      <w:r w:rsidR="007A630F" w:rsidRPr="0084721A">
        <w:rPr>
          <w:rFonts w:hint="cs"/>
          <w:rtl/>
        </w:rPr>
        <w:t>-</w:t>
      </w:r>
      <w:r w:rsidRPr="0084721A">
        <w:rPr>
          <w:rFonts w:hint="cs"/>
          <w:rtl/>
        </w:rPr>
        <w:t xml:space="preserve"> גורם כימי סביבתי עם פוטנציאל טרטוגני</w:t>
      </w:r>
      <w:r w:rsidR="007A630F" w:rsidRPr="0084721A">
        <w:rPr>
          <w:rFonts w:hint="cs"/>
          <w:rtl/>
        </w:rPr>
        <w:t xml:space="preserve"> - גרימת מומים מולדים,</w:t>
      </w:r>
      <w:r w:rsidRPr="0084721A">
        <w:rPr>
          <w:rFonts w:hint="cs"/>
          <w:rtl/>
        </w:rPr>
        <w:t xml:space="preserve"> (</w:t>
      </w:r>
      <w:r w:rsidRPr="0084721A">
        <w:rPr>
          <w:rtl/>
        </w:rPr>
        <w:t>רשימת גורמים הידועים או חשודים כטרטוגנים בבני אדם</w:t>
      </w:r>
      <w:r w:rsidRPr="0084721A">
        <w:rPr>
          <w:rFonts w:hint="cs"/>
          <w:rtl/>
        </w:rPr>
        <w:t>, נובמבר 2017)</w:t>
      </w:r>
      <w:r w:rsidR="007A630F" w:rsidRPr="0084721A">
        <w:rPr>
          <w:rFonts w:hint="cs"/>
          <w:rtl/>
        </w:rPr>
        <w:t>.</w:t>
      </w:r>
    </w:p>
    <w:p w14:paraId="4FE00682" w14:textId="77777777" w:rsidR="004A3EF5" w:rsidRPr="00D2370B" w:rsidRDefault="004A3EF5" w:rsidP="00D2370B">
      <w:pPr>
        <w:ind w:left="32"/>
        <w:rPr>
          <w:rtl/>
        </w:rPr>
      </w:pPr>
    </w:p>
    <w:p w14:paraId="60669951" w14:textId="77777777" w:rsidR="004A6ABE" w:rsidRPr="00003C3D" w:rsidRDefault="004A6ABE" w:rsidP="004A6ABE">
      <w:pPr>
        <w:ind w:left="32"/>
        <w:rPr>
          <w:rFonts w:ascii="Tahoma" w:hAnsi="Tahoma"/>
          <w:rtl/>
        </w:rPr>
      </w:pPr>
      <w:r w:rsidRPr="00003C3D">
        <w:rPr>
          <w:rFonts w:ascii="Tahoma" w:hAnsi="Tahoma"/>
          <w:rtl/>
        </w:rPr>
        <w:t xml:space="preserve"> </w:t>
      </w:r>
    </w:p>
    <w:p w14:paraId="5B14AE70" w14:textId="77777777" w:rsidR="004A6ABE" w:rsidRPr="00953B12" w:rsidRDefault="004A6ABE" w:rsidP="00953B12">
      <w:pPr>
        <w:pStyle w:val="Hesber1st"/>
        <w:tabs>
          <w:tab w:val="clear" w:pos="680"/>
        </w:tabs>
        <w:rPr>
          <w:b/>
          <w:bCs/>
          <w:rtl/>
        </w:rPr>
      </w:pPr>
      <w:r w:rsidRPr="00953B12">
        <w:rPr>
          <w:rFonts w:hint="cs"/>
          <w:b/>
          <w:bCs/>
          <w:rtl/>
        </w:rPr>
        <w:t xml:space="preserve">הליך </w:t>
      </w:r>
      <w:r w:rsidRPr="00953B12">
        <w:rPr>
          <w:b/>
          <w:bCs/>
        </w:rPr>
        <w:t>RIA</w:t>
      </w:r>
    </w:p>
    <w:p w14:paraId="5B091AB1" w14:textId="4988AE4F" w:rsidR="00F03C85" w:rsidRDefault="004A6ABE" w:rsidP="00320681">
      <w:pPr>
        <w:pStyle w:val="Hesber1st"/>
        <w:tabs>
          <w:tab w:val="clear" w:pos="680"/>
        </w:tabs>
      </w:pPr>
      <w:r w:rsidRPr="00837A60">
        <w:rPr>
          <w:rFonts w:hint="cs"/>
          <w:rtl/>
        </w:rPr>
        <w:t>טיוטת</w:t>
      </w:r>
      <w:r w:rsidRPr="0027089D">
        <w:rPr>
          <w:rFonts w:hint="cs"/>
          <w:rtl/>
        </w:rPr>
        <w:t xml:space="preserve"> </w:t>
      </w:r>
      <w:r w:rsidR="00953B12">
        <w:rPr>
          <w:rFonts w:hint="cs"/>
          <w:rtl/>
        </w:rPr>
        <w:t>ה</w:t>
      </w:r>
      <w:r w:rsidRPr="0027089D">
        <w:rPr>
          <w:rFonts w:hint="cs"/>
          <w:rtl/>
        </w:rPr>
        <w:t xml:space="preserve">תקנות </w:t>
      </w:r>
      <w:r w:rsidR="00953B12">
        <w:rPr>
          <w:rFonts w:hint="cs"/>
          <w:rtl/>
        </w:rPr>
        <w:t>המוצעת</w:t>
      </w:r>
      <w:r w:rsidRPr="0027089D">
        <w:rPr>
          <w:rtl/>
        </w:rPr>
        <w:t xml:space="preserve"> </w:t>
      </w:r>
      <w:r w:rsidRPr="0027089D">
        <w:rPr>
          <w:rFonts w:hint="cs"/>
          <w:rtl/>
        </w:rPr>
        <w:t>אינה</w:t>
      </w:r>
      <w:r w:rsidRPr="0027089D">
        <w:rPr>
          <w:rtl/>
        </w:rPr>
        <w:t xml:space="preserve"> </w:t>
      </w:r>
      <w:r w:rsidRPr="0027089D">
        <w:rPr>
          <w:rFonts w:hint="cs"/>
          <w:rtl/>
        </w:rPr>
        <w:t>מצריכה הליך</w:t>
      </w:r>
      <w:r w:rsidRPr="0027089D">
        <w:rPr>
          <w:rtl/>
        </w:rPr>
        <w:t xml:space="preserve"> </w:t>
      </w:r>
      <w:r w:rsidRPr="0027089D">
        <w:t>RIA</w:t>
      </w:r>
      <w:r w:rsidRPr="0027089D">
        <w:rPr>
          <w:rtl/>
        </w:rPr>
        <w:t xml:space="preserve">, </w:t>
      </w:r>
      <w:r w:rsidRPr="0027089D">
        <w:rPr>
          <w:rFonts w:hint="cs"/>
          <w:rtl/>
        </w:rPr>
        <w:t>שכן</w:t>
      </w:r>
      <w:r w:rsidRPr="0027089D">
        <w:rPr>
          <w:rtl/>
        </w:rPr>
        <w:t xml:space="preserve"> </w:t>
      </w:r>
      <w:r w:rsidR="001A4620">
        <w:rPr>
          <w:rFonts w:hint="cs"/>
          <w:rtl/>
        </w:rPr>
        <w:t xml:space="preserve">ההסדרים המוצעים </w:t>
      </w:r>
      <w:r w:rsidR="00953B12">
        <w:rPr>
          <w:rFonts w:hint="cs"/>
          <w:rtl/>
        </w:rPr>
        <w:t>מאמצים</w:t>
      </w:r>
      <w:r w:rsidR="001A4620">
        <w:rPr>
          <w:rFonts w:hint="cs"/>
          <w:rtl/>
        </w:rPr>
        <w:t xml:space="preserve"> את הוראות האמנה </w:t>
      </w:r>
      <w:r w:rsidR="00953B12">
        <w:rPr>
          <w:rFonts w:hint="cs"/>
          <w:rtl/>
        </w:rPr>
        <w:t>אשר ישראל חברה בה,</w:t>
      </w:r>
      <w:r w:rsidR="00046C51">
        <w:rPr>
          <w:rFonts w:hint="cs"/>
          <w:rtl/>
        </w:rPr>
        <w:t xml:space="preserve"> </w:t>
      </w:r>
      <w:r w:rsidR="00837A60">
        <w:rPr>
          <w:rFonts w:hint="cs"/>
          <w:rtl/>
        </w:rPr>
        <w:t xml:space="preserve">וככלל </w:t>
      </w:r>
      <w:r w:rsidR="00046C51">
        <w:rPr>
          <w:rFonts w:hint="cs"/>
          <w:rtl/>
        </w:rPr>
        <w:t xml:space="preserve">אין שיקול דעת </w:t>
      </w:r>
      <w:r w:rsidR="00837A60">
        <w:rPr>
          <w:rFonts w:hint="cs"/>
          <w:rtl/>
        </w:rPr>
        <w:t xml:space="preserve">שמאפשר סטייה מהוראות האמנה. התקנות המוצעות אינן מחמירות על האמנה </w:t>
      </w:r>
      <w:r w:rsidR="00B575AF">
        <w:rPr>
          <w:rFonts w:hint="cs"/>
          <w:rtl/>
        </w:rPr>
        <w:t xml:space="preserve">ועל כן </w:t>
      </w:r>
      <w:r w:rsidR="00320681" w:rsidRPr="00320681">
        <w:rPr>
          <w:rtl/>
        </w:rPr>
        <w:t xml:space="preserve">בדיקת חלופות במסגרת </w:t>
      </w:r>
      <w:r w:rsidR="00B575AF">
        <w:rPr>
          <w:rFonts w:hint="cs"/>
          <w:rtl/>
        </w:rPr>
        <w:t xml:space="preserve">הליך </w:t>
      </w:r>
      <w:r w:rsidR="00B575AF">
        <w:rPr>
          <w:rFonts w:hint="cs"/>
        </w:rPr>
        <w:t>RIA</w:t>
      </w:r>
      <w:r w:rsidR="00B575AF">
        <w:rPr>
          <w:rFonts w:hint="cs"/>
          <w:rtl/>
        </w:rPr>
        <w:t xml:space="preserve"> אינו נדרש.</w:t>
      </w:r>
    </w:p>
    <w:p w14:paraId="4374DBC0" w14:textId="41344908" w:rsidR="001A4620" w:rsidRDefault="001A4620" w:rsidP="00046C51">
      <w:pPr>
        <w:pStyle w:val="Hesber"/>
        <w:rPr>
          <w:rtl/>
        </w:rPr>
      </w:pPr>
    </w:p>
    <w:p w14:paraId="751F1F27" w14:textId="77777777" w:rsidR="004A6ABE" w:rsidRPr="0027089D" w:rsidRDefault="004A6ABE" w:rsidP="004A6ABE">
      <w:pPr>
        <w:ind w:left="32"/>
        <w:rPr>
          <w:rFonts w:ascii="Tahoma" w:hAnsi="Tahoma"/>
          <w:rtl/>
        </w:rPr>
      </w:pPr>
    </w:p>
    <w:p w14:paraId="45FB032B" w14:textId="77777777" w:rsidR="004A6ABE" w:rsidRPr="00DB7B56" w:rsidRDefault="004A6ABE" w:rsidP="003E078D">
      <w:pPr>
        <w:pStyle w:val="Hesber1st"/>
        <w:tabs>
          <w:tab w:val="clear" w:pos="680"/>
        </w:tabs>
        <w:rPr>
          <w:rtl/>
        </w:rPr>
      </w:pPr>
      <w:r w:rsidRPr="00DB7B56">
        <w:rPr>
          <w:rFonts w:hint="cs"/>
          <w:b/>
          <w:bCs/>
          <w:rtl/>
        </w:rPr>
        <w:t>תקנה 1</w:t>
      </w:r>
      <w:r w:rsidRPr="00DB7B56">
        <w:rPr>
          <w:rFonts w:hint="cs"/>
          <w:rtl/>
        </w:rPr>
        <w:tab/>
        <w:t>מוצע</w:t>
      </w:r>
      <w:r w:rsidR="00101839" w:rsidRPr="00DB7B56">
        <w:rPr>
          <w:rFonts w:hint="cs"/>
          <w:rtl/>
        </w:rPr>
        <w:t xml:space="preserve"> </w:t>
      </w:r>
      <w:r w:rsidRPr="00DB7B56">
        <w:rPr>
          <w:rFonts w:hint="cs"/>
          <w:rtl/>
        </w:rPr>
        <w:t>לקבוע כי מטרת התקנות</w:t>
      </w:r>
      <w:r w:rsidR="003E078D">
        <w:rPr>
          <w:rFonts w:hint="cs"/>
          <w:rtl/>
        </w:rPr>
        <w:t xml:space="preserve"> היא </w:t>
      </w:r>
      <w:r w:rsidR="00101839" w:rsidRPr="00DB7B56">
        <w:rPr>
          <w:rFonts w:hint="cs"/>
          <w:rtl/>
        </w:rPr>
        <w:t xml:space="preserve">ליישם </w:t>
      </w:r>
      <w:r w:rsidR="003E078D">
        <w:rPr>
          <w:rFonts w:hint="cs"/>
          <w:rtl/>
        </w:rPr>
        <w:t xml:space="preserve">בחקיקה הישראלית </w:t>
      </w:r>
      <w:r w:rsidR="00101839" w:rsidRPr="00DB7B56">
        <w:rPr>
          <w:rFonts w:hint="cs"/>
          <w:rtl/>
        </w:rPr>
        <w:t>את הוראות</w:t>
      </w:r>
      <w:r w:rsidR="003E078D">
        <w:rPr>
          <w:rFonts w:hint="cs"/>
          <w:rtl/>
        </w:rPr>
        <w:t xml:space="preserve"> אמנת מינמטה</w:t>
      </w:r>
      <w:r w:rsidR="00101839" w:rsidRPr="00DB7B56">
        <w:rPr>
          <w:rFonts w:hint="cs"/>
          <w:rtl/>
        </w:rPr>
        <w:t xml:space="preserve">, </w:t>
      </w:r>
      <w:r w:rsidR="003E078D">
        <w:rPr>
          <w:rFonts w:hint="cs"/>
          <w:rtl/>
        </w:rPr>
        <w:t>שישראל היא צד לה, ו</w:t>
      </w:r>
      <w:r w:rsidR="00101839" w:rsidRPr="00DB7B56">
        <w:rPr>
          <w:rFonts w:hint="cs"/>
          <w:rtl/>
        </w:rPr>
        <w:t>להגביל</w:t>
      </w:r>
      <w:r w:rsidR="00101839" w:rsidRPr="00DB7B56">
        <w:rPr>
          <w:rtl/>
        </w:rPr>
        <w:t xml:space="preserve"> </w:t>
      </w:r>
      <w:r w:rsidR="003E078D">
        <w:rPr>
          <w:rFonts w:hint="cs"/>
          <w:rtl/>
        </w:rPr>
        <w:t>ה</w:t>
      </w:r>
      <w:r w:rsidR="00101839" w:rsidRPr="00DB7B56">
        <w:rPr>
          <w:rtl/>
        </w:rPr>
        <w:t xml:space="preserve">ייצור, </w:t>
      </w:r>
      <w:r w:rsidR="003E078D">
        <w:rPr>
          <w:rFonts w:hint="cs"/>
          <w:rtl/>
        </w:rPr>
        <w:t>הסחר והשימוש בכספית</w:t>
      </w:r>
      <w:r w:rsidR="00101839" w:rsidRPr="00DB7B56">
        <w:rPr>
          <w:rtl/>
        </w:rPr>
        <w:t xml:space="preserve">, </w:t>
      </w:r>
      <w:r w:rsidR="003E078D">
        <w:rPr>
          <w:rFonts w:hint="cs"/>
          <w:rtl/>
        </w:rPr>
        <w:t>ב</w:t>
      </w:r>
      <w:r w:rsidR="00101839" w:rsidRPr="00DB7B56">
        <w:rPr>
          <w:rtl/>
        </w:rPr>
        <w:t>תרכובות כספית ו</w:t>
      </w:r>
      <w:r w:rsidR="003E078D">
        <w:rPr>
          <w:rFonts w:hint="cs"/>
          <w:rtl/>
        </w:rPr>
        <w:t>ב</w:t>
      </w:r>
      <w:r w:rsidR="00101839" w:rsidRPr="00DB7B56">
        <w:rPr>
          <w:rtl/>
        </w:rPr>
        <w:t>מוצרים המכילים כספית, על מנת להגן על בריאות הציבור והסביבה מפני נזקי החשיפה לכספית ומוצרים כאמור.</w:t>
      </w:r>
    </w:p>
    <w:p w14:paraId="49B566F5" w14:textId="77777777" w:rsidR="004A6ABE" w:rsidRPr="00DB7B56" w:rsidRDefault="004A6ABE" w:rsidP="00722C14">
      <w:pPr>
        <w:pStyle w:val="Hesber1st"/>
        <w:tabs>
          <w:tab w:val="clear" w:pos="680"/>
        </w:tabs>
        <w:rPr>
          <w:sz w:val="24"/>
          <w:szCs w:val="24"/>
          <w:rtl/>
        </w:rPr>
      </w:pPr>
    </w:p>
    <w:p w14:paraId="4F3B92C7" w14:textId="77777777" w:rsidR="00101839" w:rsidRPr="00DB7B56" w:rsidRDefault="00101839" w:rsidP="00AD7D1C">
      <w:pPr>
        <w:pStyle w:val="Hesber1st"/>
        <w:tabs>
          <w:tab w:val="clear" w:pos="680"/>
        </w:tabs>
        <w:rPr>
          <w:rtl/>
        </w:rPr>
      </w:pPr>
      <w:r w:rsidRPr="00DB7B56">
        <w:rPr>
          <w:rFonts w:hint="cs"/>
          <w:b/>
          <w:bCs/>
          <w:rtl/>
        </w:rPr>
        <w:t>תקנה 2</w:t>
      </w:r>
      <w:r w:rsidRPr="00DB7B56">
        <w:rPr>
          <w:rFonts w:hint="cs"/>
          <w:b/>
          <w:bCs/>
          <w:rtl/>
        </w:rPr>
        <w:tab/>
      </w:r>
      <w:r w:rsidRPr="00DB7B56">
        <w:rPr>
          <w:rFonts w:hint="cs"/>
          <w:rtl/>
        </w:rPr>
        <w:t>מוצעות הגדרות בתקנה 2,</w:t>
      </w:r>
      <w:r w:rsidR="0038444D" w:rsidRPr="00DB7B56">
        <w:rPr>
          <w:rFonts w:hint="cs"/>
          <w:rtl/>
        </w:rPr>
        <w:t xml:space="preserve"> </w:t>
      </w:r>
      <w:r w:rsidR="00AD7D1C">
        <w:rPr>
          <w:rFonts w:hint="cs"/>
          <w:rtl/>
        </w:rPr>
        <w:t>בהתאם להוראות</w:t>
      </w:r>
      <w:r w:rsidR="0038444D" w:rsidRPr="00DB7B56">
        <w:rPr>
          <w:rFonts w:hint="cs"/>
          <w:rtl/>
        </w:rPr>
        <w:t xml:space="preserve"> </w:t>
      </w:r>
      <w:r w:rsidR="00AD7D1C">
        <w:rPr>
          <w:rFonts w:hint="cs"/>
          <w:rtl/>
        </w:rPr>
        <w:t>ה</w:t>
      </w:r>
      <w:r w:rsidR="0038444D" w:rsidRPr="00DB7B56">
        <w:rPr>
          <w:rFonts w:hint="cs"/>
          <w:rtl/>
        </w:rPr>
        <w:t>אמנה,</w:t>
      </w:r>
      <w:r w:rsidRPr="00DB7B56">
        <w:rPr>
          <w:rFonts w:hint="cs"/>
          <w:rtl/>
        </w:rPr>
        <w:t xml:space="preserve"> כמפורט להלן </w:t>
      </w:r>
      <w:r w:rsidRPr="00DB7B56">
        <w:rPr>
          <w:rtl/>
        </w:rPr>
        <w:t>–</w:t>
      </w:r>
      <w:r w:rsidRPr="00DB7B56">
        <w:rPr>
          <w:rFonts w:hint="cs"/>
          <w:rtl/>
        </w:rPr>
        <w:t xml:space="preserve"> </w:t>
      </w:r>
    </w:p>
    <w:p w14:paraId="3B7ACAF6" w14:textId="3F998056" w:rsidR="00101839" w:rsidRDefault="00101839" w:rsidP="00193D2E">
      <w:pPr>
        <w:pStyle w:val="Hesber1st"/>
        <w:rPr>
          <w:rtl/>
        </w:rPr>
      </w:pPr>
      <w:r w:rsidRPr="00DB7B56">
        <w:rPr>
          <w:rFonts w:hint="cs"/>
          <w:rtl/>
        </w:rPr>
        <w:t xml:space="preserve">הגדרת </w:t>
      </w:r>
      <w:r w:rsidRPr="00AD7D1C">
        <w:rPr>
          <w:b/>
          <w:bCs/>
          <w:rtl/>
        </w:rPr>
        <w:t>"אחסון ביניים נאות"</w:t>
      </w:r>
      <w:r w:rsidR="00AD7D1C">
        <w:rPr>
          <w:rtl/>
        </w:rPr>
        <w:tab/>
      </w:r>
      <w:r w:rsidR="00AD7D1C">
        <w:rPr>
          <w:rFonts w:hint="cs"/>
          <w:rtl/>
        </w:rPr>
        <w:t xml:space="preserve">מונח זה </w:t>
      </w:r>
      <w:r w:rsidR="005A5E1B">
        <w:rPr>
          <w:rFonts w:hint="cs"/>
          <w:rtl/>
        </w:rPr>
        <w:t xml:space="preserve">משמש באמנה ובתקנות המוצעות </w:t>
      </w:r>
      <w:r w:rsidR="0038444D" w:rsidRPr="00DB7B56">
        <w:rPr>
          <w:rFonts w:hint="cs"/>
          <w:rtl/>
        </w:rPr>
        <w:t xml:space="preserve">כדי </w:t>
      </w:r>
      <w:r w:rsidR="00C13D17">
        <w:rPr>
          <w:rFonts w:hint="cs"/>
          <w:rtl/>
        </w:rPr>
        <w:t>לקבוע את הסטנדרט הנדרש לאחסון של כספית, ולגביו נדרשת בדיקה בין היתר במסגרת הליכי אישור לי</w:t>
      </w:r>
      <w:r w:rsidR="0038444D" w:rsidRPr="00DB7B56">
        <w:rPr>
          <w:rFonts w:hint="cs"/>
          <w:rtl/>
        </w:rPr>
        <w:t xml:space="preserve">יבוא </w:t>
      </w:r>
      <w:r w:rsidR="00C13D17">
        <w:rPr>
          <w:rFonts w:hint="cs"/>
          <w:rtl/>
        </w:rPr>
        <w:t>א</w:t>
      </w:r>
      <w:r w:rsidR="0038444D" w:rsidRPr="00DB7B56">
        <w:rPr>
          <w:rFonts w:hint="cs"/>
          <w:rtl/>
        </w:rPr>
        <w:t>ו</w:t>
      </w:r>
      <w:r w:rsidR="00C13D17">
        <w:rPr>
          <w:rFonts w:hint="cs"/>
          <w:rtl/>
        </w:rPr>
        <w:t xml:space="preserve"> לי</w:t>
      </w:r>
      <w:r w:rsidR="0038444D" w:rsidRPr="00DB7B56">
        <w:rPr>
          <w:rFonts w:hint="cs"/>
          <w:rtl/>
        </w:rPr>
        <w:t xml:space="preserve">יצוא של כספית. </w:t>
      </w:r>
      <w:r w:rsidR="0038444D" w:rsidRPr="00DB7B56">
        <w:rPr>
          <w:rtl/>
        </w:rPr>
        <w:t>פרק</w:t>
      </w:r>
      <w:r w:rsidRPr="00DB7B56">
        <w:rPr>
          <w:rtl/>
        </w:rPr>
        <w:t xml:space="preserve"> 10 לאמנה</w:t>
      </w:r>
      <w:r w:rsidRPr="00DB7B56">
        <w:rPr>
          <w:rFonts w:hint="cs"/>
          <w:rtl/>
        </w:rPr>
        <w:t xml:space="preserve"> מתייחס לחובת העמידה</w:t>
      </w:r>
      <w:r w:rsidRPr="00DB7B56">
        <w:rPr>
          <w:rtl/>
        </w:rPr>
        <w:t xml:space="preserve"> בסטנדרטים סביבתיים</w:t>
      </w:r>
      <w:r w:rsidR="0038444D" w:rsidRPr="00DB7B56">
        <w:rPr>
          <w:rFonts w:hint="cs"/>
          <w:rtl/>
        </w:rPr>
        <w:t xml:space="preserve"> לעניין אחסון ביניים נאות</w:t>
      </w:r>
      <w:r w:rsidRPr="00DB7B56">
        <w:rPr>
          <w:rFonts w:hint="cs"/>
          <w:rtl/>
        </w:rPr>
        <w:t xml:space="preserve">, לפי </w:t>
      </w:r>
      <w:r w:rsidRPr="00DB7B56">
        <w:rPr>
          <w:rtl/>
        </w:rPr>
        <w:t xml:space="preserve">קווים מנחים </w:t>
      </w:r>
      <w:r w:rsidRPr="00DB7B56">
        <w:rPr>
          <w:rFonts w:hint="cs"/>
          <w:rtl/>
        </w:rPr>
        <w:t>שיאומצו</w:t>
      </w:r>
      <w:r w:rsidRPr="00DB7B56">
        <w:rPr>
          <w:rtl/>
        </w:rPr>
        <w:t xml:space="preserve"> ע"י ועיד</w:t>
      </w:r>
      <w:r w:rsidRPr="00DB7B56">
        <w:rPr>
          <w:rFonts w:hint="cs"/>
          <w:rtl/>
        </w:rPr>
        <w:t>ת הצדדים</w:t>
      </w:r>
      <w:r w:rsidRPr="00DB7B56">
        <w:rPr>
          <w:rtl/>
        </w:rPr>
        <w:t xml:space="preserve">. </w:t>
      </w:r>
      <w:r w:rsidRPr="00DB7B56">
        <w:rPr>
          <w:rFonts w:hint="cs"/>
          <w:rtl/>
        </w:rPr>
        <w:t>ביום</w:t>
      </w:r>
      <w:r w:rsidR="00974F6F">
        <w:rPr>
          <w:rFonts w:hint="cs"/>
          <w:rtl/>
        </w:rPr>
        <w:t xml:space="preserve"> </w:t>
      </w:r>
      <w:r w:rsidR="00193D2E">
        <w:rPr>
          <w:rFonts w:hint="cs"/>
          <w:rtl/>
        </w:rPr>
        <w:t>23.11.18</w:t>
      </w:r>
      <w:r w:rsidRPr="00DB7B56">
        <w:rPr>
          <w:rFonts w:hint="cs"/>
          <w:rtl/>
        </w:rPr>
        <w:t xml:space="preserve"> אימצה ועידת הצדדים את </w:t>
      </w:r>
      <w:r w:rsidRPr="00193D2E">
        <w:rPr>
          <w:rFonts w:hint="cs"/>
          <w:rtl/>
        </w:rPr>
        <w:t>מסמך ה</w:t>
      </w:r>
      <w:r w:rsidR="00193D2E">
        <w:rPr>
          <w:rFonts w:hint="cs"/>
          <w:rtl/>
        </w:rPr>
        <w:t xml:space="preserve"> </w:t>
      </w:r>
      <w:r w:rsidR="00193D2E">
        <w:rPr>
          <w:rtl/>
        </w:rPr>
        <w:t>–</w:t>
      </w:r>
      <w:r w:rsidR="00193D2E">
        <w:rPr>
          <w:rFonts w:hint="cs"/>
          <w:rtl/>
        </w:rPr>
        <w:t xml:space="preserve"> </w:t>
      </w:r>
      <w:r w:rsidR="00193D2E">
        <w:t>"Guidelines on the environmentally sound interim storage of mercury other than waste mercury"</w:t>
      </w:r>
      <w:r w:rsidRPr="00DB7B56">
        <w:rPr>
          <w:rFonts w:hint="cs"/>
          <w:rtl/>
        </w:rPr>
        <w:t>,</w:t>
      </w:r>
      <w:r w:rsidR="0038444D" w:rsidRPr="00DB7B56">
        <w:rPr>
          <w:rFonts w:hint="cs"/>
          <w:rtl/>
        </w:rPr>
        <w:t xml:space="preserve"> כמסמך מנחה לאחסון ביניים נאות. ההגדרה המוצעת מפנה למסמך האמור, שיפורסם באתר המשרד להגנת הסביבה, על עדכוניו מעת לעת.</w:t>
      </w:r>
    </w:p>
    <w:p w14:paraId="70C92411" w14:textId="520A3D3B" w:rsidR="001F1A6A" w:rsidRDefault="00974F6F" w:rsidP="00D72A2A">
      <w:pPr>
        <w:pStyle w:val="Hesber1st"/>
        <w:tabs>
          <w:tab w:val="clear" w:pos="680"/>
        </w:tabs>
        <w:rPr>
          <w:rtl/>
        </w:rPr>
      </w:pPr>
      <w:r>
        <w:rPr>
          <w:rFonts w:hint="cs"/>
          <w:rtl/>
        </w:rPr>
        <w:t xml:space="preserve">הגדרת </w:t>
      </w:r>
      <w:r w:rsidRPr="00974F6F">
        <w:rPr>
          <w:rFonts w:hint="cs"/>
          <w:b/>
          <w:bCs/>
          <w:rtl/>
        </w:rPr>
        <w:t>"היתר פליטה"</w:t>
      </w:r>
      <w:r>
        <w:rPr>
          <w:rtl/>
        </w:rPr>
        <w:tab/>
      </w:r>
      <w:r w:rsidR="001F1A6A">
        <w:rPr>
          <w:rtl/>
        </w:rPr>
        <w:tab/>
      </w:r>
      <w:r w:rsidR="001F1A6A">
        <w:rPr>
          <w:rFonts w:hint="cs"/>
          <w:rtl/>
        </w:rPr>
        <w:t xml:space="preserve">כיום קיים בישראל מפעל אחד שבו נעשה שימוש בכספית בתהליך ייצור שהאמנה מגבילה אותו. פעילותו של המפעל מוסדרת, בין היתר, באמצעות היתר פליטה מכוח חוק אוויר נקי, התשס"ח-2008 אשר בו נקבעו הוראות ספציפיות להפסקת הפעילות המוגבלת באמנה. התייחסות להיתר הפליטה מופיעה </w:t>
      </w:r>
      <w:r w:rsidR="00D72A2A" w:rsidRPr="00D4710B">
        <w:rPr>
          <w:rFonts w:hint="cs"/>
          <w:rtl/>
        </w:rPr>
        <w:t xml:space="preserve">בתקנות </w:t>
      </w:r>
      <w:r w:rsidR="00D72A2A">
        <w:rPr>
          <w:rFonts w:hint="cs"/>
          <w:rtl/>
        </w:rPr>
        <w:t xml:space="preserve">4(ג) ו- 5(ג) </w:t>
      </w:r>
      <w:r w:rsidR="001F1A6A">
        <w:rPr>
          <w:rFonts w:hint="cs"/>
          <w:rtl/>
        </w:rPr>
        <w:t>המוצע</w:t>
      </w:r>
      <w:r w:rsidR="00D72A2A">
        <w:rPr>
          <w:rFonts w:hint="cs"/>
          <w:rtl/>
        </w:rPr>
        <w:t>ו</w:t>
      </w:r>
      <w:r w:rsidR="001F1A6A">
        <w:rPr>
          <w:rFonts w:hint="cs"/>
          <w:rtl/>
        </w:rPr>
        <w:t xml:space="preserve">ת. </w:t>
      </w:r>
    </w:p>
    <w:p w14:paraId="6F79A52C" w14:textId="1817EE8D" w:rsidR="00974F6F" w:rsidRDefault="001F1A6A" w:rsidP="00D72A2A">
      <w:pPr>
        <w:pStyle w:val="Hesber1st"/>
        <w:tabs>
          <w:tab w:val="clear" w:pos="680"/>
        </w:tabs>
        <w:rPr>
          <w:rtl/>
        </w:rPr>
      </w:pPr>
      <w:r>
        <w:rPr>
          <w:rFonts w:hint="cs"/>
          <w:rtl/>
        </w:rPr>
        <w:t xml:space="preserve">הגדרת </w:t>
      </w:r>
      <w:r w:rsidRPr="00974F6F">
        <w:rPr>
          <w:rFonts w:hint="cs"/>
          <w:b/>
          <w:bCs/>
          <w:rtl/>
        </w:rPr>
        <w:t>"היתר רעלים"</w:t>
      </w:r>
      <w:r>
        <w:rPr>
          <w:b/>
          <w:bCs/>
          <w:rtl/>
        </w:rPr>
        <w:tab/>
      </w:r>
      <w:r>
        <w:rPr>
          <w:b/>
          <w:bCs/>
          <w:rtl/>
        </w:rPr>
        <w:tab/>
      </w:r>
      <w:r>
        <w:rPr>
          <w:rFonts w:hint="cs"/>
          <w:rtl/>
        </w:rPr>
        <w:t xml:space="preserve">כספית היא כאמור חומר מסוכן שהעיסוק בו טעון היתר רעלים לפי הוראות חוק החומרים המסוכנים, התשנ"ג-1993, בכמות של 1 ק"ג ומעלה. התייחסות להיתר הרעלים מופיעה </w:t>
      </w:r>
      <w:r w:rsidR="00D72A2A" w:rsidRPr="00D4710B">
        <w:rPr>
          <w:rFonts w:hint="cs"/>
          <w:rtl/>
        </w:rPr>
        <w:t xml:space="preserve">בתקנות </w:t>
      </w:r>
      <w:r w:rsidR="00D72A2A">
        <w:rPr>
          <w:rFonts w:hint="cs"/>
          <w:rtl/>
        </w:rPr>
        <w:t xml:space="preserve">4(ג) ו- 5(ג) </w:t>
      </w:r>
      <w:r>
        <w:rPr>
          <w:rFonts w:hint="cs"/>
          <w:rtl/>
        </w:rPr>
        <w:t>המוצע</w:t>
      </w:r>
      <w:r w:rsidR="00D72A2A">
        <w:rPr>
          <w:rFonts w:hint="cs"/>
          <w:rtl/>
        </w:rPr>
        <w:t>ו</w:t>
      </w:r>
      <w:r>
        <w:rPr>
          <w:rFonts w:hint="cs"/>
          <w:rtl/>
        </w:rPr>
        <w:t>ת.</w:t>
      </w:r>
    </w:p>
    <w:p w14:paraId="224BD44C" w14:textId="00FBC355" w:rsidR="001523F4" w:rsidRDefault="001523F4" w:rsidP="003955A5">
      <w:pPr>
        <w:pStyle w:val="Hesber1st"/>
        <w:tabs>
          <w:tab w:val="clear" w:pos="680"/>
        </w:tabs>
        <w:rPr>
          <w:rtl/>
        </w:rPr>
      </w:pPr>
      <w:r>
        <w:rPr>
          <w:rFonts w:hint="cs"/>
          <w:rtl/>
        </w:rPr>
        <w:t xml:space="preserve">הגדרת </w:t>
      </w:r>
      <w:r w:rsidRPr="00D4710B">
        <w:rPr>
          <w:b/>
          <w:bCs/>
          <w:rtl/>
        </w:rPr>
        <w:t>"</w:t>
      </w:r>
      <w:r w:rsidRPr="00D4710B">
        <w:rPr>
          <w:rFonts w:hint="eastAsia"/>
          <w:b/>
          <w:bCs/>
          <w:rtl/>
        </w:rPr>
        <w:t>חלק</w:t>
      </w:r>
      <w:r w:rsidRPr="00D4710B">
        <w:rPr>
          <w:b/>
          <w:bCs/>
          <w:rtl/>
        </w:rPr>
        <w:t xml:space="preserve"> 1 </w:t>
      </w:r>
      <w:r w:rsidRPr="00D4710B">
        <w:rPr>
          <w:rFonts w:hint="eastAsia"/>
          <w:b/>
          <w:bCs/>
          <w:rtl/>
        </w:rPr>
        <w:t>לנספח</w:t>
      </w:r>
      <w:r w:rsidRPr="00D4710B">
        <w:rPr>
          <w:b/>
          <w:bCs/>
          <w:rtl/>
        </w:rPr>
        <w:t xml:space="preserve"> </w:t>
      </w:r>
      <w:r w:rsidRPr="00D4710B">
        <w:rPr>
          <w:rFonts w:hint="eastAsia"/>
          <w:b/>
          <w:bCs/>
          <w:rtl/>
        </w:rPr>
        <w:t>א</w:t>
      </w:r>
      <w:r w:rsidRPr="00D4710B">
        <w:rPr>
          <w:b/>
          <w:bCs/>
          <w:rtl/>
        </w:rPr>
        <w:t xml:space="preserve">' </w:t>
      </w:r>
      <w:r w:rsidRPr="00D4710B">
        <w:rPr>
          <w:rFonts w:hint="eastAsia"/>
          <w:b/>
          <w:bCs/>
          <w:rtl/>
        </w:rPr>
        <w:t>של</w:t>
      </w:r>
      <w:r w:rsidRPr="00D4710B">
        <w:rPr>
          <w:b/>
          <w:bCs/>
          <w:rtl/>
        </w:rPr>
        <w:t xml:space="preserve"> </w:t>
      </w:r>
      <w:r w:rsidRPr="00D4710B">
        <w:rPr>
          <w:rFonts w:hint="eastAsia"/>
          <w:b/>
          <w:bCs/>
          <w:rtl/>
        </w:rPr>
        <w:t>האמנה</w:t>
      </w:r>
      <w:r w:rsidRPr="00D4710B">
        <w:rPr>
          <w:b/>
          <w:bCs/>
          <w:rtl/>
        </w:rPr>
        <w:t>"</w:t>
      </w:r>
      <w:r>
        <w:rPr>
          <w:b/>
          <w:bCs/>
          <w:rtl/>
        </w:rPr>
        <w:tab/>
      </w:r>
      <w:r>
        <w:rPr>
          <w:b/>
          <w:bCs/>
          <w:rtl/>
        </w:rPr>
        <w:tab/>
      </w:r>
      <w:r>
        <w:rPr>
          <w:rFonts w:hint="cs"/>
          <w:rtl/>
        </w:rPr>
        <w:t xml:space="preserve">חלק </w:t>
      </w:r>
      <w:r w:rsidRPr="00B20A48">
        <w:t>I</w:t>
      </w:r>
      <w:r>
        <w:rPr>
          <w:rFonts w:hint="cs"/>
          <w:rtl/>
        </w:rPr>
        <w:t xml:space="preserve"> לנספח </w:t>
      </w:r>
      <w:r>
        <w:rPr>
          <w:rFonts w:hint="cs"/>
        </w:rPr>
        <w:t>A</w:t>
      </w:r>
      <w:r>
        <w:rPr>
          <w:rFonts w:hint="cs"/>
          <w:rtl/>
        </w:rPr>
        <w:t xml:space="preserve"> לאמנה, שעניינו מוצרים מכילי כספית </w:t>
      </w:r>
      <w:r w:rsidRPr="00C921BE">
        <w:rPr>
          <w:rFonts w:hint="cs"/>
          <w:rtl/>
        </w:rPr>
        <w:t>(</w:t>
      </w:r>
      <w:r w:rsidRPr="00B20A48">
        <w:t>Mercury-added products</w:t>
      </w:r>
      <w:r w:rsidRPr="00B20A48">
        <w:rPr>
          <w:rFonts w:ascii="David" w:hAnsi="David" w:hint="cs"/>
          <w:sz w:val="24"/>
          <w:szCs w:val="24"/>
          <w:rtl/>
        </w:rPr>
        <w:t>)</w:t>
      </w:r>
      <w:r w:rsidRPr="00B20A48">
        <w:rPr>
          <w:rFonts w:ascii="David" w:hAnsi="David" w:hint="cs"/>
          <w:sz w:val="18"/>
          <w:szCs w:val="18"/>
          <w:rtl/>
        </w:rPr>
        <w:t xml:space="preserve"> </w:t>
      </w:r>
      <w:r w:rsidR="00FB30E2">
        <w:rPr>
          <w:rFonts w:hint="cs"/>
          <w:rtl/>
        </w:rPr>
        <w:t xml:space="preserve">מפרט את סוגי המוצרים האסורים בייצור, יצוא וייבוא. </w:t>
      </w:r>
      <w:r w:rsidR="00D4710B">
        <w:rPr>
          <w:rFonts w:hint="cs"/>
          <w:rtl/>
        </w:rPr>
        <w:t xml:space="preserve">במסגרת החלטות ועידת הצדדים, מתעדכנים הנספחים מעת לעת עם הצטברות המידע הרלוונטי. </w:t>
      </w:r>
      <w:r w:rsidR="00FB30E2">
        <w:rPr>
          <w:rFonts w:hint="cs"/>
          <w:rtl/>
        </w:rPr>
        <w:t xml:space="preserve">מוצע </w:t>
      </w:r>
      <w:r w:rsidR="00D4710B">
        <w:rPr>
          <w:rFonts w:hint="cs"/>
          <w:rtl/>
        </w:rPr>
        <w:t>להפנות ל</w:t>
      </w:r>
      <w:r w:rsidR="00FB30E2">
        <w:rPr>
          <w:rFonts w:hint="cs"/>
          <w:rtl/>
        </w:rPr>
        <w:t xml:space="preserve">חלק זה </w:t>
      </w:r>
      <w:r w:rsidR="00D4710B">
        <w:rPr>
          <w:rFonts w:hint="cs"/>
          <w:rtl/>
        </w:rPr>
        <w:t xml:space="preserve">של האמנה במישרין, על מנת לאפשר יישום מתמשך של הוראות האמנה. עוד מוצע כי הנספח </w:t>
      </w:r>
      <w:r w:rsidR="00FB30E2">
        <w:rPr>
          <w:rFonts w:hint="cs"/>
          <w:rtl/>
        </w:rPr>
        <w:t xml:space="preserve">יפורסם </w:t>
      </w:r>
      <w:r w:rsidR="00D4710B">
        <w:rPr>
          <w:rFonts w:hint="cs"/>
          <w:rtl/>
        </w:rPr>
        <w:t>ב</w:t>
      </w:r>
      <w:r w:rsidR="00FB30E2">
        <w:rPr>
          <w:rFonts w:hint="cs"/>
          <w:rtl/>
        </w:rPr>
        <w:t>אתר האינטרנט של המשרד להגנת הסביבה, לצורך הנגשתו לציבור</w:t>
      </w:r>
      <w:r w:rsidR="00D4710B">
        <w:rPr>
          <w:rFonts w:hint="cs"/>
          <w:rtl/>
        </w:rPr>
        <w:t xml:space="preserve"> הרלוונטי</w:t>
      </w:r>
      <w:r w:rsidR="00FB30E2">
        <w:rPr>
          <w:rFonts w:hint="cs"/>
          <w:rtl/>
        </w:rPr>
        <w:t>.</w:t>
      </w:r>
      <w:r w:rsidR="00D4710B">
        <w:rPr>
          <w:rFonts w:hint="cs"/>
          <w:rtl/>
        </w:rPr>
        <w:t xml:space="preserve"> יצוין כי המגבלות לפי הוראות אלה חלות על ציבור של עוסקים בייצור או בסחר, ונוכח הסיכונים המשמעותיים של העיסוק במוצרים אלה, ראוי להטיל על העוסקים חובות הכוללות היכרות עם המגבלות המקובלות בעולם</w:t>
      </w:r>
      <w:r w:rsidR="00FB30E2">
        <w:rPr>
          <w:rFonts w:hint="cs"/>
          <w:rtl/>
        </w:rPr>
        <w:t xml:space="preserve">. </w:t>
      </w:r>
      <w:r w:rsidR="003955A5">
        <w:rPr>
          <w:rFonts w:hint="cs"/>
          <w:rtl/>
        </w:rPr>
        <w:t xml:space="preserve">להלן רשימת המוצרים המכילים כספית המפורטים בחלק </w:t>
      </w:r>
      <w:r w:rsidR="003955A5" w:rsidRPr="00B20A48">
        <w:t>I</w:t>
      </w:r>
      <w:r w:rsidR="003955A5">
        <w:rPr>
          <w:rFonts w:hint="cs"/>
          <w:rtl/>
        </w:rPr>
        <w:t xml:space="preserve"> לנספח </w:t>
      </w:r>
      <w:r w:rsidR="003955A5">
        <w:rPr>
          <w:rFonts w:hint="cs"/>
        </w:rPr>
        <w:t>A</w:t>
      </w:r>
      <w:r w:rsidR="003955A5">
        <w:rPr>
          <w:rFonts w:hint="cs"/>
          <w:rtl/>
        </w:rPr>
        <w:t xml:space="preserve"> לאמנה</w:t>
      </w:r>
      <w:r w:rsidR="00D4710B">
        <w:rPr>
          <w:rFonts w:hint="cs"/>
          <w:rtl/>
        </w:rPr>
        <w:t>, בנוסחו כיום.</w:t>
      </w:r>
    </w:p>
    <w:p w14:paraId="3B8CB260" w14:textId="4345BCB5" w:rsidR="003955A5" w:rsidRDefault="003955A5" w:rsidP="0045101D">
      <w:pPr>
        <w:pStyle w:val="Hesber1st"/>
        <w:numPr>
          <w:ilvl w:val="0"/>
          <w:numId w:val="30"/>
        </w:numPr>
      </w:pPr>
      <w:r>
        <w:rPr>
          <w:rtl/>
        </w:rPr>
        <w:t>סוללות, למעט סוללות כפתור אבץ כסף חמצני, עם תכולת כספית קטנה מ- 2% וסוללות כפתור אבץ אוויר, עם תכולת כספית קטנה מ- 2%;</w:t>
      </w:r>
    </w:p>
    <w:p w14:paraId="1FA3D482" w14:textId="6FBCBDAD" w:rsidR="003955A5" w:rsidRDefault="003955A5" w:rsidP="0045101D">
      <w:pPr>
        <w:pStyle w:val="Hesber1st"/>
        <w:numPr>
          <w:ilvl w:val="0"/>
          <w:numId w:val="30"/>
        </w:numPr>
      </w:pPr>
      <w:r>
        <w:rPr>
          <w:rtl/>
        </w:rPr>
        <w:t>מתגים וממסרים, למעט גשרי מד קיבול ואובדן ברמת דיוק גבוהה ומתגי וממסרי תדר רדיו בתדירות גבוהה במכשירי ניטור ובקרה, בתכולה של עד  20 מ"ג כספית לכל גשר, מתג או ממסר;</w:t>
      </w:r>
    </w:p>
    <w:p w14:paraId="6B1C4B94" w14:textId="66A4D6E8" w:rsidR="003955A5" w:rsidRDefault="003955A5" w:rsidP="0045101D">
      <w:pPr>
        <w:pStyle w:val="Hesber1st"/>
        <w:numPr>
          <w:ilvl w:val="0"/>
          <w:numId w:val="30"/>
        </w:numPr>
      </w:pPr>
      <w:r>
        <w:rPr>
          <w:rtl/>
        </w:rPr>
        <w:t>נורות פלואורסצנט קומפקטיות המשמשות לתאורה, שהספקן אינו עולה על 30 וואט, בתכולה של עד 5 מ"ג כספית בכל מצת נורה;</w:t>
      </w:r>
    </w:p>
    <w:p w14:paraId="378C4A21" w14:textId="605E0323" w:rsidR="003955A5" w:rsidRDefault="003955A5" w:rsidP="0045101D">
      <w:pPr>
        <w:pStyle w:val="Hesber1st"/>
        <w:numPr>
          <w:ilvl w:val="0"/>
          <w:numId w:val="30"/>
        </w:numPr>
      </w:pPr>
      <w:r>
        <w:rPr>
          <w:rtl/>
        </w:rPr>
        <w:t>מנורות פלואורסצנט לינאריות המשמשות לתאורה, מהסוגים המפורטים להלן:</w:t>
      </w:r>
    </w:p>
    <w:p w14:paraId="1C04940E" w14:textId="251A838D" w:rsidR="003955A5" w:rsidRDefault="003955A5" w:rsidP="0045101D">
      <w:pPr>
        <w:pStyle w:val="Hesber1st"/>
        <w:numPr>
          <w:ilvl w:val="1"/>
          <w:numId w:val="31"/>
        </w:numPr>
      </w:pPr>
      <w:r>
        <w:rPr>
          <w:rtl/>
        </w:rPr>
        <w:t>זרחן תלת-פס (טריפוספור) שהספקו נמוך מ- 60 וואט בתכולה של עד 5 מ"ג כספית לנורה;</w:t>
      </w:r>
    </w:p>
    <w:p w14:paraId="76B09C2C" w14:textId="269B4FBD" w:rsidR="003955A5" w:rsidRDefault="003955A5" w:rsidP="0045101D">
      <w:pPr>
        <w:pStyle w:val="Hesber1st"/>
        <w:numPr>
          <w:ilvl w:val="1"/>
          <w:numId w:val="31"/>
        </w:numPr>
      </w:pPr>
      <w:r>
        <w:rPr>
          <w:rtl/>
        </w:rPr>
        <w:tab/>
        <w:t>זרחן הלופוספט (הלופוספור) שהספקו נמוך מ-40 וואט בתכולה של עד 10 מ"ג כספית לנורה.</w:t>
      </w:r>
    </w:p>
    <w:p w14:paraId="706441F0" w14:textId="180E0ABF" w:rsidR="003955A5" w:rsidRDefault="003955A5" w:rsidP="0045101D">
      <w:pPr>
        <w:pStyle w:val="Hesber1st"/>
        <w:numPr>
          <w:ilvl w:val="0"/>
          <w:numId w:val="30"/>
        </w:numPr>
      </w:pPr>
      <w:r>
        <w:rPr>
          <w:rtl/>
        </w:rPr>
        <w:t>מנורות אדי כספית בלחץ גבוה המשמשות לתאורה;</w:t>
      </w:r>
    </w:p>
    <w:p w14:paraId="51427B10" w14:textId="69AD601C" w:rsidR="003955A5" w:rsidRDefault="003955A5" w:rsidP="0045101D">
      <w:pPr>
        <w:pStyle w:val="Hesber1st"/>
        <w:numPr>
          <w:ilvl w:val="0"/>
          <w:numId w:val="30"/>
        </w:numPr>
      </w:pPr>
      <w:r>
        <w:rPr>
          <w:rtl/>
        </w:rPr>
        <w:t>מנורות פלואורסצנט המכילות כספית ומשמשות לתצוגות אלקטרוניות, בעלות קתודות קרות או אלקטרודות חיצוניות:</w:t>
      </w:r>
    </w:p>
    <w:p w14:paraId="7E77FDC9" w14:textId="092194C2" w:rsidR="003955A5" w:rsidRDefault="003955A5" w:rsidP="0045101D">
      <w:pPr>
        <w:pStyle w:val="Hesber1st"/>
        <w:numPr>
          <w:ilvl w:val="0"/>
          <w:numId w:val="32"/>
        </w:numPr>
      </w:pPr>
      <w:r>
        <w:rPr>
          <w:rtl/>
        </w:rPr>
        <w:tab/>
        <w:t>שאורכן 500 מ"מ או פחות, בתכולה העולה על 3.5 מ"ג כספית לנורה;</w:t>
      </w:r>
    </w:p>
    <w:p w14:paraId="5C4FF437" w14:textId="68548D66" w:rsidR="003955A5" w:rsidRDefault="003955A5" w:rsidP="0045101D">
      <w:pPr>
        <w:pStyle w:val="Hesber1st"/>
        <w:numPr>
          <w:ilvl w:val="0"/>
          <w:numId w:val="32"/>
        </w:numPr>
      </w:pPr>
      <w:r>
        <w:rPr>
          <w:rtl/>
        </w:rPr>
        <w:tab/>
        <w:t>שאורכן עולה על 500 מ"מ אך אינו עולה על  1,500 מ"מ, בתכולה העולה על 5 מ"ג כספית לנורה;</w:t>
      </w:r>
    </w:p>
    <w:p w14:paraId="0258C6EA" w14:textId="0EC1615E" w:rsidR="003955A5" w:rsidRDefault="003955A5" w:rsidP="0045101D">
      <w:pPr>
        <w:pStyle w:val="Hesber1st"/>
        <w:numPr>
          <w:ilvl w:val="0"/>
          <w:numId w:val="32"/>
        </w:numPr>
      </w:pPr>
      <w:r>
        <w:rPr>
          <w:rtl/>
        </w:rPr>
        <w:tab/>
        <w:t>שאורכן עולה על 1,500 מ"מ בתכולה העולה על 13 מ"ג כספית לנורה.</w:t>
      </w:r>
    </w:p>
    <w:p w14:paraId="22D3A5D3" w14:textId="3A28C8CC" w:rsidR="003955A5" w:rsidRDefault="003955A5" w:rsidP="0045101D">
      <w:pPr>
        <w:pStyle w:val="Hesber1st"/>
        <w:numPr>
          <w:ilvl w:val="0"/>
          <w:numId w:val="30"/>
        </w:numPr>
      </w:pPr>
      <w:r>
        <w:rPr>
          <w:rtl/>
        </w:rPr>
        <w:t xml:space="preserve">מוצרי קוסמטיקה בתכולה העולה על 1 מיליגרם כספית  לקילוגרם, ובכלל זה סבונים וקרמים להבהרת עור, למעט מוצרי קוסמטיקה המיועדים לאיזור העיניים, שבהם הכספית משמשת כחומר משמר, ובלבד שאין חומרים משמרים חלופיים יעילים ובטוחים; </w:t>
      </w:r>
    </w:p>
    <w:p w14:paraId="2C8D4694" w14:textId="7B494EAF" w:rsidR="003955A5" w:rsidRDefault="003955A5" w:rsidP="0045101D">
      <w:pPr>
        <w:pStyle w:val="Hesber1st"/>
        <w:numPr>
          <w:ilvl w:val="0"/>
          <w:numId w:val="30"/>
        </w:numPr>
      </w:pPr>
      <w:r>
        <w:rPr>
          <w:rtl/>
        </w:rPr>
        <w:t xml:space="preserve">חומרי הדברה, חומרים קוטלי מיקרואורגניזמים (ביוצידים) וחומרי חיטוי מקומי; </w:t>
      </w:r>
    </w:p>
    <w:p w14:paraId="42D96BB7" w14:textId="465C7A32" w:rsidR="003955A5" w:rsidRDefault="003955A5" w:rsidP="0045101D">
      <w:pPr>
        <w:pStyle w:val="Hesber1st"/>
        <w:numPr>
          <w:ilvl w:val="0"/>
          <w:numId w:val="30"/>
        </w:numPr>
      </w:pPr>
      <w:r>
        <w:rPr>
          <w:rtl/>
        </w:rPr>
        <w:t xml:space="preserve">מכשירי מדידה לא אלקטרוניים המפורטים להלן, למעט מכשירים המותקנים בציוד בקנה מידה גדול או כאלה המשמשים למדידה ברמת דיוק גבוהה, ובלבד שאין חלופה נטולת כספית מתאימה: </w:t>
      </w:r>
    </w:p>
    <w:p w14:paraId="2A061E0E" w14:textId="13C0B1FC" w:rsidR="003955A5" w:rsidRDefault="003955A5" w:rsidP="0045101D">
      <w:pPr>
        <w:pStyle w:val="Hesber1st"/>
        <w:numPr>
          <w:ilvl w:val="0"/>
          <w:numId w:val="33"/>
        </w:numPr>
      </w:pPr>
      <w:r>
        <w:rPr>
          <w:rtl/>
        </w:rPr>
        <w:tab/>
        <w:t>מדי לחץ אטמוספרי;</w:t>
      </w:r>
    </w:p>
    <w:p w14:paraId="47BBB901" w14:textId="6278C718" w:rsidR="003955A5" w:rsidRDefault="003955A5" w:rsidP="0045101D">
      <w:pPr>
        <w:pStyle w:val="Hesber1st"/>
        <w:numPr>
          <w:ilvl w:val="0"/>
          <w:numId w:val="33"/>
        </w:numPr>
      </w:pPr>
      <w:r>
        <w:rPr>
          <w:rtl/>
        </w:rPr>
        <w:tab/>
        <w:t>מדי לחות;</w:t>
      </w:r>
    </w:p>
    <w:p w14:paraId="07B544DE" w14:textId="4E7AC68C" w:rsidR="003955A5" w:rsidRDefault="003955A5" w:rsidP="0045101D">
      <w:pPr>
        <w:pStyle w:val="Hesber1st"/>
        <w:numPr>
          <w:ilvl w:val="0"/>
          <w:numId w:val="33"/>
        </w:numPr>
      </w:pPr>
      <w:r>
        <w:rPr>
          <w:rtl/>
        </w:rPr>
        <w:t>מדי לחץ;</w:t>
      </w:r>
    </w:p>
    <w:p w14:paraId="501FA288" w14:textId="571FD91A" w:rsidR="003955A5" w:rsidRDefault="003955A5" w:rsidP="0045101D">
      <w:pPr>
        <w:pStyle w:val="Hesber1st"/>
        <w:numPr>
          <w:ilvl w:val="0"/>
          <w:numId w:val="33"/>
        </w:numPr>
      </w:pPr>
      <w:r>
        <w:rPr>
          <w:rtl/>
        </w:rPr>
        <w:tab/>
        <w:t>מדי טמפרטורה;</w:t>
      </w:r>
    </w:p>
    <w:p w14:paraId="0064B5C5" w14:textId="7BD89807" w:rsidR="003955A5" w:rsidRPr="00DB7B56" w:rsidRDefault="003955A5" w:rsidP="0045101D">
      <w:pPr>
        <w:pStyle w:val="Hesber1st"/>
        <w:numPr>
          <w:ilvl w:val="0"/>
          <w:numId w:val="33"/>
        </w:numPr>
      </w:pPr>
      <w:r>
        <w:rPr>
          <w:rtl/>
        </w:rPr>
        <w:tab/>
        <w:t>מדי לחץ דם.</w:t>
      </w:r>
    </w:p>
    <w:p w14:paraId="28C272B6" w14:textId="77777777" w:rsidR="00101839" w:rsidRPr="00DB7B56" w:rsidRDefault="0038444D" w:rsidP="001F1A6A">
      <w:pPr>
        <w:pStyle w:val="Hesber1st"/>
        <w:tabs>
          <w:tab w:val="clear" w:pos="680"/>
        </w:tabs>
      </w:pPr>
      <w:r w:rsidRPr="00DB7B56">
        <w:rPr>
          <w:rFonts w:hint="cs"/>
          <w:rtl/>
        </w:rPr>
        <w:t xml:space="preserve">הגדרת </w:t>
      </w:r>
      <w:r w:rsidR="00101839" w:rsidRPr="001F1A6A">
        <w:rPr>
          <w:b/>
          <w:bCs/>
          <w:rtl/>
        </w:rPr>
        <w:t>"כספית"</w:t>
      </w:r>
      <w:r w:rsidR="00101839" w:rsidRPr="00DB7B56">
        <w:rPr>
          <w:rtl/>
        </w:rPr>
        <w:t xml:space="preserve"> </w:t>
      </w:r>
      <w:r w:rsidR="001F1A6A">
        <w:rPr>
          <w:rtl/>
        </w:rPr>
        <w:tab/>
      </w:r>
      <w:r w:rsidR="001F1A6A">
        <w:rPr>
          <w:rFonts w:hint="cs"/>
          <w:rtl/>
        </w:rPr>
        <w:t>ההגדרה ה</w:t>
      </w:r>
      <w:r w:rsidRPr="00DB7B56">
        <w:rPr>
          <w:rFonts w:hint="cs"/>
          <w:rtl/>
        </w:rPr>
        <w:t>מוצעת זהה</w:t>
      </w:r>
      <w:r w:rsidR="0011202B" w:rsidRPr="00DB7B56">
        <w:rPr>
          <w:rFonts w:hint="cs"/>
          <w:rtl/>
        </w:rPr>
        <w:t xml:space="preserve"> להגדרת כספית באמנה, לרבות הכללת מספר ה- </w:t>
      </w:r>
      <w:r w:rsidR="0011202B" w:rsidRPr="00DB7B56">
        <w:rPr>
          <w:rFonts w:hint="cs"/>
        </w:rPr>
        <w:t>CAS</w:t>
      </w:r>
      <w:r w:rsidR="0011202B" w:rsidRPr="00DB7B56">
        <w:rPr>
          <w:rFonts w:hint="cs"/>
          <w:rtl/>
        </w:rPr>
        <w:t xml:space="preserve"> של היסוד כספית</w:t>
      </w:r>
      <w:r w:rsidR="001F1A6A">
        <w:rPr>
          <w:rFonts w:hint="cs"/>
          <w:rtl/>
        </w:rPr>
        <w:t>, לצורך זיהוי מדויק</w:t>
      </w:r>
      <w:r w:rsidRPr="00DB7B56">
        <w:rPr>
          <w:rFonts w:hint="cs"/>
          <w:rtl/>
        </w:rPr>
        <w:t xml:space="preserve">. </w:t>
      </w:r>
      <w:r w:rsidRPr="00DB7B56">
        <w:rPr>
          <w:rtl/>
        </w:rPr>
        <w:t>במספרי ה-</w:t>
      </w:r>
      <w:r w:rsidRPr="00DB7B56">
        <w:t>CAS</w:t>
      </w:r>
      <w:r w:rsidRPr="00DB7B56">
        <w:rPr>
          <w:rtl/>
        </w:rPr>
        <w:t xml:space="preserve"> נעשה שימוש נרחב לזיהוי חומרים כימיים בספרות המקצועית וכן במסמכים רגולטורי</w:t>
      </w:r>
      <w:r w:rsidR="001F1A6A">
        <w:rPr>
          <w:rFonts w:hint="cs"/>
          <w:rtl/>
        </w:rPr>
        <w:t>י</w:t>
      </w:r>
      <w:r w:rsidRPr="00DB7B56">
        <w:rPr>
          <w:rtl/>
        </w:rPr>
        <w:t>ם שונים ברחבי העולם.</w:t>
      </w:r>
      <w:r w:rsidRPr="00DB7B56">
        <w:rPr>
          <w:rFonts w:hint="cs"/>
          <w:rtl/>
        </w:rPr>
        <w:t xml:space="preserve"> </w:t>
      </w:r>
      <w:r w:rsidRPr="00DB7B56">
        <w:rPr>
          <w:rtl/>
        </w:rPr>
        <w:t>מספרי ה-</w:t>
      </w:r>
      <w:r w:rsidRPr="00DB7B56">
        <w:t>CAS</w:t>
      </w:r>
      <w:r w:rsidRPr="00DB7B56">
        <w:rPr>
          <w:rtl/>
        </w:rPr>
        <w:t xml:space="preserve">, נקבעים על ידי גוף שירות התקצירים לכימיה </w:t>
      </w:r>
      <w:r w:rsidRPr="00DB7B56">
        <w:t>Chemical Abstracts Service)</w:t>
      </w:r>
      <w:r w:rsidRPr="00DB7B56">
        <w:rPr>
          <w:rtl/>
        </w:rPr>
        <w:t>) השייך לאגודה האמריקאית לכימיה. גוף זה מנהל רישום לכל חומר כימי המפורסם בספרות המדעית. עבור כל חומר, נקבע מספר סידורי. חשוב לציין כי המספר אינו מעיד על תכונות החומר. הספרה האחרונה במספר ה-</w:t>
      </w:r>
      <w:r w:rsidRPr="00DB7B56">
        <w:t>CAS</w:t>
      </w:r>
      <w:r w:rsidRPr="00DB7B56">
        <w:rPr>
          <w:rtl/>
        </w:rPr>
        <w:t xml:space="preserve"> של חומר, מהווה ספרת ביקורת</w:t>
      </w:r>
      <w:r w:rsidR="001F1A6A">
        <w:rPr>
          <w:rFonts w:hint="cs"/>
          <w:rtl/>
        </w:rPr>
        <w:t>.</w:t>
      </w:r>
      <w:r w:rsidR="00101839" w:rsidRPr="00DB7B56">
        <w:rPr>
          <w:rtl/>
        </w:rPr>
        <w:t xml:space="preserve"> </w:t>
      </w:r>
    </w:p>
    <w:p w14:paraId="46B76EFB" w14:textId="77777777" w:rsidR="00101839" w:rsidRDefault="0038444D" w:rsidP="001F1A6A">
      <w:pPr>
        <w:pStyle w:val="Hesber1st"/>
        <w:tabs>
          <w:tab w:val="clear" w:pos="680"/>
        </w:tabs>
        <w:rPr>
          <w:rtl/>
        </w:rPr>
      </w:pPr>
      <w:r w:rsidRPr="00DB7B56">
        <w:rPr>
          <w:rFonts w:hint="cs"/>
          <w:rtl/>
        </w:rPr>
        <w:t xml:space="preserve">הגדרת </w:t>
      </w:r>
      <w:r w:rsidR="00101839" w:rsidRPr="001F1A6A">
        <w:rPr>
          <w:b/>
          <w:bCs/>
          <w:rtl/>
        </w:rPr>
        <w:t>"כרייה"</w:t>
      </w:r>
      <w:r w:rsidR="00101839" w:rsidRPr="00DB7B56">
        <w:rPr>
          <w:rtl/>
        </w:rPr>
        <w:t xml:space="preserve">  </w:t>
      </w:r>
      <w:r w:rsidR="001F1A6A">
        <w:rPr>
          <w:rtl/>
        </w:rPr>
        <w:tab/>
      </w:r>
      <w:r w:rsidR="001F1A6A">
        <w:rPr>
          <w:rFonts w:hint="cs"/>
          <w:rtl/>
        </w:rPr>
        <w:t>ה</w:t>
      </w:r>
      <w:r w:rsidR="001F1A6A" w:rsidRPr="00DB7B56">
        <w:rPr>
          <w:rFonts w:hint="cs"/>
          <w:rtl/>
        </w:rPr>
        <w:t xml:space="preserve">הגדרה </w:t>
      </w:r>
      <w:r w:rsidR="001F1A6A">
        <w:rPr>
          <w:rFonts w:hint="cs"/>
          <w:rtl/>
        </w:rPr>
        <w:t>ה</w:t>
      </w:r>
      <w:r w:rsidR="0011202B" w:rsidRPr="00DB7B56">
        <w:rPr>
          <w:rFonts w:hint="cs"/>
          <w:rtl/>
        </w:rPr>
        <w:t>מוצעת זהה להגדרה באמנה, תוך התאמה למסגרת הנורמטיבית הרלוונטית בישראל</w:t>
      </w:r>
      <w:r w:rsidR="001F1A6A">
        <w:rPr>
          <w:rFonts w:hint="cs"/>
          <w:rtl/>
        </w:rPr>
        <w:t>, קרי, פקודת המכרות הקובעת את הסדרי הרישוי לכרייה ולחציבה</w:t>
      </w:r>
      <w:r w:rsidR="0011202B" w:rsidRPr="00DB7B56">
        <w:rPr>
          <w:rFonts w:hint="cs"/>
          <w:rtl/>
        </w:rPr>
        <w:t>.</w:t>
      </w:r>
      <w:r w:rsidR="001F1A6A">
        <w:rPr>
          <w:rFonts w:hint="cs"/>
          <w:rtl/>
        </w:rPr>
        <w:t xml:space="preserve"> </w:t>
      </w:r>
    </w:p>
    <w:p w14:paraId="06297C3D" w14:textId="77777777" w:rsidR="001F1A6A" w:rsidRPr="00DB7B56" w:rsidRDefault="001F1A6A" w:rsidP="001F1A6A">
      <w:pPr>
        <w:pStyle w:val="Hesber1st"/>
        <w:tabs>
          <w:tab w:val="clear" w:pos="680"/>
        </w:tabs>
      </w:pPr>
      <w:r>
        <w:rPr>
          <w:rFonts w:hint="cs"/>
          <w:rtl/>
        </w:rPr>
        <w:t xml:space="preserve">הגדרת </w:t>
      </w:r>
      <w:r w:rsidRPr="001F1A6A">
        <w:rPr>
          <w:rFonts w:hint="cs"/>
          <w:b/>
          <w:bCs/>
          <w:rtl/>
        </w:rPr>
        <w:t>"מדינה חברה"</w:t>
      </w:r>
      <w:r>
        <w:rPr>
          <w:rtl/>
        </w:rPr>
        <w:tab/>
      </w:r>
      <w:r>
        <w:rPr>
          <w:rtl/>
        </w:rPr>
        <w:tab/>
      </w:r>
      <w:r>
        <w:rPr>
          <w:rFonts w:hint="cs"/>
          <w:rtl/>
        </w:rPr>
        <w:t>בהתאם להוראות האמנה קיימת הבחנה בין יבוא וייצוא למדינה חברה או ממנה, לבין מדינה שאינה חברה. ההגדרה המוצעת תואמת את ההגדרה באמנה.</w:t>
      </w:r>
    </w:p>
    <w:p w14:paraId="008FD69A" w14:textId="47E9F443" w:rsidR="00101839" w:rsidRDefault="0011202B" w:rsidP="00D72A2A">
      <w:pPr>
        <w:pStyle w:val="Hesber1st"/>
        <w:tabs>
          <w:tab w:val="clear" w:pos="680"/>
        </w:tabs>
        <w:rPr>
          <w:rtl/>
        </w:rPr>
      </w:pPr>
      <w:r w:rsidRPr="00DB7B56">
        <w:rPr>
          <w:rFonts w:hint="cs"/>
          <w:rtl/>
        </w:rPr>
        <w:t xml:space="preserve">הגדרת </w:t>
      </w:r>
      <w:r w:rsidR="00101839" w:rsidRPr="001F1A6A">
        <w:rPr>
          <w:b/>
          <w:bCs/>
          <w:rtl/>
        </w:rPr>
        <w:t>"מוצר מכיל כספית"</w:t>
      </w:r>
      <w:r w:rsidR="001F1A6A">
        <w:rPr>
          <w:rtl/>
        </w:rPr>
        <w:t xml:space="preserve"> </w:t>
      </w:r>
      <w:r w:rsidR="001F1A6A">
        <w:rPr>
          <w:rtl/>
        </w:rPr>
        <w:tab/>
      </w:r>
      <w:r w:rsidR="00101839" w:rsidRPr="00DB7B56">
        <w:rPr>
          <w:rtl/>
        </w:rPr>
        <w:t xml:space="preserve"> </w:t>
      </w:r>
      <w:r w:rsidRPr="005E4F99">
        <w:rPr>
          <w:rFonts w:hint="cs"/>
          <w:rtl/>
        </w:rPr>
        <w:t>מוצעת הגדרה הזהה להגדרה באמנה</w:t>
      </w:r>
      <w:r w:rsidR="00D72A2A">
        <w:rPr>
          <w:rFonts w:hint="cs"/>
          <w:rtl/>
        </w:rPr>
        <w:t>, לפיה מוצר מכיל כספית הוא מוצר שנוספה לו כספית או תרכובות כספית במתכוון</w:t>
      </w:r>
      <w:r w:rsidRPr="00DB7B56">
        <w:rPr>
          <w:rFonts w:hint="cs"/>
          <w:rtl/>
        </w:rPr>
        <w:t>.</w:t>
      </w:r>
      <w:r w:rsidR="001F1A6A">
        <w:rPr>
          <w:rFonts w:hint="cs"/>
          <w:rtl/>
        </w:rPr>
        <w:t xml:space="preserve"> </w:t>
      </w:r>
      <w:r w:rsidR="00D72A2A">
        <w:rPr>
          <w:rFonts w:hint="cs"/>
          <w:rtl/>
        </w:rPr>
        <w:t>בנספח לאמנה מנויים מוצרים מכילי כספית ספציפיים, שייצורם, ייבואם וייצואם אסור</w:t>
      </w:r>
      <w:r w:rsidR="005E4F99">
        <w:rPr>
          <w:rFonts w:hint="cs"/>
          <w:rtl/>
        </w:rPr>
        <w:t>, ומוצע לקבוע איסור זה בתקנה 4(א)</w:t>
      </w:r>
      <w:r w:rsidR="00D72A2A">
        <w:rPr>
          <w:rFonts w:hint="cs"/>
          <w:rtl/>
        </w:rPr>
        <w:t xml:space="preserve">. בנוסף, קיימת </w:t>
      </w:r>
      <w:r w:rsidR="005E4F99">
        <w:rPr>
          <w:rFonts w:hint="cs"/>
          <w:rtl/>
        </w:rPr>
        <w:t xml:space="preserve">באמנה </w:t>
      </w:r>
      <w:r w:rsidR="00D72A2A">
        <w:rPr>
          <w:rFonts w:hint="cs"/>
          <w:rtl/>
        </w:rPr>
        <w:t xml:space="preserve">מגבלה על ייצור והפצה מסחרית של מוצרים </w:t>
      </w:r>
      <w:r w:rsidR="005E4F99">
        <w:rPr>
          <w:rFonts w:hint="cs"/>
          <w:rtl/>
        </w:rPr>
        <w:t>חדשים ש</w:t>
      </w:r>
      <w:r w:rsidR="00D72A2A">
        <w:rPr>
          <w:rFonts w:hint="cs"/>
          <w:rtl/>
        </w:rPr>
        <w:t>מכילי</w:t>
      </w:r>
      <w:r w:rsidR="005E4F99">
        <w:rPr>
          <w:rFonts w:hint="cs"/>
          <w:rtl/>
        </w:rPr>
        <w:t>ם</w:t>
      </w:r>
      <w:r w:rsidR="00D72A2A">
        <w:rPr>
          <w:rFonts w:hint="cs"/>
          <w:rtl/>
        </w:rPr>
        <w:t xml:space="preserve"> כספית, מבלי שבוצעה להם הערכת סיכונים המוכיחה את יתרונותיהם לבריאות האדם ולסביבה.</w:t>
      </w:r>
      <w:r w:rsidR="005E4F99">
        <w:rPr>
          <w:rFonts w:hint="cs"/>
          <w:rtl/>
        </w:rPr>
        <w:t xml:space="preserve"> הסדר זה מוצע בתקנה 4(ב).</w:t>
      </w:r>
    </w:p>
    <w:p w14:paraId="29288C64" w14:textId="77777777" w:rsidR="001F1A6A" w:rsidRDefault="001F1A6A" w:rsidP="006A60C5">
      <w:pPr>
        <w:pStyle w:val="Hesber1st"/>
        <w:tabs>
          <w:tab w:val="clear" w:pos="680"/>
        </w:tabs>
        <w:rPr>
          <w:rtl/>
        </w:rPr>
      </w:pPr>
      <w:r>
        <w:rPr>
          <w:rFonts w:hint="cs"/>
          <w:rtl/>
        </w:rPr>
        <w:t xml:space="preserve">הגדרת </w:t>
      </w:r>
      <w:r w:rsidRPr="001F1A6A">
        <w:rPr>
          <w:rFonts w:hint="cs"/>
          <w:b/>
          <w:bCs/>
          <w:rtl/>
        </w:rPr>
        <w:t>"הממונה"</w:t>
      </w:r>
      <w:r>
        <w:rPr>
          <w:rtl/>
        </w:rPr>
        <w:tab/>
      </w:r>
      <w:r w:rsidR="006A60C5">
        <w:rPr>
          <w:rFonts w:hint="cs"/>
          <w:rtl/>
        </w:rPr>
        <w:t>במסגרת יישום האמנה נדרשת מדינת ישראל לקבוע מנגנון לאישור של יבוא וייצוא של כספית, התואם את דרישות האמנה. מוצע כי האישורים במנגנון זה יינתנו על ידי מי שהוסמך כממונה לפי חוק החומרים המסוכנים, שהתקנות הותקנו מכוחו, שממילא מוסמך לתת היתרים לעיסוק בכספית לפי החוק. בנוסף, מוצע לאפשר לשר להסמיך ממונה לעניין תקנות אלה, ככל שהדבר יידרש לצורך מתן מענה מיטבי ברמה האירגונית.</w:t>
      </w:r>
    </w:p>
    <w:p w14:paraId="4ABD8B30" w14:textId="6E1617A6" w:rsidR="00FB30E2" w:rsidRDefault="00FB30E2" w:rsidP="00FB30E2">
      <w:pPr>
        <w:pStyle w:val="Hesber1st"/>
        <w:tabs>
          <w:tab w:val="clear" w:pos="680"/>
        </w:tabs>
        <w:rPr>
          <w:rtl/>
        </w:rPr>
      </w:pPr>
      <w:r>
        <w:rPr>
          <w:rFonts w:hint="cs"/>
          <w:rtl/>
        </w:rPr>
        <w:t xml:space="preserve">הגדרת </w:t>
      </w:r>
      <w:r w:rsidRPr="00B575AF">
        <w:rPr>
          <w:b/>
          <w:bCs/>
          <w:rtl/>
        </w:rPr>
        <w:t>"</w:t>
      </w:r>
      <w:r w:rsidRPr="00B575AF">
        <w:rPr>
          <w:rFonts w:hint="eastAsia"/>
          <w:b/>
          <w:bCs/>
          <w:rtl/>
        </w:rPr>
        <w:t>נספח</w:t>
      </w:r>
      <w:r w:rsidRPr="00B575AF">
        <w:rPr>
          <w:b/>
          <w:bCs/>
          <w:rtl/>
        </w:rPr>
        <w:t xml:space="preserve"> </w:t>
      </w:r>
      <w:r w:rsidRPr="00B575AF">
        <w:rPr>
          <w:rFonts w:hint="eastAsia"/>
          <w:b/>
          <w:bCs/>
          <w:rtl/>
        </w:rPr>
        <w:t>ב</w:t>
      </w:r>
      <w:r w:rsidRPr="00B575AF">
        <w:rPr>
          <w:b/>
          <w:bCs/>
          <w:rtl/>
        </w:rPr>
        <w:t xml:space="preserve">' </w:t>
      </w:r>
      <w:r w:rsidRPr="00B575AF">
        <w:rPr>
          <w:rFonts w:hint="eastAsia"/>
          <w:b/>
          <w:bCs/>
          <w:rtl/>
        </w:rPr>
        <w:t>לאמנה</w:t>
      </w:r>
      <w:r w:rsidRPr="00B575AF">
        <w:rPr>
          <w:b/>
          <w:bCs/>
          <w:rtl/>
        </w:rPr>
        <w:t>"</w:t>
      </w:r>
      <w:r>
        <w:rPr>
          <w:rFonts w:hint="cs"/>
          <w:rtl/>
        </w:rPr>
        <w:t xml:space="preserve"> </w:t>
      </w:r>
      <w:r>
        <w:rPr>
          <w:rtl/>
        </w:rPr>
        <w:tab/>
      </w:r>
      <w:r>
        <w:rPr>
          <w:rFonts w:hint="cs"/>
          <w:rtl/>
        </w:rPr>
        <w:t xml:space="preserve">נספח </w:t>
      </w:r>
      <w:r>
        <w:rPr>
          <w:rFonts w:hint="cs"/>
        </w:rPr>
        <w:t>B</w:t>
      </w:r>
      <w:r>
        <w:rPr>
          <w:rFonts w:hint="cs"/>
          <w:rtl/>
        </w:rPr>
        <w:t xml:space="preserve"> לאמנה, שעניינו ת</w:t>
      </w:r>
      <w:r w:rsidRPr="001523F4">
        <w:rPr>
          <w:rtl/>
        </w:rPr>
        <w:t>הליכי ייצור שבהם משתמשים בכספית או בתרכובות כספית</w:t>
      </w:r>
      <w:r w:rsidRPr="001523F4">
        <w:rPr>
          <w:rFonts w:hint="cs"/>
          <w:rtl/>
        </w:rPr>
        <w:t xml:space="preserve"> </w:t>
      </w:r>
      <w:r w:rsidRPr="00C921BE">
        <w:rPr>
          <w:rFonts w:hint="cs"/>
          <w:rtl/>
        </w:rPr>
        <w:t>(</w:t>
      </w:r>
      <w:r w:rsidRPr="001523F4">
        <w:t>Manufacturing processes in which mercury or mercury compounds are used</w:t>
      </w:r>
      <w:r w:rsidRPr="00B20A48">
        <w:rPr>
          <w:rFonts w:ascii="David" w:hAnsi="David" w:hint="cs"/>
          <w:sz w:val="24"/>
          <w:szCs w:val="24"/>
          <w:rtl/>
        </w:rPr>
        <w:t>)</w:t>
      </w:r>
      <w:r w:rsidRPr="00B20A48">
        <w:rPr>
          <w:rFonts w:ascii="David" w:hAnsi="David" w:hint="cs"/>
          <w:sz w:val="18"/>
          <w:szCs w:val="18"/>
          <w:rtl/>
        </w:rPr>
        <w:t xml:space="preserve"> </w:t>
      </w:r>
      <w:r>
        <w:rPr>
          <w:rFonts w:hint="cs"/>
          <w:rtl/>
        </w:rPr>
        <w:t xml:space="preserve">מפרט את סוגי תהליכי הייצור שיש לאסור עליהם בחלקו הראשון, ותהליכי הייצור שיש להגבילם בחלקו השני. יצוין כי </w:t>
      </w:r>
      <w:r w:rsidR="0045101D">
        <w:rPr>
          <w:rFonts w:hint="cs"/>
          <w:rtl/>
        </w:rPr>
        <w:t xml:space="preserve">בישראל </w:t>
      </w:r>
      <w:r>
        <w:rPr>
          <w:rFonts w:hint="cs"/>
          <w:rtl/>
        </w:rPr>
        <w:t xml:space="preserve">לא נעשה </w:t>
      </w:r>
      <w:r w:rsidR="0045101D">
        <w:rPr>
          <w:rFonts w:hint="cs"/>
          <w:rtl/>
        </w:rPr>
        <w:t xml:space="preserve">כיום </w:t>
      </w:r>
      <w:r>
        <w:rPr>
          <w:rFonts w:hint="cs"/>
          <w:rtl/>
        </w:rPr>
        <w:t xml:space="preserve">שימוש בתהליכי הייצור שיש להגבילם, המפורטים בחלק השני לנספח, </w:t>
      </w:r>
      <w:r w:rsidR="0045101D">
        <w:rPr>
          <w:rFonts w:hint="cs"/>
          <w:rtl/>
        </w:rPr>
        <w:t xml:space="preserve">ואשר </w:t>
      </w:r>
      <w:r>
        <w:rPr>
          <w:rFonts w:hint="cs"/>
          <w:rtl/>
        </w:rPr>
        <w:t>הקמתם נאסרה החל ממועד כניסת האמנה לתוקף. לכן, מוצע כי כלל תהליכי הייצור ייאסרו מלכתחילה, וההפניה היא לנספח כולו, ללא הבחנה בין חלקיו. מוצע כי</w:t>
      </w:r>
      <w:r w:rsidR="0045101D">
        <w:rPr>
          <w:rFonts w:hint="cs"/>
          <w:rtl/>
        </w:rPr>
        <w:t xml:space="preserve"> ההגדרה תפנה</w:t>
      </w:r>
      <w:r>
        <w:rPr>
          <w:rFonts w:hint="cs"/>
          <w:rtl/>
        </w:rPr>
        <w:t xml:space="preserve"> </w:t>
      </w:r>
      <w:r w:rsidR="0045101D">
        <w:rPr>
          <w:rFonts w:hint="cs"/>
          <w:rtl/>
        </w:rPr>
        <w:t>ל</w:t>
      </w:r>
      <w:r>
        <w:rPr>
          <w:rFonts w:hint="cs"/>
          <w:rtl/>
        </w:rPr>
        <w:t>נספח</w:t>
      </w:r>
      <w:r w:rsidR="0045101D">
        <w:rPr>
          <w:rFonts w:hint="cs"/>
          <w:rtl/>
        </w:rPr>
        <w:t>, כפי</w:t>
      </w:r>
      <w:r>
        <w:rPr>
          <w:rFonts w:hint="cs"/>
          <w:rtl/>
        </w:rPr>
        <w:t xml:space="preserve"> </w:t>
      </w:r>
      <w:r w:rsidR="0045101D">
        <w:rPr>
          <w:rFonts w:hint="cs"/>
          <w:rtl/>
        </w:rPr>
        <w:t>ש</w:t>
      </w:r>
      <w:r>
        <w:rPr>
          <w:rFonts w:hint="cs"/>
          <w:rtl/>
        </w:rPr>
        <w:t xml:space="preserve">יפורסם </w:t>
      </w:r>
      <w:r w:rsidR="0045101D">
        <w:rPr>
          <w:rFonts w:hint="cs"/>
          <w:rtl/>
        </w:rPr>
        <w:t>ב</w:t>
      </w:r>
      <w:r>
        <w:rPr>
          <w:rFonts w:hint="cs"/>
          <w:rtl/>
        </w:rPr>
        <w:t xml:space="preserve">אתר האינטרנט של המשרד להגנת הסביבה, לצורך הנגשתו לציבור. </w:t>
      </w:r>
      <w:r w:rsidRPr="00B575AF">
        <w:rPr>
          <w:rFonts w:hint="cs"/>
          <w:rtl/>
        </w:rPr>
        <w:t xml:space="preserve">כמו כן, ועידת הצדדים עשויה לעדכן נספח זה מעת לעת, </w:t>
      </w:r>
      <w:r w:rsidR="00B575AF" w:rsidRPr="00B575AF">
        <w:rPr>
          <w:rFonts w:hint="cs"/>
          <w:rtl/>
        </w:rPr>
        <w:t xml:space="preserve">וקיימת חשיבות לכך שהתקנות יאפשרו עמידה בדרישות האמנה גם אם יבוצע עדכון של הנספח. </w:t>
      </w:r>
      <w:r w:rsidR="00B575AF">
        <w:rPr>
          <w:rFonts w:hint="cs"/>
          <w:rtl/>
        </w:rPr>
        <w:t xml:space="preserve">למותר לציין כי כאשר נעשה עדכון של נספחי האמנה, העדכון כולל תקופת מעבר לצורך היערכות. גם לעניין זה מדובר בגורמים מפוקחים שעליהם להכיר ולהתעדכן בהוראות הנוגעות לשימוש שנעשה בחומר המסוכן. </w:t>
      </w:r>
      <w:r w:rsidR="00597C6E">
        <w:rPr>
          <w:rFonts w:hint="cs"/>
          <w:rtl/>
        </w:rPr>
        <w:t xml:space="preserve">להלן תהליכי הייצור המפורטים </w:t>
      </w:r>
      <w:r w:rsidR="00B575AF">
        <w:rPr>
          <w:rFonts w:hint="cs"/>
          <w:rtl/>
        </w:rPr>
        <w:t xml:space="preserve">כיום </w:t>
      </w:r>
      <w:r w:rsidR="00597C6E">
        <w:rPr>
          <w:rFonts w:hint="cs"/>
          <w:rtl/>
        </w:rPr>
        <w:t xml:space="preserve">בנספח </w:t>
      </w:r>
      <w:r w:rsidR="00597C6E">
        <w:rPr>
          <w:rFonts w:hint="cs"/>
        </w:rPr>
        <w:t>B</w:t>
      </w:r>
      <w:r w:rsidR="00597C6E">
        <w:rPr>
          <w:rFonts w:hint="cs"/>
          <w:rtl/>
        </w:rPr>
        <w:t xml:space="preserve"> לאמנה:</w:t>
      </w:r>
    </w:p>
    <w:p w14:paraId="40F10088" w14:textId="48B339F6" w:rsidR="00597C6E" w:rsidRDefault="00597C6E" w:rsidP="00B575AF">
      <w:pPr>
        <w:pStyle w:val="Hesber1st"/>
        <w:numPr>
          <w:ilvl w:val="0"/>
          <w:numId w:val="35"/>
        </w:numPr>
      </w:pPr>
      <w:r>
        <w:rPr>
          <w:rtl/>
        </w:rPr>
        <w:t>ייצור כלור-אלקלי;</w:t>
      </w:r>
    </w:p>
    <w:p w14:paraId="78AE3FBD" w14:textId="10DDE943" w:rsidR="00597C6E" w:rsidRDefault="00597C6E" w:rsidP="00B575AF">
      <w:pPr>
        <w:pStyle w:val="Hesber1st"/>
        <w:numPr>
          <w:ilvl w:val="0"/>
          <w:numId w:val="35"/>
        </w:numPr>
      </w:pPr>
      <w:r>
        <w:rPr>
          <w:rtl/>
        </w:rPr>
        <w:t>שימוש בכספית או תרכובות כספית כזרז בתהליך ייצור אצטלדהיד;</w:t>
      </w:r>
    </w:p>
    <w:p w14:paraId="4FD029CC" w14:textId="2C4A6211" w:rsidR="00597C6E" w:rsidRDefault="00597C6E" w:rsidP="00B575AF">
      <w:pPr>
        <w:pStyle w:val="Hesber1st"/>
        <w:numPr>
          <w:ilvl w:val="0"/>
          <w:numId w:val="35"/>
        </w:numPr>
      </w:pPr>
      <w:r>
        <w:rPr>
          <w:rtl/>
        </w:rPr>
        <w:t>ייצור מונומר של ויניל כלוריד;</w:t>
      </w:r>
    </w:p>
    <w:p w14:paraId="7FE065ED" w14:textId="3CA0FEE4" w:rsidR="00597C6E" w:rsidRDefault="00597C6E" w:rsidP="00B575AF">
      <w:pPr>
        <w:pStyle w:val="Hesber1st"/>
        <w:numPr>
          <w:ilvl w:val="0"/>
          <w:numId w:val="35"/>
        </w:numPr>
      </w:pPr>
      <w:r>
        <w:rPr>
          <w:rtl/>
        </w:rPr>
        <w:t>ייצור מתילאט או אתילאט של נתרן או אשלגן;</w:t>
      </w:r>
    </w:p>
    <w:p w14:paraId="4FABED27" w14:textId="075F4D12" w:rsidR="00597C6E" w:rsidRPr="00DB7B56" w:rsidRDefault="00597C6E" w:rsidP="00B575AF">
      <w:pPr>
        <w:pStyle w:val="Hesber1st"/>
        <w:numPr>
          <w:ilvl w:val="0"/>
          <w:numId w:val="35"/>
        </w:numPr>
      </w:pPr>
      <w:r>
        <w:rPr>
          <w:rtl/>
        </w:rPr>
        <w:t>שימוש בכספית כזרז בתהליך ייצור פוליאוריתן.</w:t>
      </w:r>
    </w:p>
    <w:p w14:paraId="139EA5E2" w14:textId="77777777" w:rsidR="00101839" w:rsidRDefault="0011202B" w:rsidP="002F2AFA">
      <w:pPr>
        <w:pStyle w:val="Hesber1st"/>
        <w:tabs>
          <w:tab w:val="clear" w:pos="680"/>
        </w:tabs>
        <w:rPr>
          <w:rtl/>
        </w:rPr>
      </w:pPr>
      <w:r w:rsidRPr="00DB7B56">
        <w:rPr>
          <w:rFonts w:hint="cs"/>
          <w:rtl/>
        </w:rPr>
        <w:t xml:space="preserve">הגדרת </w:t>
      </w:r>
      <w:r w:rsidR="00101839" w:rsidRPr="002F2AFA">
        <w:rPr>
          <w:b/>
          <w:bCs/>
          <w:rtl/>
        </w:rPr>
        <w:t>"תרכובת כספית"</w:t>
      </w:r>
      <w:r w:rsidR="00101839" w:rsidRPr="00DB7B56">
        <w:rPr>
          <w:rtl/>
        </w:rPr>
        <w:t xml:space="preserve"> </w:t>
      </w:r>
      <w:r w:rsidR="002F2AFA">
        <w:rPr>
          <w:rtl/>
        </w:rPr>
        <w:tab/>
      </w:r>
      <w:r w:rsidRPr="00DB7B56">
        <w:rPr>
          <w:rFonts w:hint="cs"/>
          <w:rtl/>
        </w:rPr>
        <w:t>מוצעת הגדרה הזהה להגדרה באמנה</w:t>
      </w:r>
      <w:r w:rsidR="002F2AFA">
        <w:rPr>
          <w:rFonts w:hint="cs"/>
          <w:rtl/>
        </w:rPr>
        <w:t>, המתארת מבחינה כימית מהי תרכובת כספית</w:t>
      </w:r>
      <w:r w:rsidRPr="00DB7B56">
        <w:rPr>
          <w:rFonts w:hint="cs"/>
          <w:rtl/>
        </w:rPr>
        <w:t>.</w:t>
      </w:r>
    </w:p>
    <w:p w14:paraId="727B0039" w14:textId="51EA4C7D" w:rsidR="000852E7" w:rsidRPr="000852E7" w:rsidRDefault="000852E7" w:rsidP="00D72A2A">
      <w:pPr>
        <w:pStyle w:val="Hesber1st"/>
        <w:tabs>
          <w:tab w:val="clear" w:pos="680"/>
        </w:tabs>
        <w:rPr>
          <w:rtl/>
        </w:rPr>
      </w:pPr>
      <w:r>
        <w:rPr>
          <w:rFonts w:hint="cs"/>
          <w:b/>
          <w:bCs/>
          <w:rtl/>
        </w:rPr>
        <w:t>תקנת משנה (ב)</w:t>
      </w:r>
      <w:r>
        <w:rPr>
          <w:b/>
          <w:bCs/>
          <w:rtl/>
        </w:rPr>
        <w:tab/>
      </w:r>
      <w:r w:rsidRPr="000852E7">
        <w:rPr>
          <w:rFonts w:hint="cs"/>
          <w:rtl/>
        </w:rPr>
        <w:t xml:space="preserve">בהגדרות "חלק 1 של נספח א' לאמנה" ו- "נספח ב' לאמנה", מוצע כי התקנות יפנו לנספחי האמנה כפי שעודכנו מעת לעת. על מנת להגביר את הוודאות והשקיפות של המידע, </w:t>
      </w:r>
      <w:r>
        <w:rPr>
          <w:rFonts w:hint="cs"/>
          <w:rtl/>
        </w:rPr>
        <w:t>מוצע כי הממונה יפרסם הודעה ברשומות על עדכון הנספחים.</w:t>
      </w:r>
    </w:p>
    <w:p w14:paraId="484E8E01" w14:textId="14253550" w:rsidR="002F2AFA" w:rsidRPr="002F2AFA" w:rsidRDefault="002F2AFA" w:rsidP="00D72A2A">
      <w:pPr>
        <w:pStyle w:val="Hesber1st"/>
        <w:tabs>
          <w:tab w:val="clear" w:pos="680"/>
        </w:tabs>
        <w:rPr>
          <w:b/>
          <w:bCs/>
          <w:rtl/>
        </w:rPr>
      </w:pPr>
      <w:r w:rsidRPr="002F2AFA">
        <w:rPr>
          <w:rFonts w:hint="cs"/>
          <w:b/>
          <w:bCs/>
          <w:rtl/>
        </w:rPr>
        <w:t>תקנת משנה (</w:t>
      </w:r>
      <w:r w:rsidR="000852E7">
        <w:rPr>
          <w:rFonts w:hint="cs"/>
          <w:b/>
          <w:bCs/>
          <w:rtl/>
        </w:rPr>
        <w:t>ג</w:t>
      </w:r>
      <w:r w:rsidRPr="002F2AFA">
        <w:rPr>
          <w:rFonts w:hint="cs"/>
          <w:b/>
          <w:bCs/>
          <w:rtl/>
        </w:rPr>
        <w:t>)</w:t>
      </w:r>
      <w:r w:rsidRPr="002F2AFA">
        <w:rPr>
          <w:b/>
          <w:bCs/>
          <w:rtl/>
        </w:rPr>
        <w:tab/>
      </w:r>
      <w:r w:rsidRPr="002F2AFA">
        <w:rPr>
          <w:rFonts w:hint="cs"/>
          <w:rtl/>
        </w:rPr>
        <w:t>מאחר</w:t>
      </w:r>
      <w:r>
        <w:rPr>
          <w:rFonts w:hint="cs"/>
          <w:b/>
          <w:bCs/>
          <w:rtl/>
        </w:rPr>
        <w:t xml:space="preserve"> </w:t>
      </w:r>
      <w:r w:rsidRPr="002F2AFA">
        <w:rPr>
          <w:rFonts w:hint="cs"/>
          <w:rtl/>
        </w:rPr>
        <w:t>שהתקנות המוצעות נועדו ליישם את הור</w:t>
      </w:r>
      <w:r>
        <w:rPr>
          <w:rFonts w:hint="cs"/>
          <w:rtl/>
        </w:rPr>
        <w:t xml:space="preserve">אות האמנה, באופן שיאפשר למדינת ישראל לעמוד במחויבותה הבינלאומית, קיימת חשיבות רבה לכך שההגדרות </w:t>
      </w:r>
      <w:r w:rsidRPr="002F2AFA">
        <w:rPr>
          <w:rFonts w:hint="cs"/>
          <w:rtl/>
        </w:rPr>
        <w:t>בתקנות יתפרשו בהתאם להוראות האמנה, לרבות החלטות מחייבות של ועידת הצדדים. תקנת משנה (ב) המוצעת נועדה לקבוע זאת במפורש. הוראה דומה קיימת בתקנות</w:t>
      </w:r>
      <w:r>
        <w:rPr>
          <w:rFonts w:hint="cs"/>
          <w:b/>
          <w:bCs/>
          <w:rtl/>
        </w:rPr>
        <w:t xml:space="preserve"> </w:t>
      </w:r>
      <w:r w:rsidR="00D72A2A" w:rsidRPr="00703495">
        <w:rPr>
          <w:rtl/>
        </w:rPr>
        <w:t>החומרים המסוכנים (יישום פרוטוקול מונטריאול בענין חומרים הפוגעים בשכבת האוזון), תשס"ד-2004</w:t>
      </w:r>
      <w:r w:rsidR="00D72A2A" w:rsidRPr="00846242">
        <w:rPr>
          <w:rStyle w:val="a7"/>
          <w:rtl/>
        </w:rPr>
        <w:footnoteReference w:id="5"/>
      </w:r>
      <w:r w:rsidRPr="00846242">
        <w:rPr>
          <w:rFonts w:hint="cs"/>
          <w:rtl/>
        </w:rPr>
        <w:t>.</w:t>
      </w:r>
      <w:r w:rsidRPr="002F2AFA">
        <w:rPr>
          <w:b/>
          <w:bCs/>
          <w:rtl/>
        </w:rPr>
        <w:tab/>
      </w:r>
    </w:p>
    <w:p w14:paraId="2784D7DF" w14:textId="77777777" w:rsidR="00703495" w:rsidRDefault="00703495" w:rsidP="00E27569">
      <w:pPr>
        <w:pStyle w:val="Hesber1st"/>
        <w:tabs>
          <w:tab w:val="clear" w:pos="680"/>
        </w:tabs>
        <w:rPr>
          <w:b/>
          <w:bCs/>
          <w:rtl/>
        </w:rPr>
      </w:pPr>
    </w:p>
    <w:p w14:paraId="133E6B72" w14:textId="25E86AB2" w:rsidR="0011202B" w:rsidRDefault="0011202B" w:rsidP="00E27569">
      <w:pPr>
        <w:pStyle w:val="Hesber1st"/>
        <w:tabs>
          <w:tab w:val="clear" w:pos="680"/>
        </w:tabs>
        <w:rPr>
          <w:rtl/>
        </w:rPr>
      </w:pPr>
      <w:r w:rsidRPr="002F2AFA">
        <w:rPr>
          <w:rFonts w:hint="cs"/>
          <w:b/>
          <w:bCs/>
          <w:rtl/>
        </w:rPr>
        <w:t>תקנה</w:t>
      </w:r>
      <w:r w:rsidRPr="00003C3D">
        <w:rPr>
          <w:rFonts w:hint="cs"/>
          <w:b/>
          <w:bCs/>
          <w:rtl/>
        </w:rPr>
        <w:t xml:space="preserve"> 3</w:t>
      </w:r>
      <w:r w:rsidRPr="00003C3D">
        <w:rPr>
          <w:rFonts w:hint="cs"/>
          <w:b/>
          <w:bCs/>
          <w:rtl/>
        </w:rPr>
        <w:tab/>
      </w:r>
      <w:r w:rsidR="00E27569">
        <w:rPr>
          <w:rFonts w:hint="cs"/>
          <w:rtl/>
        </w:rPr>
        <w:t>התקנה המוצעת</w:t>
      </w:r>
      <w:r w:rsidRPr="005336EE">
        <w:rPr>
          <w:rFonts w:hint="cs"/>
          <w:rtl/>
        </w:rPr>
        <w:t xml:space="preserve"> עוסקת ב</w:t>
      </w:r>
      <w:r w:rsidRPr="005336EE">
        <w:rPr>
          <w:rtl/>
        </w:rPr>
        <w:t>איסור כרייה והגבלת סחר בכספית</w:t>
      </w:r>
      <w:r w:rsidR="00C4364B" w:rsidRPr="005336EE">
        <w:rPr>
          <w:rFonts w:hint="cs"/>
          <w:rtl/>
        </w:rPr>
        <w:t>, קרי, מגבלות על יבוא וי</w:t>
      </w:r>
      <w:r w:rsidR="00703495">
        <w:rPr>
          <w:rFonts w:hint="cs"/>
          <w:rtl/>
        </w:rPr>
        <w:t>י</w:t>
      </w:r>
      <w:r w:rsidR="00C4364B" w:rsidRPr="005336EE">
        <w:rPr>
          <w:rFonts w:hint="cs"/>
          <w:rtl/>
        </w:rPr>
        <w:t>צוא של כספית ותרכובותיה כהגדרתם בתקנה מוצעת זאת.</w:t>
      </w:r>
      <w:r w:rsidR="006003C9" w:rsidRPr="005336EE">
        <w:rPr>
          <w:rFonts w:hint="cs"/>
          <w:rtl/>
        </w:rPr>
        <w:t xml:space="preserve"> </w:t>
      </w:r>
      <w:r w:rsidR="002B4E5D">
        <w:rPr>
          <w:rFonts w:hint="cs"/>
          <w:rtl/>
        </w:rPr>
        <w:t xml:space="preserve">הנחת המוצא </w:t>
      </w:r>
      <w:r w:rsidR="002B4E5D" w:rsidRPr="005336EE">
        <w:rPr>
          <w:rFonts w:hint="cs"/>
          <w:rtl/>
        </w:rPr>
        <w:t xml:space="preserve">של האמנה </w:t>
      </w:r>
      <w:r w:rsidR="002B4E5D">
        <w:rPr>
          <w:rFonts w:hint="cs"/>
          <w:rtl/>
        </w:rPr>
        <w:t xml:space="preserve">היא </w:t>
      </w:r>
      <w:r w:rsidR="006003C9" w:rsidRPr="005336EE">
        <w:rPr>
          <w:rFonts w:hint="cs"/>
          <w:rtl/>
        </w:rPr>
        <w:t>שמדינות חברות</w:t>
      </w:r>
      <w:r w:rsidR="002B4E5D">
        <w:rPr>
          <w:rFonts w:hint="cs"/>
          <w:rtl/>
        </w:rPr>
        <w:t xml:space="preserve"> מקיימות את</w:t>
      </w:r>
      <w:r w:rsidR="006003C9" w:rsidRPr="005336EE">
        <w:rPr>
          <w:rFonts w:hint="cs"/>
          <w:rtl/>
        </w:rPr>
        <w:t xml:space="preserve"> דרישות האמנה ולפיכך סחר </w:t>
      </w:r>
      <w:r w:rsidR="002B4E5D">
        <w:rPr>
          <w:rFonts w:hint="cs"/>
          <w:rtl/>
        </w:rPr>
        <w:t xml:space="preserve">ביניהן יהיה </w:t>
      </w:r>
      <w:r w:rsidR="006003C9" w:rsidRPr="005336EE">
        <w:rPr>
          <w:rFonts w:hint="cs"/>
          <w:rtl/>
        </w:rPr>
        <w:t>בטוח</w:t>
      </w:r>
      <w:r w:rsidR="002B4E5D">
        <w:rPr>
          <w:rFonts w:hint="cs"/>
          <w:rtl/>
        </w:rPr>
        <w:t xml:space="preserve"> לבריאות הציבור ולסביבה</w:t>
      </w:r>
      <w:r w:rsidR="006003C9" w:rsidRPr="005336EE">
        <w:rPr>
          <w:rFonts w:hint="cs"/>
          <w:rtl/>
        </w:rPr>
        <w:t>. לעומת זאת, מסחר בין מדינה חברה למדינה שאינה חברה</w:t>
      </w:r>
      <w:r w:rsidR="002B4E5D">
        <w:rPr>
          <w:rFonts w:hint="cs"/>
          <w:rtl/>
        </w:rPr>
        <w:t xml:space="preserve"> מחייב בדיקה פרטנית וייעשה רק</w:t>
      </w:r>
      <w:r w:rsidR="006003C9" w:rsidRPr="005336EE">
        <w:rPr>
          <w:rFonts w:hint="cs"/>
          <w:rtl/>
        </w:rPr>
        <w:t xml:space="preserve"> </w:t>
      </w:r>
      <w:r w:rsidR="002B4E5D">
        <w:rPr>
          <w:rFonts w:hint="cs"/>
          <w:rtl/>
        </w:rPr>
        <w:t>ב</w:t>
      </w:r>
      <w:r w:rsidR="006003C9" w:rsidRPr="005336EE">
        <w:rPr>
          <w:rFonts w:hint="cs"/>
          <w:rtl/>
        </w:rPr>
        <w:t xml:space="preserve">כפוף להתחייבות מצד המדינה שאינה חברה, </w:t>
      </w:r>
      <w:r w:rsidR="002B4E5D">
        <w:rPr>
          <w:rFonts w:hint="cs"/>
          <w:rtl/>
        </w:rPr>
        <w:t>כי היא מתחייבת לעמוד</w:t>
      </w:r>
      <w:r w:rsidR="006003C9" w:rsidRPr="005336EE">
        <w:rPr>
          <w:rFonts w:hint="cs"/>
          <w:rtl/>
        </w:rPr>
        <w:t xml:space="preserve"> בסטנדרטים הסביבתיים הנדרשים להגנה על בריאות הציבור והסביבה</w:t>
      </w:r>
      <w:r w:rsidR="002B4E5D">
        <w:rPr>
          <w:rFonts w:hint="cs"/>
          <w:rtl/>
        </w:rPr>
        <w:t xml:space="preserve"> מ</w:t>
      </w:r>
      <w:r w:rsidR="006003C9" w:rsidRPr="005336EE">
        <w:rPr>
          <w:rFonts w:hint="cs"/>
          <w:rtl/>
        </w:rPr>
        <w:t>כספית.</w:t>
      </w:r>
      <w:r w:rsidR="00166539">
        <w:rPr>
          <w:rFonts w:hint="cs"/>
          <w:rtl/>
        </w:rPr>
        <w:t xml:space="preserve"> </w:t>
      </w:r>
    </w:p>
    <w:p w14:paraId="5CAC9F59" w14:textId="442E514A" w:rsidR="0011202B" w:rsidRPr="009D1366" w:rsidRDefault="0011202B" w:rsidP="002C4E75">
      <w:pPr>
        <w:pStyle w:val="Hesber1st"/>
        <w:tabs>
          <w:tab w:val="clear" w:pos="680"/>
        </w:tabs>
        <w:rPr>
          <w:rtl/>
        </w:rPr>
      </w:pPr>
      <w:r w:rsidRPr="009D1366">
        <w:rPr>
          <w:rFonts w:hint="cs"/>
          <w:b/>
          <w:bCs/>
          <w:rtl/>
        </w:rPr>
        <w:t>תקנת משנה (א)</w:t>
      </w:r>
      <w:r w:rsidRPr="009D1366">
        <w:rPr>
          <w:rFonts w:hint="cs"/>
          <w:rtl/>
        </w:rPr>
        <w:t xml:space="preserve"> </w:t>
      </w:r>
      <w:r w:rsidR="009D1366" w:rsidRPr="009D1366">
        <w:rPr>
          <w:rtl/>
        </w:rPr>
        <w:tab/>
      </w:r>
      <w:r w:rsidR="00D53AD9">
        <w:rPr>
          <w:rFonts w:hint="cs"/>
          <w:rtl/>
        </w:rPr>
        <w:t>מוצעות</w:t>
      </w:r>
      <w:r w:rsidRPr="009D1366">
        <w:rPr>
          <w:rFonts w:hint="cs"/>
          <w:rtl/>
        </w:rPr>
        <w:t xml:space="preserve"> </w:t>
      </w:r>
      <w:r w:rsidR="00DF7FE8" w:rsidRPr="009D1366">
        <w:rPr>
          <w:rFonts w:hint="cs"/>
          <w:rtl/>
        </w:rPr>
        <w:t xml:space="preserve">הגדרות ייעודיות </w:t>
      </w:r>
      <w:r w:rsidR="00D53AD9">
        <w:rPr>
          <w:rFonts w:hint="cs"/>
          <w:rtl/>
        </w:rPr>
        <w:t xml:space="preserve">של כספית ותרכובות כספית הרלוונטיות </w:t>
      </w:r>
      <w:r w:rsidR="00DF7FE8" w:rsidRPr="009D1366">
        <w:rPr>
          <w:rFonts w:hint="cs"/>
          <w:rtl/>
        </w:rPr>
        <w:t xml:space="preserve">לתקנה 3, בהתאם להגדרות הייעודיות שנקבעו בהקשר זה באמנה. </w:t>
      </w:r>
      <w:r w:rsidR="00DF7FE8" w:rsidRPr="002C4E75">
        <w:rPr>
          <w:rFonts w:hint="cs"/>
          <w:rtl/>
        </w:rPr>
        <w:t>כמו</w:t>
      </w:r>
      <w:r w:rsidR="00DF7FE8" w:rsidRPr="009D1366">
        <w:rPr>
          <w:rFonts w:hint="cs"/>
          <w:rtl/>
        </w:rPr>
        <w:t xml:space="preserve"> כן, מוצעת הגדרת "הסכמה בכתב", הכוללת </w:t>
      </w:r>
      <w:r w:rsidR="00D53AD9">
        <w:rPr>
          <w:rFonts w:hint="cs"/>
          <w:rtl/>
        </w:rPr>
        <w:t xml:space="preserve">את שני ההסדרים החלופיים לאישור סחר, קרי, טופס הסכמה פרטני או </w:t>
      </w:r>
      <w:r w:rsidR="00DF7FE8" w:rsidRPr="009D1366">
        <w:rPr>
          <w:rtl/>
        </w:rPr>
        <w:t>הודעה כללית של מדינה בדבר הסכמה לייבוא, שנמסרה למזכירות האמנה</w:t>
      </w:r>
      <w:r w:rsidR="00C4364B" w:rsidRPr="009D1366">
        <w:rPr>
          <w:rFonts w:hint="cs"/>
          <w:rtl/>
        </w:rPr>
        <w:t>.</w:t>
      </w:r>
    </w:p>
    <w:p w14:paraId="6569F63E" w14:textId="3FF15328" w:rsidR="00C4364B" w:rsidRPr="009D1366" w:rsidRDefault="00C4364B" w:rsidP="009D1366">
      <w:pPr>
        <w:pStyle w:val="Hesber1st"/>
        <w:tabs>
          <w:tab w:val="clear" w:pos="680"/>
        </w:tabs>
        <w:rPr>
          <w:rtl/>
        </w:rPr>
      </w:pPr>
      <w:r w:rsidRPr="009D1366">
        <w:rPr>
          <w:rFonts w:hint="cs"/>
          <w:b/>
          <w:bCs/>
          <w:rtl/>
        </w:rPr>
        <w:t>תקנת משנה (ב)</w:t>
      </w:r>
      <w:r w:rsidRPr="009D1366">
        <w:rPr>
          <w:rFonts w:hint="cs"/>
          <w:rtl/>
        </w:rPr>
        <w:t xml:space="preserve"> </w:t>
      </w:r>
      <w:r w:rsidR="009D1366" w:rsidRPr="009D1366">
        <w:rPr>
          <w:rtl/>
        </w:rPr>
        <w:tab/>
      </w:r>
      <w:r w:rsidRPr="009D1366">
        <w:rPr>
          <w:rFonts w:hint="cs"/>
          <w:rtl/>
        </w:rPr>
        <w:t xml:space="preserve">האמנה קובעת איסור על כריית כספית, מיום כניסתה לתוקף. בהתאמה מוצע לקבוע איסור על כריית כספית. יובהר כי כיום לא קיימת כריית כספית בישראל ולא ידוע על פוטנציאל גיאולוגי של כריית כספית. </w:t>
      </w:r>
    </w:p>
    <w:p w14:paraId="2D188B5B" w14:textId="37F36A52" w:rsidR="00166539" w:rsidRDefault="00C4364B" w:rsidP="009D1366">
      <w:pPr>
        <w:pStyle w:val="Hesber1st"/>
        <w:tabs>
          <w:tab w:val="clear" w:pos="680"/>
        </w:tabs>
        <w:rPr>
          <w:rtl/>
        </w:rPr>
      </w:pPr>
      <w:r w:rsidRPr="009D1366">
        <w:rPr>
          <w:rFonts w:hint="cs"/>
          <w:b/>
          <w:bCs/>
          <w:rtl/>
        </w:rPr>
        <w:t>תקנת משנה (ג)</w:t>
      </w:r>
      <w:r w:rsidRPr="009D1366">
        <w:rPr>
          <w:rFonts w:hint="cs"/>
          <w:rtl/>
        </w:rPr>
        <w:t xml:space="preserve"> </w:t>
      </w:r>
      <w:r w:rsidR="009D1366">
        <w:rPr>
          <w:rtl/>
        </w:rPr>
        <w:tab/>
      </w:r>
      <w:r w:rsidR="008E3620">
        <w:rPr>
          <w:rFonts w:hint="cs"/>
          <w:rtl/>
        </w:rPr>
        <w:t xml:space="preserve">על מנת ליישם את </w:t>
      </w:r>
      <w:r w:rsidR="00166539" w:rsidRPr="009D1366">
        <w:rPr>
          <w:rFonts w:hint="cs"/>
          <w:rtl/>
        </w:rPr>
        <w:t xml:space="preserve">הוראות האמנה, מוצע </w:t>
      </w:r>
      <w:r w:rsidR="008E3620">
        <w:rPr>
          <w:rFonts w:hint="cs"/>
          <w:rtl/>
        </w:rPr>
        <w:t xml:space="preserve">להתנות את הייצוא </w:t>
      </w:r>
      <w:r w:rsidR="00166539" w:rsidRPr="009D1366">
        <w:rPr>
          <w:rFonts w:hint="cs"/>
          <w:rtl/>
        </w:rPr>
        <w:t xml:space="preserve">מישראל </w:t>
      </w:r>
      <w:r w:rsidR="00175710">
        <w:rPr>
          <w:rFonts w:hint="cs"/>
          <w:rtl/>
        </w:rPr>
        <w:t>בקבלת</w:t>
      </w:r>
      <w:r w:rsidR="00166539" w:rsidRPr="009D1366">
        <w:rPr>
          <w:rFonts w:hint="cs"/>
          <w:rtl/>
        </w:rPr>
        <w:t xml:space="preserve"> היתר מהמ</w:t>
      </w:r>
      <w:r w:rsidR="001070F1" w:rsidRPr="009D1366">
        <w:rPr>
          <w:rFonts w:hint="cs"/>
          <w:rtl/>
        </w:rPr>
        <w:t>מונה</w:t>
      </w:r>
      <w:r w:rsidR="00175710">
        <w:rPr>
          <w:rFonts w:hint="cs"/>
          <w:rtl/>
        </w:rPr>
        <w:t>. לעניין יצוא למדינה חברה</w:t>
      </w:r>
      <w:r w:rsidR="001070F1" w:rsidRPr="009D1366">
        <w:rPr>
          <w:rFonts w:hint="cs"/>
          <w:rtl/>
        </w:rPr>
        <w:t xml:space="preserve">, </w:t>
      </w:r>
      <w:r w:rsidR="00175710">
        <w:rPr>
          <w:rFonts w:hint="cs"/>
          <w:rtl/>
        </w:rPr>
        <w:t>ההיתר י</w:t>
      </w:r>
      <w:r w:rsidR="001070F1" w:rsidRPr="009D1366">
        <w:rPr>
          <w:rFonts w:hint="cs"/>
          <w:rtl/>
        </w:rPr>
        <w:t>ינתן ככל שהמדינה המייבאת</w:t>
      </w:r>
      <w:r w:rsidR="00166539" w:rsidRPr="009D1366">
        <w:rPr>
          <w:rFonts w:hint="cs"/>
          <w:rtl/>
        </w:rPr>
        <w:t xml:space="preserve"> </w:t>
      </w:r>
      <w:r w:rsidR="00166539" w:rsidRPr="009D1366">
        <w:rPr>
          <w:rtl/>
        </w:rPr>
        <w:t>נתנה הסכמתה בכתב</w:t>
      </w:r>
      <w:r w:rsidR="001070F1" w:rsidRPr="009D1366">
        <w:rPr>
          <w:rFonts w:hint="cs"/>
          <w:rtl/>
        </w:rPr>
        <w:t>,</w:t>
      </w:r>
      <w:r w:rsidR="00166539" w:rsidRPr="009D1366">
        <w:rPr>
          <w:rtl/>
        </w:rPr>
        <w:t xml:space="preserve"> </w:t>
      </w:r>
      <w:r w:rsidR="00166539" w:rsidRPr="009D1366">
        <w:rPr>
          <w:rFonts w:hint="cs"/>
          <w:rtl/>
        </w:rPr>
        <w:t>והיבוא הוא לצורך שימושים המותרים לפי האמנה או לצורך אחסון ביניים נאות.</w:t>
      </w:r>
      <w:r w:rsidR="001070F1" w:rsidRPr="009D1366">
        <w:rPr>
          <w:rFonts w:hint="cs"/>
          <w:rtl/>
        </w:rPr>
        <w:t xml:space="preserve"> לצורך יצוא למדינה שאינה חברה, נדרש בנוסף </w:t>
      </w:r>
      <w:r w:rsidR="00731AA2">
        <w:rPr>
          <w:rFonts w:hint="cs"/>
          <w:rtl/>
        </w:rPr>
        <w:t>להסכמה בכתב</w:t>
      </w:r>
      <w:r w:rsidR="001070F1" w:rsidRPr="009D1366">
        <w:rPr>
          <w:rFonts w:hint="cs"/>
          <w:rtl/>
        </w:rPr>
        <w:t xml:space="preserve">, גם אישור מטעם המדינה המייבאת כי </w:t>
      </w:r>
      <w:r w:rsidR="001070F1" w:rsidRPr="009D1366">
        <w:rPr>
          <w:rtl/>
        </w:rPr>
        <w:t xml:space="preserve">קיימים </w:t>
      </w:r>
      <w:r w:rsidR="001070F1" w:rsidRPr="009D1366">
        <w:rPr>
          <w:rFonts w:hint="cs"/>
          <w:rtl/>
        </w:rPr>
        <w:t>אצלה</w:t>
      </w:r>
      <w:r w:rsidR="001070F1" w:rsidRPr="009D1366">
        <w:rPr>
          <w:rtl/>
        </w:rPr>
        <w:t xml:space="preserve"> אמצעים מספיקים על מנת להבטיח הגנה על בריאות הציבור והסביבה ועמידה בדרישות האמנה לעניין אחסון ביניים נאות ולעניין טיפול בפסולת</w:t>
      </w:r>
      <w:r w:rsidR="00731AA2">
        <w:rPr>
          <w:rFonts w:hint="cs"/>
          <w:rtl/>
        </w:rPr>
        <w:t>, וכן כי הייצוא הוא לצורך שימוש מותר לפי האמנה או אחסון ביניים נאות</w:t>
      </w:r>
      <w:r w:rsidR="001070F1" w:rsidRPr="009D1366">
        <w:rPr>
          <w:rtl/>
        </w:rPr>
        <w:t>.</w:t>
      </w:r>
      <w:r w:rsidR="001070F1" w:rsidRPr="009D1366">
        <w:rPr>
          <w:rFonts w:hint="cs"/>
          <w:rtl/>
        </w:rPr>
        <w:t xml:space="preserve"> </w:t>
      </w:r>
    </w:p>
    <w:p w14:paraId="21A6EBF1" w14:textId="4F0C9EB5" w:rsidR="00293898" w:rsidRPr="009D1366" w:rsidRDefault="00293898" w:rsidP="009D1366">
      <w:pPr>
        <w:pStyle w:val="Hesber1st"/>
        <w:tabs>
          <w:tab w:val="clear" w:pos="680"/>
        </w:tabs>
        <w:rPr>
          <w:rtl/>
        </w:rPr>
      </w:pPr>
      <w:r w:rsidRPr="009D1366">
        <w:rPr>
          <w:rFonts w:hint="cs"/>
          <w:b/>
          <w:bCs/>
          <w:rtl/>
        </w:rPr>
        <w:t>תקנת משנה (ד)</w:t>
      </w:r>
      <w:r w:rsidRPr="009D1366">
        <w:rPr>
          <w:rFonts w:hint="cs"/>
          <w:rtl/>
        </w:rPr>
        <w:t xml:space="preserve"> </w:t>
      </w:r>
      <w:r w:rsidR="009D1366">
        <w:rPr>
          <w:rtl/>
        </w:rPr>
        <w:tab/>
      </w:r>
      <w:r w:rsidRPr="009D1366">
        <w:rPr>
          <w:rFonts w:hint="cs"/>
          <w:rtl/>
        </w:rPr>
        <w:t xml:space="preserve">יבוא לישראל ממדינה חברה, </w:t>
      </w:r>
      <w:r w:rsidR="00934945">
        <w:rPr>
          <w:rFonts w:hint="cs"/>
          <w:rtl/>
        </w:rPr>
        <w:t>כפוף למתן</w:t>
      </w:r>
      <w:r w:rsidRPr="009D1366">
        <w:rPr>
          <w:rFonts w:hint="cs"/>
          <w:rtl/>
        </w:rPr>
        <w:t xml:space="preserve"> הסכמה בכתב של מדינת ישראל כמדינת יבוא לפי הוראות האמנה, אך הדבר </w:t>
      </w:r>
      <w:r w:rsidR="00934945">
        <w:rPr>
          <w:rFonts w:hint="cs"/>
          <w:rtl/>
        </w:rPr>
        <w:t xml:space="preserve">לא </w:t>
      </w:r>
      <w:r w:rsidRPr="009D1366">
        <w:rPr>
          <w:rFonts w:hint="cs"/>
          <w:rtl/>
        </w:rPr>
        <w:t xml:space="preserve">נדרש בהוראות התקנות המוצעות שכן </w:t>
      </w:r>
      <w:r w:rsidR="00934945">
        <w:rPr>
          <w:rFonts w:hint="cs"/>
          <w:rtl/>
        </w:rPr>
        <w:t>המחויבות בעניין זה היא כלפי המדינה המייצאת לישראל, וההסכמה ניתנת על פי טופס הקבוע באמנה ממילא, על ידי איש קשר לאמנה במשרד</w:t>
      </w:r>
      <w:r w:rsidRPr="009D1366">
        <w:rPr>
          <w:rFonts w:hint="cs"/>
          <w:rtl/>
        </w:rPr>
        <w:t xml:space="preserve">. על כן, </w:t>
      </w:r>
      <w:r w:rsidR="00934945">
        <w:rPr>
          <w:rFonts w:hint="cs"/>
          <w:rtl/>
        </w:rPr>
        <w:t xml:space="preserve">בתקנת משנה (ד), </w:t>
      </w:r>
      <w:r w:rsidRPr="009D1366">
        <w:rPr>
          <w:rFonts w:hint="cs"/>
          <w:rtl/>
        </w:rPr>
        <w:t>מוצע כי לצורך יבוא ממדינה שאינה חברה, נדרש לקבל היתר מהממונה</w:t>
      </w:r>
      <w:r w:rsidR="00CC3C0B">
        <w:rPr>
          <w:rFonts w:hint="cs"/>
          <w:rtl/>
        </w:rPr>
        <w:t>. היתר זה י</w:t>
      </w:r>
      <w:r w:rsidRPr="009D1366">
        <w:rPr>
          <w:rFonts w:hint="cs"/>
          <w:rtl/>
        </w:rPr>
        <w:t xml:space="preserve">ינתן ככל שתתקבל תעודה </w:t>
      </w:r>
      <w:r w:rsidR="00CA3405" w:rsidRPr="009D1366">
        <w:rPr>
          <w:rFonts w:hint="cs"/>
          <w:rtl/>
        </w:rPr>
        <w:t>מטעם אותה מדינה</w:t>
      </w:r>
      <w:r w:rsidR="00CA3405">
        <w:rPr>
          <w:rFonts w:hint="cs"/>
          <w:rtl/>
        </w:rPr>
        <w:t>,</w:t>
      </w:r>
      <w:r w:rsidR="00CA3405" w:rsidRPr="009D1366">
        <w:rPr>
          <w:rFonts w:hint="cs"/>
          <w:rtl/>
        </w:rPr>
        <w:t xml:space="preserve"> </w:t>
      </w:r>
      <w:r w:rsidRPr="009D1366">
        <w:rPr>
          <w:rFonts w:hint="cs"/>
          <w:rtl/>
        </w:rPr>
        <w:t>המאשרת כי מקורה של הכספית אינו אסור לפי האמנה. כלומר, שמדובר בכספית שלא נכרתה אחרי מועד כניסתה לתוקף של האמנה, ולא מדובר בכספית שמקורה בהשבתת תהליכי ייצור כלור-אלקלי.</w:t>
      </w:r>
    </w:p>
    <w:p w14:paraId="1BB633C7" w14:textId="15D79945" w:rsidR="00293898" w:rsidRPr="009D1366" w:rsidRDefault="00293898" w:rsidP="009D1366">
      <w:pPr>
        <w:pStyle w:val="Hesber1st"/>
        <w:tabs>
          <w:tab w:val="clear" w:pos="680"/>
        </w:tabs>
        <w:rPr>
          <w:rtl/>
        </w:rPr>
      </w:pPr>
      <w:r w:rsidRPr="009D1366">
        <w:rPr>
          <w:rFonts w:hint="cs"/>
          <w:b/>
          <w:bCs/>
          <w:rtl/>
        </w:rPr>
        <w:t>תקנת משנה (ה)</w:t>
      </w:r>
      <w:r w:rsidRPr="009D1366">
        <w:rPr>
          <w:rFonts w:hint="cs"/>
          <w:rtl/>
        </w:rPr>
        <w:t xml:space="preserve"> </w:t>
      </w:r>
      <w:r w:rsidR="009D1366">
        <w:rPr>
          <w:rtl/>
        </w:rPr>
        <w:tab/>
      </w:r>
      <w:r w:rsidRPr="009D1366">
        <w:rPr>
          <w:rFonts w:hint="cs"/>
          <w:rtl/>
        </w:rPr>
        <w:t>בהתאם להוראות האמנה, מוצע לקבוע חריגים לת</w:t>
      </w:r>
      <w:r w:rsidR="00503B58">
        <w:rPr>
          <w:rFonts w:hint="cs"/>
          <w:rtl/>
        </w:rPr>
        <w:t>ח</w:t>
      </w:r>
      <w:r w:rsidRPr="009D1366">
        <w:rPr>
          <w:rFonts w:hint="cs"/>
          <w:rtl/>
        </w:rPr>
        <w:t>ולת תקנה 3</w:t>
      </w:r>
      <w:r w:rsidR="00503B58">
        <w:rPr>
          <w:rFonts w:hint="cs"/>
          <w:rtl/>
        </w:rPr>
        <w:t xml:space="preserve">, לפיהם הגבלות הסחר לא יחולו על מוצרים מכילים כספית שיש לגביהם הסדר נפרד בתקנה 4. כמו כן, ההגבלות לא יחולו על כמויות קטנות של כספית, </w:t>
      </w:r>
      <w:r w:rsidR="00EB2B87">
        <w:rPr>
          <w:rFonts w:hint="cs"/>
          <w:rtl/>
        </w:rPr>
        <w:t>בין שהן לצורך מחקר או כתקן למדידה ובין שהן כמויות שארתיות</w:t>
      </w:r>
      <w:r w:rsidRPr="009D1366">
        <w:rPr>
          <w:rFonts w:hint="cs"/>
          <w:rtl/>
        </w:rPr>
        <w:t>.</w:t>
      </w:r>
    </w:p>
    <w:p w14:paraId="37ED07C0" w14:textId="77777777" w:rsidR="003B52CD" w:rsidRPr="00166539" w:rsidRDefault="003B52CD" w:rsidP="00293898">
      <w:pPr>
        <w:pStyle w:val="Hesber1st"/>
        <w:outlineLvl w:val="0"/>
        <w:rPr>
          <w:sz w:val="24"/>
          <w:szCs w:val="24"/>
          <w:rtl/>
        </w:rPr>
      </w:pPr>
    </w:p>
    <w:p w14:paraId="1B4F1BE8" w14:textId="57E6C8D2" w:rsidR="009D1366" w:rsidRPr="009D1366" w:rsidRDefault="003B52CD" w:rsidP="001523F4">
      <w:pPr>
        <w:pStyle w:val="Hesber1st"/>
        <w:tabs>
          <w:tab w:val="clear" w:pos="680"/>
        </w:tabs>
        <w:rPr>
          <w:rtl/>
        </w:rPr>
      </w:pPr>
      <w:r w:rsidRPr="009D1366">
        <w:rPr>
          <w:rFonts w:hint="cs"/>
          <w:b/>
          <w:bCs/>
          <w:rtl/>
        </w:rPr>
        <w:t xml:space="preserve">תקנה </w:t>
      </w:r>
      <w:r w:rsidR="00942A6B" w:rsidRPr="009D1366">
        <w:rPr>
          <w:rFonts w:hint="cs"/>
          <w:b/>
          <w:bCs/>
          <w:rtl/>
        </w:rPr>
        <w:t>4</w:t>
      </w:r>
      <w:r w:rsidR="009D1366">
        <w:rPr>
          <w:rtl/>
        </w:rPr>
        <w:tab/>
      </w:r>
      <w:r w:rsidR="009D1366">
        <w:rPr>
          <w:rtl/>
        </w:rPr>
        <w:tab/>
      </w:r>
      <w:r w:rsidRPr="009D1366">
        <w:rPr>
          <w:rFonts w:hint="cs"/>
          <w:rtl/>
        </w:rPr>
        <w:t xml:space="preserve">תקנה </w:t>
      </w:r>
      <w:r w:rsidR="00942A6B" w:rsidRPr="009D1366">
        <w:rPr>
          <w:rFonts w:hint="cs"/>
          <w:rtl/>
        </w:rPr>
        <w:t>4</w:t>
      </w:r>
      <w:r w:rsidRPr="009D1366">
        <w:rPr>
          <w:rFonts w:hint="cs"/>
          <w:rtl/>
        </w:rPr>
        <w:t xml:space="preserve"> לטיוטת התקנות עוסקת </w:t>
      </w:r>
      <w:r w:rsidR="00942A6B" w:rsidRPr="009D1366">
        <w:rPr>
          <w:rFonts w:hint="cs"/>
          <w:rtl/>
        </w:rPr>
        <w:t>באיסור על ייצור וסחר של מוצרים המכילים כספית</w:t>
      </w:r>
      <w:r w:rsidR="002C4E75">
        <w:rPr>
          <w:rFonts w:hint="cs"/>
          <w:rtl/>
        </w:rPr>
        <w:t xml:space="preserve"> </w:t>
      </w:r>
      <w:r w:rsidR="001523F4">
        <w:rPr>
          <w:rFonts w:hint="cs"/>
          <w:rtl/>
        </w:rPr>
        <w:t xml:space="preserve">המפורטים </w:t>
      </w:r>
      <w:r w:rsidR="002C4E75">
        <w:rPr>
          <w:rFonts w:hint="cs"/>
          <w:rtl/>
        </w:rPr>
        <w:t>ב</w:t>
      </w:r>
      <w:r w:rsidR="001523F4">
        <w:rPr>
          <w:rFonts w:hint="cs"/>
          <w:rtl/>
        </w:rPr>
        <w:t>חלק 1 לנספח א' של האמנה</w:t>
      </w:r>
      <w:r w:rsidR="00942A6B" w:rsidRPr="009D1366">
        <w:rPr>
          <w:rFonts w:hint="cs"/>
          <w:rtl/>
        </w:rPr>
        <w:t>, באופן התואם את הוראות האמנה</w:t>
      </w:r>
      <w:r w:rsidR="00FC1A7A" w:rsidRPr="009D1366">
        <w:rPr>
          <w:rFonts w:hint="cs"/>
          <w:rtl/>
        </w:rPr>
        <w:t xml:space="preserve"> וכמפורט להלן</w:t>
      </w:r>
      <w:r w:rsidR="004366D0">
        <w:rPr>
          <w:rFonts w:hint="cs"/>
          <w:rtl/>
        </w:rPr>
        <w:t>.</w:t>
      </w:r>
    </w:p>
    <w:p w14:paraId="44EE4DE0" w14:textId="19997AC3" w:rsidR="00FC1A7A" w:rsidRPr="009D1366" w:rsidRDefault="00FC1A7A" w:rsidP="001523F4">
      <w:pPr>
        <w:pStyle w:val="Hesber1st"/>
        <w:tabs>
          <w:tab w:val="clear" w:pos="680"/>
        </w:tabs>
        <w:rPr>
          <w:rtl/>
        </w:rPr>
      </w:pPr>
      <w:r w:rsidRPr="009D1366">
        <w:rPr>
          <w:rFonts w:hint="cs"/>
          <w:b/>
          <w:bCs/>
          <w:rtl/>
        </w:rPr>
        <w:t>תקנת משנה (א)</w:t>
      </w:r>
      <w:r w:rsidRPr="009D1366">
        <w:rPr>
          <w:rFonts w:hint="cs"/>
          <w:rtl/>
        </w:rPr>
        <w:t xml:space="preserve"> </w:t>
      </w:r>
      <w:r w:rsidR="009D1366" w:rsidRPr="009D1366">
        <w:rPr>
          <w:rtl/>
        </w:rPr>
        <w:tab/>
      </w:r>
      <w:r w:rsidRPr="009D1366">
        <w:rPr>
          <w:rFonts w:hint="cs"/>
          <w:rtl/>
        </w:rPr>
        <w:t xml:space="preserve">מוצרים </w:t>
      </w:r>
      <w:r w:rsidRPr="002C4E75">
        <w:rPr>
          <w:rFonts w:hint="cs"/>
          <w:rtl/>
        </w:rPr>
        <w:t>המכילים</w:t>
      </w:r>
      <w:r w:rsidRPr="009D1366">
        <w:rPr>
          <w:rFonts w:hint="cs"/>
          <w:rtl/>
        </w:rPr>
        <w:t xml:space="preserve"> כספית</w:t>
      </w:r>
      <w:r w:rsidR="004366D0">
        <w:rPr>
          <w:rFonts w:hint="cs"/>
          <w:rtl/>
        </w:rPr>
        <w:t>,</w:t>
      </w:r>
      <w:r w:rsidRPr="009D1366">
        <w:rPr>
          <w:rFonts w:hint="cs"/>
          <w:rtl/>
        </w:rPr>
        <w:t xml:space="preserve"> </w:t>
      </w:r>
      <w:r w:rsidR="001523F4">
        <w:rPr>
          <w:rFonts w:hint="cs"/>
          <w:rtl/>
        </w:rPr>
        <w:t>ה</w:t>
      </w:r>
      <w:r w:rsidR="001523F4" w:rsidRPr="009D1366">
        <w:rPr>
          <w:rFonts w:hint="cs"/>
          <w:rtl/>
        </w:rPr>
        <w:t>מ</w:t>
      </w:r>
      <w:r w:rsidR="001523F4">
        <w:rPr>
          <w:rFonts w:hint="cs"/>
          <w:rtl/>
        </w:rPr>
        <w:t>פורטים</w:t>
      </w:r>
      <w:r w:rsidR="001523F4" w:rsidRPr="009D1366">
        <w:rPr>
          <w:rFonts w:hint="cs"/>
          <w:rtl/>
        </w:rPr>
        <w:t xml:space="preserve"> </w:t>
      </w:r>
      <w:r w:rsidRPr="009D1366">
        <w:rPr>
          <w:rFonts w:hint="cs"/>
          <w:rtl/>
        </w:rPr>
        <w:t>ב</w:t>
      </w:r>
      <w:r w:rsidR="001523F4">
        <w:rPr>
          <w:rFonts w:hint="cs"/>
          <w:rtl/>
        </w:rPr>
        <w:t>חלק 1 לנספח א' של האמנה</w:t>
      </w:r>
      <w:r w:rsidR="004366D0">
        <w:rPr>
          <w:rFonts w:hint="cs"/>
          <w:rtl/>
        </w:rPr>
        <w:t>, יהיו</w:t>
      </w:r>
      <w:r w:rsidR="002C4E75">
        <w:rPr>
          <w:rFonts w:hint="cs"/>
          <w:rtl/>
        </w:rPr>
        <w:t xml:space="preserve"> אסורים בייצור, ייצוא וייבוא.</w:t>
      </w:r>
      <w:r w:rsidRPr="009D1366">
        <w:rPr>
          <w:rFonts w:hint="cs"/>
          <w:rtl/>
        </w:rPr>
        <w:t xml:space="preserve"> </w:t>
      </w:r>
      <w:r w:rsidR="004366D0">
        <w:rPr>
          <w:rFonts w:hint="cs"/>
          <w:rtl/>
        </w:rPr>
        <w:t xml:space="preserve">כמו כן, חל איסור להתקין מוצרים אלה בתוך מוצרים אחרים. </w:t>
      </w:r>
      <w:r w:rsidRPr="009D1366">
        <w:rPr>
          <w:rFonts w:hint="cs"/>
          <w:rtl/>
        </w:rPr>
        <w:t xml:space="preserve">מדובר ברשימה סגורה של מוצרים או קבוצות מוצרים שנקבעו על ידי האמנה כאסורים. </w:t>
      </w:r>
    </w:p>
    <w:p w14:paraId="052E65DE" w14:textId="6EC4A1CE" w:rsidR="00FC1A7A" w:rsidRPr="009D1366" w:rsidRDefault="00FC1A7A" w:rsidP="002C4E75">
      <w:pPr>
        <w:pStyle w:val="Hesber1st"/>
        <w:tabs>
          <w:tab w:val="clear" w:pos="680"/>
        </w:tabs>
        <w:rPr>
          <w:rtl/>
        </w:rPr>
      </w:pPr>
      <w:r w:rsidRPr="009D1366">
        <w:rPr>
          <w:rFonts w:hint="cs"/>
          <w:b/>
          <w:bCs/>
          <w:rtl/>
        </w:rPr>
        <w:t>תקנת משנה (ב)</w:t>
      </w:r>
      <w:r w:rsidRPr="009D1366">
        <w:rPr>
          <w:rFonts w:hint="cs"/>
          <w:rtl/>
        </w:rPr>
        <w:t xml:space="preserve"> </w:t>
      </w:r>
      <w:r w:rsidR="009D1366">
        <w:rPr>
          <w:rtl/>
        </w:rPr>
        <w:tab/>
      </w:r>
      <w:r w:rsidRPr="009D1366">
        <w:rPr>
          <w:rFonts w:hint="cs"/>
          <w:rtl/>
        </w:rPr>
        <w:t xml:space="preserve">בהתאמה </w:t>
      </w:r>
      <w:r w:rsidRPr="002C4E75">
        <w:rPr>
          <w:rFonts w:hint="cs"/>
          <w:rtl/>
        </w:rPr>
        <w:t>לאמור</w:t>
      </w:r>
      <w:r w:rsidRPr="009D1366">
        <w:rPr>
          <w:rFonts w:hint="cs"/>
          <w:rtl/>
        </w:rPr>
        <w:t xml:space="preserve"> באמנה, מוצע להחריג מתחולת הסעיף שימושים מסוימים</w:t>
      </w:r>
      <w:r w:rsidR="002C4E75">
        <w:rPr>
          <w:rFonts w:hint="cs"/>
          <w:rtl/>
        </w:rPr>
        <w:t xml:space="preserve"> במוצרים מכילי כספית</w:t>
      </w:r>
      <w:r w:rsidR="004366D0">
        <w:rPr>
          <w:rFonts w:hint="cs"/>
          <w:rtl/>
        </w:rPr>
        <w:t xml:space="preserve"> שאין להם תחליף מתאים או שהם נחוצים על מנת להגן על אינטרסים מוגנים אחרים, כגון ביטחון המדינה וצורכי דת</w:t>
      </w:r>
      <w:r w:rsidRPr="009D1366">
        <w:rPr>
          <w:rFonts w:hint="cs"/>
          <w:rtl/>
        </w:rPr>
        <w:t>.</w:t>
      </w:r>
    </w:p>
    <w:p w14:paraId="6006A0CE" w14:textId="29A91C87" w:rsidR="00FC1A7A" w:rsidRPr="009D1366" w:rsidRDefault="00FC1A7A" w:rsidP="001523F4">
      <w:pPr>
        <w:pStyle w:val="Hesber1st"/>
        <w:tabs>
          <w:tab w:val="clear" w:pos="680"/>
        </w:tabs>
        <w:rPr>
          <w:rtl/>
        </w:rPr>
      </w:pPr>
      <w:r w:rsidRPr="009D1366">
        <w:rPr>
          <w:rFonts w:hint="cs"/>
          <w:b/>
          <w:bCs/>
          <w:rtl/>
        </w:rPr>
        <w:t>תקנת משנה (ג)</w:t>
      </w:r>
      <w:r w:rsidRPr="009D1366">
        <w:rPr>
          <w:rFonts w:hint="cs"/>
          <w:rtl/>
        </w:rPr>
        <w:t xml:space="preserve"> </w:t>
      </w:r>
      <w:r w:rsidR="009D1366">
        <w:rPr>
          <w:rtl/>
        </w:rPr>
        <w:tab/>
      </w:r>
      <w:r w:rsidRPr="009D1366">
        <w:rPr>
          <w:rFonts w:hint="cs"/>
          <w:rtl/>
        </w:rPr>
        <w:t xml:space="preserve">לפי הוראות האמנה, יש להגביל שימוש במוצרים חדשים המכילים כספית שאינם מוכרים כיום. בהתאמה, במסגרת </w:t>
      </w:r>
      <w:r w:rsidRPr="002C4E75">
        <w:rPr>
          <w:rFonts w:hint="cs"/>
          <w:rtl/>
        </w:rPr>
        <w:t>התקנות</w:t>
      </w:r>
      <w:r w:rsidRPr="009D1366">
        <w:rPr>
          <w:rFonts w:hint="cs"/>
          <w:rtl/>
        </w:rPr>
        <w:t xml:space="preserve"> המוצעות, שימוש במוצרים חדשים כאמור, שאינו מוכר במועד כניסתן לתוקף של התקנות המוצעות</w:t>
      </w:r>
      <w:r w:rsidR="005064FA">
        <w:rPr>
          <w:rFonts w:hint="cs"/>
          <w:rtl/>
        </w:rPr>
        <w:t>,</w:t>
      </w:r>
      <w:r w:rsidRPr="009D1366">
        <w:rPr>
          <w:rFonts w:hint="cs"/>
          <w:rtl/>
        </w:rPr>
        <w:t xml:space="preserve"> יתאפשר רק באישור הממונה. </w:t>
      </w:r>
      <w:r w:rsidR="005064FA">
        <w:rPr>
          <w:rFonts w:hint="cs"/>
          <w:rtl/>
        </w:rPr>
        <w:t xml:space="preserve">האישור מותנה בכך שתתבצע הערכת סיכונים ותועלות אשר תוכיח כי קיימים יתרונות לסביבה או לבריאות הציבור מהמוצר. </w:t>
      </w:r>
      <w:r w:rsidRPr="009D1366">
        <w:rPr>
          <w:rFonts w:hint="cs"/>
          <w:rtl/>
        </w:rPr>
        <w:t xml:space="preserve">ככל שבעתיד יתגלו מוצרים נוספים המכילים כספית, שיש לאסור את ייצורם והמסחר בהם, הם יתווספו לנספח באמנה, ובהתאמה </w:t>
      </w:r>
      <w:r w:rsidR="001523F4">
        <w:rPr>
          <w:rFonts w:hint="cs"/>
          <w:rtl/>
        </w:rPr>
        <w:t>יעודכן הנספח שיפורסם באתר האינטרנט של המשרד</w:t>
      </w:r>
      <w:r w:rsidR="000852E7">
        <w:rPr>
          <w:rFonts w:hint="cs"/>
          <w:rtl/>
        </w:rPr>
        <w:t>, והודעה על כך תפורסם ברשומות</w:t>
      </w:r>
      <w:r w:rsidR="001523F4">
        <w:rPr>
          <w:rFonts w:hint="cs"/>
          <w:rtl/>
        </w:rPr>
        <w:t>.</w:t>
      </w:r>
    </w:p>
    <w:p w14:paraId="7953F0A6" w14:textId="77777777" w:rsidR="00FC1A7A" w:rsidRDefault="00FC1A7A" w:rsidP="00FC1A7A">
      <w:pPr>
        <w:pStyle w:val="Hesber1st"/>
        <w:outlineLvl w:val="0"/>
        <w:rPr>
          <w:sz w:val="24"/>
          <w:szCs w:val="24"/>
          <w:rtl/>
        </w:rPr>
      </w:pPr>
    </w:p>
    <w:p w14:paraId="24440D23" w14:textId="6D8DEB39" w:rsidR="009D1366" w:rsidRDefault="0000761B" w:rsidP="00FB30E2">
      <w:pPr>
        <w:pStyle w:val="Hesber1st"/>
        <w:tabs>
          <w:tab w:val="clear" w:pos="680"/>
        </w:tabs>
        <w:rPr>
          <w:rtl/>
        </w:rPr>
      </w:pPr>
      <w:r w:rsidRPr="009D1366">
        <w:rPr>
          <w:rFonts w:hint="cs"/>
          <w:b/>
          <w:bCs/>
          <w:rtl/>
        </w:rPr>
        <w:t>תקנה 5</w:t>
      </w:r>
      <w:r w:rsidRPr="009D1366">
        <w:rPr>
          <w:rFonts w:hint="cs"/>
          <w:rtl/>
        </w:rPr>
        <w:t xml:space="preserve"> </w:t>
      </w:r>
      <w:r w:rsidR="009D1366">
        <w:rPr>
          <w:rtl/>
        </w:rPr>
        <w:tab/>
      </w:r>
      <w:r w:rsidRPr="009D1366">
        <w:rPr>
          <w:rFonts w:hint="cs"/>
          <w:rtl/>
        </w:rPr>
        <w:t xml:space="preserve">תקנה </w:t>
      </w:r>
      <w:r w:rsidR="009D1366">
        <w:rPr>
          <w:rFonts w:hint="cs"/>
          <w:rtl/>
        </w:rPr>
        <w:t>מוצעת זאת</w:t>
      </w:r>
      <w:r w:rsidRPr="009D1366">
        <w:rPr>
          <w:rFonts w:hint="cs"/>
          <w:rtl/>
        </w:rPr>
        <w:t xml:space="preserve"> עוסקת בהגבלת שימוש בכספית בתהליך ייצור חדש, מסוג התהליכים המנויים ב</w:t>
      </w:r>
      <w:r w:rsidR="009D1366">
        <w:rPr>
          <w:rFonts w:hint="cs"/>
          <w:rtl/>
        </w:rPr>
        <w:t xml:space="preserve"> נספח </w:t>
      </w:r>
      <w:r w:rsidR="00FB30E2">
        <w:rPr>
          <w:rFonts w:hint="cs"/>
          <w:rtl/>
        </w:rPr>
        <w:t xml:space="preserve">ב' </w:t>
      </w:r>
      <w:r w:rsidR="009D1366">
        <w:rPr>
          <w:rFonts w:hint="cs"/>
          <w:rtl/>
        </w:rPr>
        <w:t xml:space="preserve">של האמנה, הכולל שני חלקים. החלק הראשון כולל תהליכי ייצור שיש לאסור את השימוש בהם והחלק השני כולל תהליכי ייצור שיש להגבילם. האמנה אוסרת על הקמת מתקן חדש הכולל תהליך ייצור המנוי בנספח </w:t>
      </w:r>
      <w:r w:rsidR="00FB30E2">
        <w:rPr>
          <w:rFonts w:hint="cs"/>
          <w:rtl/>
        </w:rPr>
        <w:t xml:space="preserve">ב' </w:t>
      </w:r>
      <w:r w:rsidR="009D1366">
        <w:rPr>
          <w:rFonts w:hint="cs"/>
          <w:rtl/>
        </w:rPr>
        <w:t xml:space="preserve">בכללותו. מכיוון שבישראל לא נעשה שימוש כיום בתהליכי הייצור המנויים בחלק השני של נספח </w:t>
      </w:r>
      <w:r w:rsidR="00FB30E2">
        <w:rPr>
          <w:rFonts w:hint="cs"/>
          <w:rtl/>
        </w:rPr>
        <w:t xml:space="preserve">ב' </w:t>
      </w:r>
      <w:r w:rsidR="009D1366">
        <w:rPr>
          <w:rFonts w:hint="cs"/>
          <w:rtl/>
        </w:rPr>
        <w:t xml:space="preserve">לאמנה, מוצע לקבוע הסדר זהה לכלל </w:t>
      </w:r>
      <w:r w:rsidR="009703B1">
        <w:rPr>
          <w:rFonts w:hint="cs"/>
          <w:rtl/>
        </w:rPr>
        <w:t xml:space="preserve">חמשת </w:t>
      </w:r>
      <w:r w:rsidR="009D1366">
        <w:rPr>
          <w:rFonts w:hint="cs"/>
          <w:rtl/>
        </w:rPr>
        <w:t>תהליכי הייצור</w:t>
      </w:r>
      <w:r w:rsidR="002C4E75">
        <w:rPr>
          <w:rFonts w:hint="cs"/>
          <w:rtl/>
        </w:rPr>
        <w:t>, קרי, איסור גורף</w:t>
      </w:r>
      <w:r w:rsidR="009D1366">
        <w:rPr>
          <w:rFonts w:hint="cs"/>
          <w:rtl/>
        </w:rPr>
        <w:t>.</w:t>
      </w:r>
    </w:p>
    <w:p w14:paraId="61B8C2DE" w14:textId="40FF94DC" w:rsidR="002D7A61" w:rsidRPr="009D1366" w:rsidRDefault="009703B1" w:rsidP="00C33096">
      <w:pPr>
        <w:pStyle w:val="Hesber"/>
        <w:rPr>
          <w:rtl/>
        </w:rPr>
      </w:pPr>
      <w:r>
        <w:rPr>
          <w:rFonts w:hint="cs"/>
          <w:rtl/>
        </w:rPr>
        <w:t xml:space="preserve">יצוין כי לפי חוק אוויר נקי, ארבעה מבין תהליכי הייצור </w:t>
      </w:r>
      <w:r w:rsidR="00FB30E2">
        <w:rPr>
          <w:rFonts w:hint="cs"/>
          <w:rtl/>
        </w:rPr>
        <w:t>המפורטים בנספח ב' לאמנה</w:t>
      </w:r>
      <w:r>
        <w:rPr>
          <w:rFonts w:hint="cs"/>
          <w:rtl/>
        </w:rPr>
        <w:t xml:space="preserve"> הם פעילויות טעונות היתר פליטה לפי החוק האמור. </w:t>
      </w:r>
      <w:r w:rsidR="005F75E2" w:rsidRPr="009D1366">
        <w:rPr>
          <w:rFonts w:hint="cs"/>
          <w:rtl/>
        </w:rPr>
        <w:t>תקנה 14(א) ל</w:t>
      </w:r>
      <w:r w:rsidR="005F75E2" w:rsidRPr="009D1366">
        <w:rPr>
          <w:rtl/>
        </w:rPr>
        <w:t>תקנות אוויר נקי (היתרי פליטה), תש"ע-2010</w:t>
      </w:r>
      <w:r w:rsidR="005F75E2" w:rsidRPr="009D1366">
        <w:rPr>
          <w:rFonts w:hint="cs"/>
          <w:rtl/>
        </w:rPr>
        <w:t xml:space="preserve"> </w:t>
      </w:r>
      <w:r>
        <w:rPr>
          <w:rFonts w:hint="cs"/>
          <w:rtl/>
        </w:rPr>
        <w:t xml:space="preserve">(להלן </w:t>
      </w:r>
      <w:r>
        <w:rPr>
          <w:rtl/>
        </w:rPr>
        <w:t>–</w:t>
      </w:r>
      <w:r>
        <w:rPr>
          <w:rFonts w:hint="cs"/>
          <w:rtl/>
        </w:rPr>
        <w:t xml:space="preserve"> תקנות אוויר נקי) </w:t>
      </w:r>
      <w:r w:rsidR="005F75E2" w:rsidRPr="009D1366">
        <w:rPr>
          <w:rFonts w:hint="cs"/>
          <w:rtl/>
        </w:rPr>
        <w:t>קובעת כי מפעל המבקש לקבל היתר פליטה לגבי תהליך, יצטרך לעמוד בסטנדרט של טכניקה מיטבית זמינה, בהתאם</w:t>
      </w:r>
      <w:r w:rsidR="005F75E2" w:rsidRPr="009D1366">
        <w:rPr>
          <w:rtl/>
        </w:rPr>
        <w:t xml:space="preserve"> </w:t>
      </w:r>
      <w:r w:rsidR="005F75E2" w:rsidRPr="009D1366">
        <w:rPr>
          <w:rFonts w:hint="cs"/>
          <w:rtl/>
        </w:rPr>
        <w:t>ל</w:t>
      </w:r>
      <w:r w:rsidR="005F75E2" w:rsidRPr="009D1366">
        <w:rPr>
          <w:rtl/>
        </w:rPr>
        <w:t xml:space="preserve">מסמכי </w:t>
      </w:r>
      <w:r w:rsidR="005F75E2" w:rsidRPr="009D1366">
        <w:rPr>
          <w:rFonts w:hint="cs"/>
          <w:rtl/>
        </w:rPr>
        <w:t>ה</w:t>
      </w:r>
      <w:r w:rsidR="005F75E2" w:rsidRPr="009D1366">
        <w:rPr>
          <w:rtl/>
        </w:rPr>
        <w:t xml:space="preserve">ייחוס של הקהילייה האירופית שהוכנו מכוח </w:t>
      </w:r>
      <w:r w:rsidR="005F75E2" w:rsidRPr="009D1366">
        <w:rPr>
          <w:rFonts w:hint="cs"/>
          <w:rtl/>
        </w:rPr>
        <w:t>ה</w:t>
      </w:r>
      <w:r w:rsidR="005F75E2" w:rsidRPr="009D1366">
        <w:rPr>
          <w:rtl/>
        </w:rPr>
        <w:t xml:space="preserve">דירקטיבה </w:t>
      </w:r>
      <w:r w:rsidR="005F75E2" w:rsidRPr="009D1366">
        <w:t>EC/2008/1</w:t>
      </w:r>
      <w:r w:rsidR="005F75E2" w:rsidRPr="009D1366">
        <w:rPr>
          <w:rtl/>
        </w:rPr>
        <w:t xml:space="preserve"> של הקהילייה האירופית בדבר מניעה ובקרה של זיהום באופן אינטגרטיבי</w:t>
      </w:r>
      <w:r w:rsidR="005F75E2" w:rsidRPr="009D1366">
        <w:rPr>
          <w:rFonts w:hint="cs"/>
          <w:rtl/>
        </w:rPr>
        <w:t xml:space="preserve"> (להלן: "</w:t>
      </w:r>
      <w:r w:rsidR="005F75E2" w:rsidRPr="009D1366">
        <w:rPr>
          <w:rFonts w:hint="cs"/>
        </w:rPr>
        <w:t>BAT</w:t>
      </w:r>
      <w:r w:rsidR="005F75E2" w:rsidRPr="009D1366">
        <w:rPr>
          <w:rFonts w:hint="cs"/>
          <w:rtl/>
        </w:rPr>
        <w:t xml:space="preserve">"). </w:t>
      </w:r>
      <w:r w:rsidR="00C33096">
        <w:rPr>
          <w:rFonts w:hint="cs"/>
          <w:rtl/>
        </w:rPr>
        <w:t xml:space="preserve">4 </w:t>
      </w:r>
      <w:r w:rsidR="005F75E2" w:rsidRPr="009D1366">
        <w:rPr>
          <w:rFonts w:hint="cs"/>
          <w:rtl/>
        </w:rPr>
        <w:t>תהליכי הייצור המ</w:t>
      </w:r>
      <w:r w:rsidR="00C33096">
        <w:rPr>
          <w:rFonts w:hint="cs"/>
          <w:rtl/>
        </w:rPr>
        <w:t xml:space="preserve">פורטים בנספח ב' של האמנה- </w:t>
      </w:r>
      <w:r w:rsidR="00C33096">
        <w:rPr>
          <w:rtl/>
        </w:rPr>
        <w:t>ייצור כלור-אלקלי;</w:t>
      </w:r>
      <w:r w:rsidR="00C33096">
        <w:rPr>
          <w:rFonts w:hint="cs"/>
          <w:rtl/>
        </w:rPr>
        <w:t xml:space="preserve"> </w:t>
      </w:r>
      <w:r w:rsidR="00C33096">
        <w:rPr>
          <w:rtl/>
        </w:rPr>
        <w:t>שימוש בכספית או תרכובות כספית כזרז בתהליך ייצור אצטלדהיד;</w:t>
      </w:r>
      <w:r w:rsidR="00C33096">
        <w:rPr>
          <w:rFonts w:hint="cs"/>
          <w:rtl/>
        </w:rPr>
        <w:t xml:space="preserve"> </w:t>
      </w:r>
      <w:r w:rsidR="00C33096">
        <w:rPr>
          <w:rtl/>
        </w:rPr>
        <w:t>ייצור מונומר של ויניל כלוריד;</w:t>
      </w:r>
      <w:r w:rsidR="00C33096">
        <w:rPr>
          <w:rFonts w:hint="cs"/>
          <w:rtl/>
        </w:rPr>
        <w:t xml:space="preserve"> </w:t>
      </w:r>
      <w:r w:rsidR="00C33096">
        <w:rPr>
          <w:rtl/>
        </w:rPr>
        <w:t>ייצור מתילאט או אתילאט של נתרן או אשלגן</w:t>
      </w:r>
      <w:r w:rsidR="00C33096">
        <w:rPr>
          <w:rFonts w:hint="cs"/>
          <w:rtl/>
        </w:rPr>
        <w:t>-</w:t>
      </w:r>
      <w:r w:rsidR="005F75E2" w:rsidRPr="009D1366">
        <w:rPr>
          <w:rFonts w:hint="cs"/>
          <w:rtl/>
        </w:rPr>
        <w:t xml:space="preserve"> אינם </w:t>
      </w:r>
      <w:r>
        <w:rPr>
          <w:rFonts w:hint="cs"/>
          <w:rtl/>
        </w:rPr>
        <w:t>עומדים בדרישות</w:t>
      </w:r>
      <w:r w:rsidR="005F75E2" w:rsidRPr="009D1366">
        <w:rPr>
          <w:rFonts w:hint="cs"/>
          <w:rtl/>
        </w:rPr>
        <w:t xml:space="preserve"> </w:t>
      </w:r>
      <w:r w:rsidR="005F75E2" w:rsidRPr="009D1366">
        <w:rPr>
          <w:rFonts w:hint="cs"/>
        </w:rPr>
        <w:t>BAT</w:t>
      </w:r>
      <w:r w:rsidR="005F75E2" w:rsidRPr="009D1366">
        <w:rPr>
          <w:rFonts w:hint="cs"/>
          <w:rtl/>
        </w:rPr>
        <w:t xml:space="preserve">, ועל כן </w:t>
      </w:r>
      <w:r>
        <w:rPr>
          <w:rFonts w:hint="cs"/>
          <w:rtl/>
        </w:rPr>
        <w:t xml:space="preserve">ממילא אין לאשר תהליכים אלה, ולעניין תהליך קיים </w:t>
      </w:r>
      <w:r>
        <w:rPr>
          <w:rtl/>
        </w:rPr>
        <w:t>–</w:t>
      </w:r>
      <w:r>
        <w:rPr>
          <w:rFonts w:hint="cs"/>
          <w:rtl/>
        </w:rPr>
        <w:t xml:space="preserve"> יש להפסיק את פעילותו</w:t>
      </w:r>
      <w:r w:rsidR="005F75E2" w:rsidRPr="009D1366">
        <w:rPr>
          <w:rFonts w:hint="cs"/>
          <w:rtl/>
        </w:rPr>
        <w:t xml:space="preserve">. </w:t>
      </w:r>
      <w:r w:rsidR="003E207A" w:rsidRPr="009D1366">
        <w:rPr>
          <w:rFonts w:hint="cs"/>
          <w:rtl/>
        </w:rPr>
        <w:t xml:space="preserve">לעניין </w:t>
      </w:r>
      <w:r w:rsidR="00DB7B56" w:rsidRPr="009D1366">
        <w:rPr>
          <w:rFonts w:hint="cs"/>
          <w:rtl/>
        </w:rPr>
        <w:t>תהליך</w:t>
      </w:r>
      <w:r w:rsidR="00C33096">
        <w:rPr>
          <w:rFonts w:hint="cs"/>
          <w:rtl/>
        </w:rPr>
        <w:t xml:space="preserve"> של</w:t>
      </w:r>
      <w:r w:rsidR="00DB7B56" w:rsidRPr="009D1366">
        <w:rPr>
          <w:rFonts w:hint="cs"/>
          <w:rtl/>
        </w:rPr>
        <w:t xml:space="preserve"> </w:t>
      </w:r>
      <w:r w:rsidR="00C33096">
        <w:rPr>
          <w:rtl/>
        </w:rPr>
        <w:t>שימוש בכספית כזרז בתהליך ייצור פוליאוריתן</w:t>
      </w:r>
      <w:r w:rsidR="00C33096">
        <w:rPr>
          <w:rFonts w:hint="cs"/>
          <w:rtl/>
        </w:rPr>
        <w:t>, המפורט בנספח ב' לאמנה</w:t>
      </w:r>
      <w:r w:rsidR="003E207A" w:rsidRPr="009D1366">
        <w:rPr>
          <w:rFonts w:hint="cs"/>
          <w:rtl/>
        </w:rPr>
        <w:t>, קיימות חלופות נטולות כספית לתהליך ייצור זה</w:t>
      </w:r>
      <w:r>
        <w:rPr>
          <w:rFonts w:hint="cs"/>
          <w:rtl/>
        </w:rPr>
        <w:t>. תהליך כזה אינו קיים בארץ כיום, ועל כן אין מניעה לאסור מלכתחילה תהליך חדש כזה</w:t>
      </w:r>
      <w:r w:rsidR="003E207A" w:rsidRPr="009D1366">
        <w:rPr>
          <w:rFonts w:hint="cs"/>
          <w:rtl/>
        </w:rPr>
        <w:t>.</w:t>
      </w:r>
    </w:p>
    <w:p w14:paraId="08189F9C" w14:textId="6BD2B65F" w:rsidR="00A52C4B" w:rsidRDefault="003E207A" w:rsidP="00C33096">
      <w:pPr>
        <w:pStyle w:val="Hesber"/>
        <w:rPr>
          <w:rtl/>
        </w:rPr>
      </w:pPr>
      <w:r w:rsidRPr="009D1366">
        <w:rPr>
          <w:rFonts w:hint="cs"/>
          <w:rtl/>
        </w:rPr>
        <w:t xml:space="preserve">בישראל, כיום, נעשה שימוש </w:t>
      </w:r>
      <w:r w:rsidR="009703B1">
        <w:rPr>
          <w:rFonts w:hint="cs"/>
          <w:rtl/>
        </w:rPr>
        <w:t xml:space="preserve">בכספית רק במפעל אחד, </w:t>
      </w:r>
      <w:r w:rsidRPr="009D1366">
        <w:rPr>
          <w:rFonts w:hint="cs"/>
          <w:rtl/>
        </w:rPr>
        <w:t>בתהליך</w:t>
      </w:r>
      <w:r w:rsidR="005F75E2" w:rsidRPr="009D1366">
        <w:rPr>
          <w:rFonts w:hint="cs"/>
          <w:rtl/>
        </w:rPr>
        <w:t xml:space="preserve"> ייצור </w:t>
      </w:r>
      <w:r w:rsidR="00C33096">
        <w:rPr>
          <w:rFonts w:hint="cs"/>
          <w:rtl/>
        </w:rPr>
        <w:t>כלור-אלקלי</w:t>
      </w:r>
      <w:r w:rsidR="009703B1">
        <w:rPr>
          <w:rFonts w:hint="cs"/>
          <w:rtl/>
        </w:rPr>
        <w:t>.</w:t>
      </w:r>
      <w:r w:rsidRPr="009D1366">
        <w:rPr>
          <w:rFonts w:hint="cs"/>
          <w:rtl/>
        </w:rPr>
        <w:t xml:space="preserve"> לפי תנאי היתר הפליטה של</w:t>
      </w:r>
      <w:r w:rsidR="009703B1">
        <w:rPr>
          <w:rFonts w:hint="cs"/>
          <w:rtl/>
        </w:rPr>
        <w:t xml:space="preserve"> המפעל</w:t>
      </w:r>
      <w:r w:rsidRPr="009D1366">
        <w:rPr>
          <w:rFonts w:hint="cs"/>
          <w:rtl/>
        </w:rPr>
        <w:t>, הוא נדרש להשבית את תהליך הייצור עד ליום 1 בינואר 2023.</w:t>
      </w:r>
    </w:p>
    <w:p w14:paraId="33AFD8CC" w14:textId="77777777" w:rsidR="002C4E75" w:rsidRPr="009D1366" w:rsidRDefault="002C4E75" w:rsidP="009D1366">
      <w:pPr>
        <w:pStyle w:val="Hesber"/>
        <w:rPr>
          <w:rtl/>
        </w:rPr>
      </w:pPr>
    </w:p>
    <w:p w14:paraId="7C1CDBA1" w14:textId="7CB46FAB" w:rsidR="00DB7B56" w:rsidRDefault="00DB7B56" w:rsidP="00613895">
      <w:pPr>
        <w:pStyle w:val="Hesber1st"/>
        <w:tabs>
          <w:tab w:val="clear" w:pos="680"/>
        </w:tabs>
        <w:rPr>
          <w:rtl/>
        </w:rPr>
      </w:pPr>
      <w:r w:rsidRPr="002C4E75">
        <w:rPr>
          <w:rFonts w:hint="cs"/>
          <w:b/>
          <w:bCs/>
          <w:rtl/>
        </w:rPr>
        <w:t>תקנה 6</w:t>
      </w:r>
      <w:r w:rsidRPr="002C4E75">
        <w:rPr>
          <w:rFonts w:hint="cs"/>
          <w:rtl/>
        </w:rPr>
        <w:t xml:space="preserve"> </w:t>
      </w:r>
      <w:r w:rsidR="002C4E75">
        <w:rPr>
          <w:rtl/>
        </w:rPr>
        <w:tab/>
      </w:r>
      <w:r w:rsidRPr="002C4E75">
        <w:rPr>
          <w:rFonts w:hint="cs"/>
          <w:rtl/>
        </w:rPr>
        <w:t xml:space="preserve">מוצע </w:t>
      </w:r>
      <w:r w:rsidR="00613895">
        <w:rPr>
          <w:rFonts w:hint="cs"/>
          <w:rtl/>
        </w:rPr>
        <w:t>לקבוע כי הפרת</w:t>
      </w:r>
      <w:r w:rsidRPr="002C4E75">
        <w:rPr>
          <w:rFonts w:hint="cs"/>
          <w:rtl/>
        </w:rPr>
        <w:t xml:space="preserve"> הוראה מהוראות תקנות אלה</w:t>
      </w:r>
      <w:r w:rsidR="00613895">
        <w:rPr>
          <w:rFonts w:hint="cs"/>
          <w:rtl/>
        </w:rPr>
        <w:t xml:space="preserve"> מהווה עבירה פלילית, על מנת לאפשר את אכיפתן</w:t>
      </w:r>
      <w:r w:rsidRPr="002C4E75">
        <w:rPr>
          <w:rFonts w:hint="cs"/>
          <w:rtl/>
        </w:rPr>
        <w:t>.</w:t>
      </w:r>
      <w:r w:rsidR="00613895">
        <w:rPr>
          <w:rFonts w:hint="cs"/>
          <w:rtl/>
        </w:rPr>
        <w:t xml:space="preserve"> לפי סעיף 2(א) לחוק העונשין, התשל"ז-1977 (להלן </w:t>
      </w:r>
      <w:r w:rsidR="00613895">
        <w:rPr>
          <w:rtl/>
        </w:rPr>
        <w:t>–</w:t>
      </w:r>
      <w:r w:rsidR="00613895">
        <w:rPr>
          <w:rFonts w:hint="cs"/>
          <w:rtl/>
        </w:rPr>
        <w:t xml:space="preserve"> "חוק העונשין") - "</w:t>
      </w:r>
      <w:r w:rsidR="00613895" w:rsidRPr="00613895">
        <w:rPr>
          <w:rtl/>
        </w:rPr>
        <w:t>הסמכות להתקין תקנות לביצוע חוק, כוללת אף את הסמכות לקבוע עבירות על התקנות ועונשים על עשייתן; ואולם, עונש מאסר שנקבע בתקנה, תקופתו לא תעלה על ששה חודשים, ואם נקבע עונש קנס - לא יעלה שיעורו על הקנס שניתן להטיל בשל עבירה שעונשה הוא קנס שלא נקבע לו סכום</w:t>
      </w:r>
      <w:r w:rsidR="00613895">
        <w:rPr>
          <w:rFonts w:hint="cs"/>
          <w:rtl/>
        </w:rPr>
        <w:t xml:space="preserve">." שיעור הקנס לעבירה שלא נקבע לו סכום קבוע בסעיף 61(א)(1) לחוק העונשין והוא עומד כיום על </w:t>
      </w:r>
      <w:r w:rsidR="00613895" w:rsidRPr="00613895">
        <w:rPr>
          <w:rtl/>
        </w:rPr>
        <w:t>14,400</w:t>
      </w:r>
      <w:r w:rsidR="00613895">
        <w:rPr>
          <w:rFonts w:hint="cs"/>
          <w:rtl/>
        </w:rPr>
        <w:t xml:space="preserve"> ש"ח. עוד מוצע לקבוע כי עבירות אלה יהיו מסוג של אחריות קפידה, בדומה לעבירות הקבועות בחוק החומרים המסוכנים.</w:t>
      </w:r>
    </w:p>
    <w:p w14:paraId="3FB5A263" w14:textId="5DB0498B" w:rsidR="00613895" w:rsidRPr="00613895" w:rsidRDefault="00613895" w:rsidP="00613895">
      <w:pPr>
        <w:pStyle w:val="Hesber"/>
        <w:rPr>
          <w:rtl/>
        </w:rPr>
      </w:pPr>
      <w:r>
        <w:rPr>
          <w:rFonts w:hint="cs"/>
          <w:rtl/>
        </w:rPr>
        <w:t>מוצע לקבוע שלוש עבירות לפי הוראות התקנות, לעניין איסור כריית כספית ולעניין סחר בכספית ללא היתר או בניגוד לתנאיו, וכן עבירה של התקנת מוצר מכיל כספית במוצר אחר. יצוין כי שימוש בכספית בתהליך ייצור טעון ממילא היתר פליטה או היתר רעלים, ועל כן ההסדר העונשי שיחול במקרה שייעשה שימוש בתהליך אסור יהיה בגין הפרת החובה לפעול בהיתר מכוח החוקים האמורים.</w:t>
      </w:r>
    </w:p>
    <w:p w14:paraId="7A22A14D" w14:textId="77777777" w:rsidR="002C4E75" w:rsidRPr="002C4E75" w:rsidRDefault="002C4E75" w:rsidP="002C4E75">
      <w:pPr>
        <w:pStyle w:val="Hesber1st"/>
        <w:tabs>
          <w:tab w:val="clear" w:pos="680"/>
        </w:tabs>
        <w:rPr>
          <w:rtl/>
        </w:rPr>
      </w:pPr>
    </w:p>
    <w:p w14:paraId="1D9303E1" w14:textId="6A8A3CC5" w:rsidR="00DB7B56" w:rsidRDefault="00DB7B56" w:rsidP="00C33096">
      <w:pPr>
        <w:pStyle w:val="Hesber1st"/>
        <w:tabs>
          <w:tab w:val="clear" w:pos="680"/>
        </w:tabs>
        <w:rPr>
          <w:rtl/>
        </w:rPr>
      </w:pPr>
      <w:r w:rsidRPr="00003C3D">
        <w:rPr>
          <w:rFonts w:hint="cs"/>
          <w:b/>
          <w:bCs/>
          <w:rtl/>
        </w:rPr>
        <w:t>תקנ</w:t>
      </w:r>
      <w:r>
        <w:rPr>
          <w:rFonts w:hint="cs"/>
          <w:b/>
          <w:bCs/>
          <w:rtl/>
        </w:rPr>
        <w:t xml:space="preserve">ה 7 </w:t>
      </w:r>
      <w:r w:rsidR="002C4E75">
        <w:rPr>
          <w:rtl/>
        </w:rPr>
        <w:tab/>
      </w:r>
      <w:r w:rsidR="0097359E">
        <w:rPr>
          <w:rFonts w:hint="cs"/>
          <w:rtl/>
        </w:rPr>
        <w:t>האמנה קובעת כי השבתת השימוש בתהליכי ייצור כלור</w:t>
      </w:r>
      <w:r w:rsidR="00613895">
        <w:rPr>
          <w:rFonts w:hint="cs"/>
          <w:rtl/>
        </w:rPr>
        <w:t>-</w:t>
      </w:r>
      <w:r w:rsidR="0097359E">
        <w:rPr>
          <w:rFonts w:hint="cs"/>
          <w:rtl/>
        </w:rPr>
        <w:t xml:space="preserve">אלקלי, </w:t>
      </w:r>
      <w:r w:rsidR="00C33096">
        <w:rPr>
          <w:rFonts w:hint="cs"/>
          <w:rtl/>
        </w:rPr>
        <w:t>המפורט בנספח ב' לאמנה</w:t>
      </w:r>
      <w:r w:rsidR="0097359E">
        <w:rPr>
          <w:rFonts w:hint="cs"/>
          <w:rtl/>
        </w:rPr>
        <w:t xml:space="preserve">, יתבצע </w:t>
      </w:r>
      <w:r w:rsidR="00555B35">
        <w:rPr>
          <w:rFonts w:hint="cs"/>
          <w:rtl/>
        </w:rPr>
        <w:t>ב</w:t>
      </w:r>
      <w:r w:rsidR="0097359E">
        <w:rPr>
          <w:rFonts w:hint="cs"/>
          <w:rtl/>
        </w:rPr>
        <w:t xml:space="preserve">שנת 2025. </w:t>
      </w:r>
      <w:r>
        <w:rPr>
          <w:rFonts w:hint="cs"/>
          <w:rtl/>
        </w:rPr>
        <w:t xml:space="preserve">לאור העובדה שקיים </w:t>
      </w:r>
      <w:r w:rsidR="00613895">
        <w:rPr>
          <w:rFonts w:hint="cs"/>
          <w:rtl/>
        </w:rPr>
        <w:t xml:space="preserve">בישראל </w:t>
      </w:r>
      <w:r>
        <w:rPr>
          <w:rFonts w:hint="cs"/>
          <w:rtl/>
        </w:rPr>
        <w:t xml:space="preserve">שימוש בתהליך הייצור </w:t>
      </w:r>
      <w:r w:rsidR="00C33096">
        <w:rPr>
          <w:rFonts w:hint="cs"/>
          <w:rtl/>
        </w:rPr>
        <w:t>האמור</w:t>
      </w:r>
      <w:r>
        <w:rPr>
          <w:rFonts w:hint="cs"/>
          <w:rtl/>
        </w:rPr>
        <w:t xml:space="preserve">, מוצע </w:t>
      </w:r>
      <w:r w:rsidR="0097359E" w:rsidRPr="002C4E75">
        <w:rPr>
          <w:rFonts w:hint="cs"/>
          <w:rtl/>
        </w:rPr>
        <w:t>להחיל</w:t>
      </w:r>
      <w:r w:rsidR="0097359E">
        <w:rPr>
          <w:rFonts w:hint="cs"/>
          <w:rtl/>
        </w:rPr>
        <w:t xml:space="preserve"> הורא</w:t>
      </w:r>
      <w:r>
        <w:rPr>
          <w:rFonts w:hint="cs"/>
          <w:rtl/>
        </w:rPr>
        <w:t>ת מעבר לפיה</w:t>
      </w:r>
      <w:r w:rsidR="00555B35">
        <w:rPr>
          <w:rFonts w:hint="cs"/>
          <w:rtl/>
        </w:rPr>
        <w:t xml:space="preserve"> השימוש בתהליך הייצור האמור ייאסר </w:t>
      </w:r>
      <w:r w:rsidR="00613895">
        <w:rPr>
          <w:rFonts w:hint="cs"/>
          <w:rtl/>
        </w:rPr>
        <w:t>בכפוף לתנאי היתר הפליטה ולא יאוחר מהמועד שנקבע באמנה</w:t>
      </w:r>
      <w:r w:rsidR="00555B35">
        <w:rPr>
          <w:rFonts w:hint="cs"/>
          <w:rtl/>
        </w:rPr>
        <w:t>.</w:t>
      </w:r>
    </w:p>
    <w:p w14:paraId="2C08A0C9" w14:textId="77777777" w:rsidR="00DB7B56" w:rsidRPr="003E207A" w:rsidRDefault="00DB7B56" w:rsidP="003E207A">
      <w:pPr>
        <w:pStyle w:val="Hesber"/>
        <w:rPr>
          <w:rtl/>
        </w:rPr>
      </w:pPr>
    </w:p>
    <w:sectPr w:rsidR="00DB7B56" w:rsidRPr="003E207A" w:rsidSect="00DF735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F2D8" w14:textId="77777777" w:rsidR="000F0C46" w:rsidRDefault="000F0C46" w:rsidP="007A61BA">
      <w:pPr>
        <w:spacing w:line="240" w:lineRule="auto"/>
      </w:pPr>
      <w:r>
        <w:separator/>
      </w:r>
    </w:p>
  </w:endnote>
  <w:endnote w:type="continuationSeparator" w:id="0">
    <w:p w14:paraId="33D63434" w14:textId="77777777" w:rsidR="000F0C46" w:rsidRDefault="000F0C46" w:rsidP="007A6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B218" w14:textId="77777777" w:rsidR="000F0C46" w:rsidRDefault="000F0C46" w:rsidP="00C838F3">
      <w:pPr>
        <w:spacing w:line="240" w:lineRule="auto"/>
        <w:ind w:left="0"/>
      </w:pPr>
      <w:r>
        <w:separator/>
      </w:r>
    </w:p>
  </w:footnote>
  <w:footnote w:type="continuationSeparator" w:id="0">
    <w:p w14:paraId="06FDBEB2" w14:textId="77777777" w:rsidR="000F0C46" w:rsidRDefault="000F0C46" w:rsidP="007A61BA">
      <w:pPr>
        <w:spacing w:line="240" w:lineRule="auto"/>
      </w:pPr>
      <w:r>
        <w:continuationSeparator/>
      </w:r>
    </w:p>
  </w:footnote>
  <w:footnote w:id="1">
    <w:p w14:paraId="56500E24" w14:textId="77777777" w:rsidR="00065C7E" w:rsidRDefault="00065C7E" w:rsidP="00065C7E">
      <w:pPr>
        <w:pStyle w:val="a5"/>
        <w:rPr>
          <w:rtl/>
        </w:rPr>
      </w:pPr>
      <w:r>
        <w:rPr>
          <w:rStyle w:val="a7"/>
        </w:rPr>
        <w:footnoteRef/>
      </w:r>
      <w:r>
        <w:rPr>
          <w:rtl/>
        </w:rPr>
        <w:t xml:space="preserve"> ס"ח תשנ"ג</w:t>
      </w:r>
      <w:r>
        <w:rPr>
          <w:rFonts w:hint="cs"/>
          <w:rtl/>
        </w:rPr>
        <w:t xml:space="preserve">, </w:t>
      </w:r>
      <w:r>
        <w:rPr>
          <w:rtl/>
        </w:rPr>
        <w:t>עמ' 28</w:t>
      </w:r>
      <w:r w:rsidR="009121E5">
        <w:rPr>
          <w:rFonts w:hint="cs"/>
          <w:rtl/>
        </w:rPr>
        <w:t>.</w:t>
      </w:r>
    </w:p>
  </w:footnote>
  <w:footnote w:id="2">
    <w:p w14:paraId="583B6D91" w14:textId="77777777" w:rsidR="005F25D1" w:rsidRDefault="005F25D1" w:rsidP="005F25D1">
      <w:pPr>
        <w:pStyle w:val="a5"/>
        <w:rPr>
          <w:rtl/>
        </w:rPr>
      </w:pPr>
      <w:r>
        <w:rPr>
          <w:rStyle w:val="a7"/>
        </w:rPr>
        <w:footnoteRef/>
      </w:r>
      <w:r>
        <w:rPr>
          <w:rtl/>
        </w:rPr>
        <w:t xml:space="preserve"> </w:t>
      </w:r>
      <w:r>
        <w:rPr>
          <w:rFonts w:hint="cs"/>
          <w:rtl/>
        </w:rPr>
        <w:t>ס"ח התשל"ז, עמ' 226;</w:t>
      </w:r>
      <w:r w:rsidR="009121E5">
        <w:rPr>
          <w:rFonts w:hint="cs"/>
          <w:rtl/>
        </w:rPr>
        <w:t xml:space="preserve"> </w:t>
      </w:r>
      <w:r>
        <w:rPr>
          <w:rFonts w:hint="cs"/>
          <w:rtl/>
        </w:rPr>
        <w:t>התשנ"ד, עמ' 348</w:t>
      </w:r>
    </w:p>
  </w:footnote>
  <w:footnote w:id="3">
    <w:p w14:paraId="7AE7427E" w14:textId="77777777" w:rsidR="00C838F3" w:rsidRDefault="00C838F3">
      <w:pPr>
        <w:pStyle w:val="a5"/>
        <w:rPr>
          <w:rtl/>
        </w:rPr>
      </w:pPr>
      <w:r>
        <w:rPr>
          <w:rStyle w:val="a7"/>
        </w:rPr>
        <w:footnoteRef/>
      </w:r>
      <w:r>
        <w:rPr>
          <w:rtl/>
        </w:rPr>
        <w:t xml:space="preserve"> </w:t>
      </w:r>
      <w:r>
        <w:rPr>
          <w:rFonts w:hint="cs"/>
          <w:rtl/>
        </w:rPr>
        <w:t>ס"ח תשס"ח, עמ' 752;</w:t>
      </w:r>
    </w:p>
  </w:footnote>
  <w:footnote w:id="4">
    <w:p w14:paraId="14EECE6B" w14:textId="77777777" w:rsidR="009121E5" w:rsidRDefault="009121E5" w:rsidP="009121E5">
      <w:pPr>
        <w:pStyle w:val="a5"/>
      </w:pPr>
      <w:r>
        <w:rPr>
          <w:rStyle w:val="a7"/>
        </w:rPr>
        <w:footnoteRef/>
      </w:r>
      <w:r>
        <w:rPr>
          <w:rtl/>
        </w:rPr>
        <w:t xml:space="preserve"> </w:t>
      </w:r>
      <w:r w:rsidRPr="009121E5">
        <w:rPr>
          <w:rtl/>
        </w:rPr>
        <w:t>פורסמה חא"י, כרך ב', עמ' (ע) 910, (א) 938.</w:t>
      </w:r>
    </w:p>
  </w:footnote>
  <w:footnote w:id="5">
    <w:p w14:paraId="28718F0D" w14:textId="24853A3E" w:rsidR="00D72A2A" w:rsidRDefault="00D72A2A" w:rsidP="009D1366">
      <w:pPr>
        <w:pStyle w:val="a5"/>
        <w:rPr>
          <w:rtl/>
        </w:rPr>
      </w:pPr>
      <w:r>
        <w:rPr>
          <w:rStyle w:val="a7"/>
        </w:rPr>
        <w:footnoteRef/>
      </w:r>
      <w:r>
        <w:rPr>
          <w:rtl/>
        </w:rPr>
        <w:t xml:space="preserve"> </w:t>
      </w:r>
      <w:r w:rsidR="009D1366" w:rsidRPr="009D1366">
        <w:rPr>
          <w:rtl/>
        </w:rPr>
        <w:t>ק"ת תשס"ד</w:t>
      </w:r>
      <w:r w:rsidR="000852E7">
        <w:rPr>
          <w:rFonts w:hint="cs"/>
          <w:rtl/>
        </w:rPr>
        <w:t>,</w:t>
      </w:r>
      <w:r w:rsidR="009D1366" w:rsidRPr="009D1366">
        <w:rPr>
          <w:rtl/>
        </w:rPr>
        <w:t xml:space="preserve"> מס' 6284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7C"/>
    <w:multiLevelType w:val="hybridMultilevel"/>
    <w:tmpl w:val="00E80BF6"/>
    <w:lvl w:ilvl="0" w:tplc="8118FE0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872"/>
    <w:multiLevelType w:val="hybridMultilevel"/>
    <w:tmpl w:val="9A8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06E"/>
    <w:multiLevelType w:val="hybridMultilevel"/>
    <w:tmpl w:val="17E899A6"/>
    <w:lvl w:ilvl="0" w:tplc="BBC896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3429D"/>
    <w:multiLevelType w:val="hybridMultilevel"/>
    <w:tmpl w:val="7BC6DEBE"/>
    <w:lvl w:ilvl="0" w:tplc="90661A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4C92"/>
    <w:multiLevelType w:val="hybridMultilevel"/>
    <w:tmpl w:val="86C0D4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50839"/>
    <w:multiLevelType w:val="hybridMultilevel"/>
    <w:tmpl w:val="26EEC03E"/>
    <w:lvl w:ilvl="0" w:tplc="3236BB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76C"/>
    <w:multiLevelType w:val="hybridMultilevel"/>
    <w:tmpl w:val="3480864C"/>
    <w:lvl w:ilvl="0" w:tplc="04090013">
      <w:start w:val="1"/>
      <w:numFmt w:val="hebrew1"/>
      <w:lvlText w:val="%1."/>
      <w:lvlJc w:val="center"/>
      <w:pPr>
        <w:ind w:left="2123" w:hanging="360"/>
      </w:p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7" w15:restartNumberingAfterBreak="0">
    <w:nsid w:val="2EF40C59"/>
    <w:multiLevelType w:val="hybridMultilevel"/>
    <w:tmpl w:val="E4FE9CBA"/>
    <w:lvl w:ilvl="0" w:tplc="0370613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F76F4"/>
    <w:multiLevelType w:val="hybridMultilevel"/>
    <w:tmpl w:val="A4CE0050"/>
    <w:lvl w:ilvl="0" w:tplc="8102B6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A6B3B"/>
    <w:multiLevelType w:val="hybridMultilevel"/>
    <w:tmpl w:val="ECC87E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9286EB8"/>
    <w:multiLevelType w:val="hybridMultilevel"/>
    <w:tmpl w:val="99168226"/>
    <w:lvl w:ilvl="0" w:tplc="0E6A7A1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25697"/>
    <w:multiLevelType w:val="hybridMultilevel"/>
    <w:tmpl w:val="42C8595C"/>
    <w:lvl w:ilvl="0" w:tplc="04090013">
      <w:start w:val="1"/>
      <w:numFmt w:val="hebrew1"/>
      <w:lvlText w:val="%1."/>
      <w:lvlJc w:val="center"/>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2" w15:restartNumberingAfterBreak="0">
    <w:nsid w:val="3B840448"/>
    <w:multiLevelType w:val="hybridMultilevel"/>
    <w:tmpl w:val="00EE285C"/>
    <w:lvl w:ilvl="0" w:tplc="B136D0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C1192"/>
    <w:multiLevelType w:val="hybridMultilevel"/>
    <w:tmpl w:val="3480864C"/>
    <w:lvl w:ilvl="0" w:tplc="04090013">
      <w:start w:val="1"/>
      <w:numFmt w:val="hebrew1"/>
      <w:lvlText w:val="%1."/>
      <w:lvlJc w:val="center"/>
      <w:pPr>
        <w:ind w:left="2123" w:hanging="360"/>
      </w:p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14" w15:restartNumberingAfterBreak="0">
    <w:nsid w:val="3FB1252C"/>
    <w:multiLevelType w:val="hybridMultilevel"/>
    <w:tmpl w:val="76AC37EC"/>
    <w:lvl w:ilvl="0" w:tplc="21A404C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66227"/>
    <w:multiLevelType w:val="hybridMultilevel"/>
    <w:tmpl w:val="74A08686"/>
    <w:lvl w:ilvl="0" w:tplc="04090013">
      <w:start w:val="1"/>
      <w:numFmt w:val="hebrew1"/>
      <w:lvlText w:val="%1."/>
      <w:lvlJc w:val="center"/>
      <w:pPr>
        <w:ind w:left="1403" w:hanging="360"/>
      </w:pPr>
    </w:lvl>
    <w:lvl w:ilvl="1" w:tplc="04090013">
      <w:start w:val="1"/>
      <w:numFmt w:val="hebrew1"/>
      <w:lvlText w:val="%2."/>
      <w:lvlJc w:val="center"/>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6" w15:restartNumberingAfterBreak="0">
    <w:nsid w:val="423818C3"/>
    <w:multiLevelType w:val="hybridMultilevel"/>
    <w:tmpl w:val="6324B2CC"/>
    <w:lvl w:ilvl="0" w:tplc="262A94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F41A8"/>
    <w:multiLevelType w:val="hybridMultilevel"/>
    <w:tmpl w:val="3C027F28"/>
    <w:lvl w:ilvl="0" w:tplc="DD6615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41455"/>
    <w:multiLevelType w:val="hybridMultilevel"/>
    <w:tmpl w:val="1EE21372"/>
    <w:lvl w:ilvl="0" w:tplc="A352EA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D5DAD"/>
    <w:multiLevelType w:val="hybridMultilevel"/>
    <w:tmpl w:val="FC0602B2"/>
    <w:lvl w:ilvl="0" w:tplc="B034585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5D90328"/>
    <w:multiLevelType w:val="hybridMultilevel"/>
    <w:tmpl w:val="3D869752"/>
    <w:lvl w:ilvl="0" w:tplc="04090011">
      <w:start w:val="1"/>
      <w:numFmt w:val="decimal"/>
      <w:lvlText w:val="%1)"/>
      <w:lvlJc w:val="left"/>
      <w:pPr>
        <w:ind w:left="720" w:hanging="360"/>
      </w:pPr>
    </w:lvl>
    <w:lvl w:ilvl="1" w:tplc="4D0C50DA">
      <w:start w:val="1"/>
      <w:numFmt w:val="hebrew1"/>
      <w:lvlText w:val="(%2)"/>
      <w:lvlJc w:val="left"/>
      <w:pPr>
        <w:ind w:left="1440" w:hanging="360"/>
      </w:pPr>
      <w:rPr>
        <w:rFonts w:hint="default"/>
        <w:sz w:val="26"/>
      </w:rPr>
    </w:lvl>
    <w:lvl w:ilvl="2" w:tplc="D1DA254C">
      <w:start w:val="1"/>
      <w:numFmt w:val="decimal"/>
      <w:lvlText w:val="(%3)"/>
      <w:lvlJc w:val="left"/>
      <w:pPr>
        <w:ind w:left="2655" w:hanging="675"/>
      </w:pPr>
      <w:rPr>
        <w:rFonts w:hint="default"/>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D10"/>
    <w:multiLevelType w:val="hybridMultilevel"/>
    <w:tmpl w:val="72C4492A"/>
    <w:lvl w:ilvl="0" w:tplc="948417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47E62"/>
    <w:multiLevelType w:val="hybridMultilevel"/>
    <w:tmpl w:val="3E18A126"/>
    <w:lvl w:ilvl="0" w:tplc="BA68B4D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6AAE738D"/>
    <w:multiLevelType w:val="hybridMultilevel"/>
    <w:tmpl w:val="3D869752"/>
    <w:lvl w:ilvl="0" w:tplc="04090011">
      <w:start w:val="1"/>
      <w:numFmt w:val="decimal"/>
      <w:lvlText w:val="%1)"/>
      <w:lvlJc w:val="left"/>
      <w:pPr>
        <w:ind w:left="720" w:hanging="360"/>
      </w:pPr>
    </w:lvl>
    <w:lvl w:ilvl="1" w:tplc="4D0C50DA">
      <w:start w:val="1"/>
      <w:numFmt w:val="hebrew1"/>
      <w:lvlText w:val="(%2)"/>
      <w:lvlJc w:val="left"/>
      <w:pPr>
        <w:ind w:left="1440" w:hanging="360"/>
      </w:pPr>
      <w:rPr>
        <w:rFonts w:hint="default"/>
        <w:sz w:val="26"/>
      </w:rPr>
    </w:lvl>
    <w:lvl w:ilvl="2" w:tplc="D1DA254C">
      <w:start w:val="1"/>
      <w:numFmt w:val="decimal"/>
      <w:lvlText w:val="(%3)"/>
      <w:lvlJc w:val="left"/>
      <w:pPr>
        <w:ind w:left="2655" w:hanging="675"/>
      </w:pPr>
      <w:rPr>
        <w:rFonts w:hint="default"/>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447A"/>
    <w:multiLevelType w:val="hybridMultilevel"/>
    <w:tmpl w:val="90BC1212"/>
    <w:lvl w:ilvl="0" w:tplc="E0FCB93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703C9"/>
    <w:multiLevelType w:val="hybridMultilevel"/>
    <w:tmpl w:val="DD00D974"/>
    <w:lvl w:ilvl="0" w:tplc="0524AF4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722DA"/>
    <w:multiLevelType w:val="hybridMultilevel"/>
    <w:tmpl w:val="7C86AEFA"/>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3C544D"/>
    <w:multiLevelType w:val="hybridMultilevel"/>
    <w:tmpl w:val="7C86AEFA"/>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76D57"/>
    <w:multiLevelType w:val="hybridMultilevel"/>
    <w:tmpl w:val="DE54C4CC"/>
    <w:lvl w:ilvl="0" w:tplc="1578EF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D2C24"/>
    <w:multiLevelType w:val="hybridMultilevel"/>
    <w:tmpl w:val="5E845EDC"/>
    <w:lvl w:ilvl="0" w:tplc="C43013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D172F"/>
    <w:multiLevelType w:val="hybridMultilevel"/>
    <w:tmpl w:val="150EF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F23CCD"/>
    <w:multiLevelType w:val="hybridMultilevel"/>
    <w:tmpl w:val="8E246276"/>
    <w:lvl w:ilvl="0" w:tplc="C20CB8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23"/>
  </w:num>
  <w:num w:numId="5">
    <w:abstractNumId w:val="10"/>
  </w:num>
  <w:num w:numId="6">
    <w:abstractNumId w:val="14"/>
  </w:num>
  <w:num w:numId="7">
    <w:abstractNumId w:val="8"/>
  </w:num>
  <w:num w:numId="8">
    <w:abstractNumId w:val="16"/>
  </w:num>
  <w:num w:numId="9">
    <w:abstractNumId w:val="12"/>
  </w:num>
  <w:num w:numId="10">
    <w:abstractNumId w:val="0"/>
  </w:num>
  <w:num w:numId="11">
    <w:abstractNumId w:val="20"/>
  </w:num>
  <w:num w:numId="12">
    <w:abstractNumId w:val="33"/>
  </w:num>
  <w:num w:numId="13">
    <w:abstractNumId w:val="27"/>
  </w:num>
  <w:num w:numId="14">
    <w:abstractNumId w:val="26"/>
  </w:num>
  <w:num w:numId="15">
    <w:abstractNumId w:val="17"/>
  </w:num>
  <w:num w:numId="16">
    <w:abstractNumId w:val="31"/>
  </w:num>
  <w:num w:numId="17">
    <w:abstractNumId w:val="3"/>
  </w:num>
  <w:num w:numId="18">
    <w:abstractNumId w:val="2"/>
  </w:num>
  <w:num w:numId="19">
    <w:abstractNumId w:val="7"/>
  </w:num>
  <w:num w:numId="20">
    <w:abstractNumId w:val="19"/>
  </w:num>
  <w:num w:numId="21">
    <w:abstractNumId w:val="1"/>
  </w:num>
  <w:num w:numId="22">
    <w:abstractNumId w:val="11"/>
  </w:num>
  <w:num w:numId="23">
    <w:abstractNumId w:val="32"/>
  </w:num>
  <w:num w:numId="24">
    <w:abstractNumId w:val="28"/>
  </w:num>
  <w:num w:numId="25">
    <w:abstractNumId w:val="24"/>
  </w:num>
  <w:num w:numId="26">
    <w:abstractNumId w:val="9"/>
  </w:num>
  <w:num w:numId="27">
    <w:abstractNumId w:val="5"/>
  </w:num>
  <w:num w:numId="28">
    <w:abstractNumId w:val="30"/>
  </w:num>
  <w:num w:numId="29">
    <w:abstractNumId w:val="18"/>
  </w:num>
  <w:num w:numId="30">
    <w:abstractNumId w:val="25"/>
  </w:num>
  <w:num w:numId="31">
    <w:abstractNumId w:val="15"/>
  </w:num>
  <w:num w:numId="32">
    <w:abstractNumId w:val="6"/>
  </w:num>
  <w:num w:numId="33">
    <w:abstractNumId w:val="13"/>
  </w:num>
  <w:num w:numId="34">
    <w:abstractNumId w:val="4"/>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5F"/>
    <w:rsid w:val="00002BA8"/>
    <w:rsid w:val="00004BE3"/>
    <w:rsid w:val="0000761B"/>
    <w:rsid w:val="000205E5"/>
    <w:rsid w:val="00033C23"/>
    <w:rsid w:val="00046C51"/>
    <w:rsid w:val="00054635"/>
    <w:rsid w:val="0006314A"/>
    <w:rsid w:val="00065C7E"/>
    <w:rsid w:val="00084A5B"/>
    <w:rsid w:val="00084EA8"/>
    <w:rsid w:val="000852E7"/>
    <w:rsid w:val="0009164A"/>
    <w:rsid w:val="000B1668"/>
    <w:rsid w:val="000C04D1"/>
    <w:rsid w:val="000F0C46"/>
    <w:rsid w:val="00101839"/>
    <w:rsid w:val="001036E1"/>
    <w:rsid w:val="001070F1"/>
    <w:rsid w:val="0011202B"/>
    <w:rsid w:val="00120096"/>
    <w:rsid w:val="001200D5"/>
    <w:rsid w:val="00124101"/>
    <w:rsid w:val="00130A67"/>
    <w:rsid w:val="00144FE1"/>
    <w:rsid w:val="001523F4"/>
    <w:rsid w:val="00166539"/>
    <w:rsid w:val="00172A02"/>
    <w:rsid w:val="00175710"/>
    <w:rsid w:val="001834C7"/>
    <w:rsid w:val="00193D2E"/>
    <w:rsid w:val="001A0366"/>
    <w:rsid w:val="001A4620"/>
    <w:rsid w:val="001A5F9C"/>
    <w:rsid w:val="001B07D1"/>
    <w:rsid w:val="001B141C"/>
    <w:rsid w:val="001B6204"/>
    <w:rsid w:val="001C68CA"/>
    <w:rsid w:val="001D3797"/>
    <w:rsid w:val="001E195A"/>
    <w:rsid w:val="001E1B04"/>
    <w:rsid w:val="001E335F"/>
    <w:rsid w:val="001F1A6A"/>
    <w:rsid w:val="001F42B5"/>
    <w:rsid w:val="001F741D"/>
    <w:rsid w:val="00203FD9"/>
    <w:rsid w:val="00216425"/>
    <w:rsid w:val="00220B98"/>
    <w:rsid w:val="0022373A"/>
    <w:rsid w:val="00253FCC"/>
    <w:rsid w:val="002554B1"/>
    <w:rsid w:val="00262319"/>
    <w:rsid w:val="0026254D"/>
    <w:rsid w:val="0027524B"/>
    <w:rsid w:val="00293898"/>
    <w:rsid w:val="002A12B8"/>
    <w:rsid w:val="002B4E5D"/>
    <w:rsid w:val="002B7D2B"/>
    <w:rsid w:val="002C4E33"/>
    <w:rsid w:val="002C4E75"/>
    <w:rsid w:val="002C5F20"/>
    <w:rsid w:val="002D0712"/>
    <w:rsid w:val="002D6D7C"/>
    <w:rsid w:val="002D7A61"/>
    <w:rsid w:val="002E0A9A"/>
    <w:rsid w:val="002F2AFA"/>
    <w:rsid w:val="002F2E36"/>
    <w:rsid w:val="002F3E22"/>
    <w:rsid w:val="002F7C21"/>
    <w:rsid w:val="00300B82"/>
    <w:rsid w:val="00302518"/>
    <w:rsid w:val="00306DA7"/>
    <w:rsid w:val="00320681"/>
    <w:rsid w:val="003232AB"/>
    <w:rsid w:val="00324663"/>
    <w:rsid w:val="0034070B"/>
    <w:rsid w:val="003424D2"/>
    <w:rsid w:val="00351BE7"/>
    <w:rsid w:val="00353264"/>
    <w:rsid w:val="00354E17"/>
    <w:rsid w:val="00365210"/>
    <w:rsid w:val="00366D61"/>
    <w:rsid w:val="00372AAF"/>
    <w:rsid w:val="00373462"/>
    <w:rsid w:val="00373F33"/>
    <w:rsid w:val="00382404"/>
    <w:rsid w:val="0038444D"/>
    <w:rsid w:val="003955A5"/>
    <w:rsid w:val="003B52CD"/>
    <w:rsid w:val="003B5809"/>
    <w:rsid w:val="003B7644"/>
    <w:rsid w:val="003B7C70"/>
    <w:rsid w:val="003D3033"/>
    <w:rsid w:val="003E078D"/>
    <w:rsid w:val="003E207A"/>
    <w:rsid w:val="003E5F46"/>
    <w:rsid w:val="003E6B4F"/>
    <w:rsid w:val="00417098"/>
    <w:rsid w:val="00433126"/>
    <w:rsid w:val="004366D0"/>
    <w:rsid w:val="00450A77"/>
    <w:rsid w:val="0045101D"/>
    <w:rsid w:val="00465AEE"/>
    <w:rsid w:val="00467814"/>
    <w:rsid w:val="004728DE"/>
    <w:rsid w:val="00480049"/>
    <w:rsid w:val="004A0FB6"/>
    <w:rsid w:val="004A3EF5"/>
    <w:rsid w:val="004A6ABE"/>
    <w:rsid w:val="004B4BC2"/>
    <w:rsid w:val="004C5A13"/>
    <w:rsid w:val="004D084A"/>
    <w:rsid w:val="004D483A"/>
    <w:rsid w:val="004F0A16"/>
    <w:rsid w:val="005015F2"/>
    <w:rsid w:val="00503B58"/>
    <w:rsid w:val="005064FA"/>
    <w:rsid w:val="00510301"/>
    <w:rsid w:val="005336EE"/>
    <w:rsid w:val="00541277"/>
    <w:rsid w:val="005438F8"/>
    <w:rsid w:val="00547ADA"/>
    <w:rsid w:val="00552E8F"/>
    <w:rsid w:val="00555B35"/>
    <w:rsid w:val="00576625"/>
    <w:rsid w:val="00576C61"/>
    <w:rsid w:val="00590D7F"/>
    <w:rsid w:val="00595FE5"/>
    <w:rsid w:val="00597C6E"/>
    <w:rsid w:val="005A5E1B"/>
    <w:rsid w:val="005E4F99"/>
    <w:rsid w:val="005F25D1"/>
    <w:rsid w:val="005F3527"/>
    <w:rsid w:val="005F75E2"/>
    <w:rsid w:val="006003C9"/>
    <w:rsid w:val="00613895"/>
    <w:rsid w:val="006419D6"/>
    <w:rsid w:val="006A1F93"/>
    <w:rsid w:val="006A60C5"/>
    <w:rsid w:val="006B78C2"/>
    <w:rsid w:val="006C6C78"/>
    <w:rsid w:val="006E5D5D"/>
    <w:rsid w:val="006F4215"/>
    <w:rsid w:val="007020FF"/>
    <w:rsid w:val="00703495"/>
    <w:rsid w:val="00710641"/>
    <w:rsid w:val="00731AA2"/>
    <w:rsid w:val="007370CD"/>
    <w:rsid w:val="00753D67"/>
    <w:rsid w:val="00796AE6"/>
    <w:rsid w:val="00796F82"/>
    <w:rsid w:val="007A17A6"/>
    <w:rsid w:val="007A4231"/>
    <w:rsid w:val="007A61BA"/>
    <w:rsid w:val="007A630F"/>
    <w:rsid w:val="00825973"/>
    <w:rsid w:val="00836311"/>
    <w:rsid w:val="00837A60"/>
    <w:rsid w:val="008426CC"/>
    <w:rsid w:val="00846242"/>
    <w:rsid w:val="0084721A"/>
    <w:rsid w:val="00883BFA"/>
    <w:rsid w:val="008908C0"/>
    <w:rsid w:val="008A38CD"/>
    <w:rsid w:val="008A3A9F"/>
    <w:rsid w:val="008A5CAD"/>
    <w:rsid w:val="008B5AA9"/>
    <w:rsid w:val="008C1F0D"/>
    <w:rsid w:val="008C3431"/>
    <w:rsid w:val="008C3CDC"/>
    <w:rsid w:val="008C4E6A"/>
    <w:rsid w:val="008E33DE"/>
    <w:rsid w:val="008E3620"/>
    <w:rsid w:val="008E546C"/>
    <w:rsid w:val="008F66E9"/>
    <w:rsid w:val="009121E5"/>
    <w:rsid w:val="00934945"/>
    <w:rsid w:val="00941AF3"/>
    <w:rsid w:val="00942A6B"/>
    <w:rsid w:val="00953B12"/>
    <w:rsid w:val="009703B1"/>
    <w:rsid w:val="0097359E"/>
    <w:rsid w:val="0097378E"/>
    <w:rsid w:val="00974F6F"/>
    <w:rsid w:val="0098272E"/>
    <w:rsid w:val="00997011"/>
    <w:rsid w:val="009B69C0"/>
    <w:rsid w:val="009C1AC8"/>
    <w:rsid w:val="009D1366"/>
    <w:rsid w:val="009E03F0"/>
    <w:rsid w:val="00A03920"/>
    <w:rsid w:val="00A20138"/>
    <w:rsid w:val="00A372A6"/>
    <w:rsid w:val="00A42EDB"/>
    <w:rsid w:val="00A509B3"/>
    <w:rsid w:val="00A52C4B"/>
    <w:rsid w:val="00A5721C"/>
    <w:rsid w:val="00A619D0"/>
    <w:rsid w:val="00AB0C6A"/>
    <w:rsid w:val="00AC0218"/>
    <w:rsid w:val="00AC257B"/>
    <w:rsid w:val="00AD64D5"/>
    <w:rsid w:val="00AD7D1C"/>
    <w:rsid w:val="00AE7A0A"/>
    <w:rsid w:val="00B07511"/>
    <w:rsid w:val="00B14F55"/>
    <w:rsid w:val="00B42260"/>
    <w:rsid w:val="00B54CB5"/>
    <w:rsid w:val="00B56B7C"/>
    <w:rsid w:val="00B575AF"/>
    <w:rsid w:val="00BA47B9"/>
    <w:rsid w:val="00BB0B88"/>
    <w:rsid w:val="00BB2988"/>
    <w:rsid w:val="00BC6D3A"/>
    <w:rsid w:val="00BD239F"/>
    <w:rsid w:val="00BD79B8"/>
    <w:rsid w:val="00BE5216"/>
    <w:rsid w:val="00C13D17"/>
    <w:rsid w:val="00C13E3E"/>
    <w:rsid w:val="00C27864"/>
    <w:rsid w:val="00C33096"/>
    <w:rsid w:val="00C41697"/>
    <w:rsid w:val="00C4364B"/>
    <w:rsid w:val="00C443A9"/>
    <w:rsid w:val="00C838F3"/>
    <w:rsid w:val="00C851A6"/>
    <w:rsid w:val="00C901AE"/>
    <w:rsid w:val="00C910E4"/>
    <w:rsid w:val="00C921BE"/>
    <w:rsid w:val="00C94840"/>
    <w:rsid w:val="00CA3405"/>
    <w:rsid w:val="00CB3D13"/>
    <w:rsid w:val="00CC3C0B"/>
    <w:rsid w:val="00CC5259"/>
    <w:rsid w:val="00CD0A8C"/>
    <w:rsid w:val="00D06F53"/>
    <w:rsid w:val="00D11FDA"/>
    <w:rsid w:val="00D20E7D"/>
    <w:rsid w:val="00D2370B"/>
    <w:rsid w:val="00D25AD7"/>
    <w:rsid w:val="00D4710B"/>
    <w:rsid w:val="00D47623"/>
    <w:rsid w:val="00D53AD9"/>
    <w:rsid w:val="00D55832"/>
    <w:rsid w:val="00D64B23"/>
    <w:rsid w:val="00D66BA6"/>
    <w:rsid w:val="00D72A2A"/>
    <w:rsid w:val="00DB7B56"/>
    <w:rsid w:val="00DF735F"/>
    <w:rsid w:val="00DF7FE8"/>
    <w:rsid w:val="00E077CE"/>
    <w:rsid w:val="00E14CC4"/>
    <w:rsid w:val="00E17A7A"/>
    <w:rsid w:val="00E21869"/>
    <w:rsid w:val="00E27569"/>
    <w:rsid w:val="00E4155A"/>
    <w:rsid w:val="00E57A6B"/>
    <w:rsid w:val="00E614A4"/>
    <w:rsid w:val="00EA70A8"/>
    <w:rsid w:val="00EB2B87"/>
    <w:rsid w:val="00EE4F88"/>
    <w:rsid w:val="00EF6ABB"/>
    <w:rsid w:val="00EF6E32"/>
    <w:rsid w:val="00F03C85"/>
    <w:rsid w:val="00F14A52"/>
    <w:rsid w:val="00F222A9"/>
    <w:rsid w:val="00F32857"/>
    <w:rsid w:val="00F33378"/>
    <w:rsid w:val="00F35CDF"/>
    <w:rsid w:val="00F37BAF"/>
    <w:rsid w:val="00F474FF"/>
    <w:rsid w:val="00F65166"/>
    <w:rsid w:val="00F76082"/>
    <w:rsid w:val="00F93E01"/>
    <w:rsid w:val="00FA55C0"/>
    <w:rsid w:val="00FB30E2"/>
    <w:rsid w:val="00FC1A7A"/>
    <w:rsid w:val="00FD511C"/>
    <w:rsid w:val="00FD6F2A"/>
    <w:rsid w:val="00FD79CF"/>
    <w:rsid w:val="00FF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D66B"/>
  <w15:chartTrackingRefBased/>
  <w15:docId w15:val="{5E98905D-04B7-4CEE-BE7E-BE0A8A4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35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DF735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F735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F735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F735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F735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F735F"/>
    <w:rPr>
      <w:rFonts w:asciiTheme="majorHAnsi" w:eastAsiaTheme="majorEastAsia" w:hAnsiTheme="majorHAnsi" w:cs="David"/>
      <w:bCs/>
      <w:sz w:val="32"/>
      <w:szCs w:val="36"/>
    </w:rPr>
  </w:style>
  <w:style w:type="character" w:customStyle="1" w:styleId="40">
    <w:name w:val="כותרת 4 תו"/>
    <w:basedOn w:val="a0"/>
    <w:link w:val="4"/>
    <w:uiPriority w:val="9"/>
    <w:rsid w:val="00DF735F"/>
    <w:rPr>
      <w:rFonts w:ascii="David" w:hAnsi="David" w:cs="David"/>
      <w:b/>
      <w:bCs/>
      <w:color w:val="000000" w:themeColor="text1"/>
      <w:sz w:val="24"/>
      <w:szCs w:val="28"/>
    </w:rPr>
  </w:style>
  <w:style w:type="paragraph" w:customStyle="1" w:styleId="TableText">
    <w:name w:val="Table Text"/>
    <w:basedOn w:val="a"/>
    <w:rsid w:val="00DF735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F735F"/>
    <w:pPr>
      <w:outlineLvl w:val="2"/>
    </w:pPr>
  </w:style>
  <w:style w:type="paragraph" w:customStyle="1" w:styleId="TableBlock">
    <w:name w:val="Table Block"/>
    <w:basedOn w:val="TableText"/>
    <w:rsid w:val="00DF735F"/>
    <w:pPr>
      <w:jc w:val="both"/>
    </w:pPr>
  </w:style>
  <w:style w:type="paragraph" w:customStyle="1" w:styleId="TableHead">
    <w:name w:val="Table Head"/>
    <w:basedOn w:val="TableText"/>
    <w:rsid w:val="00DF735F"/>
    <w:pPr>
      <w:jc w:val="center"/>
      <w:outlineLvl w:val="1"/>
    </w:pPr>
    <w:rPr>
      <w:b/>
      <w:bCs/>
    </w:rPr>
  </w:style>
  <w:style w:type="paragraph" w:customStyle="1" w:styleId="HeadMitparsemetBaze">
    <w:name w:val="Head MitparsemetBaze"/>
    <w:basedOn w:val="a"/>
    <w:rsid w:val="00DF735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F735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DF735F"/>
    <w:pPr>
      <w:tabs>
        <w:tab w:val="left" w:pos="680"/>
        <w:tab w:val="left" w:pos="1020"/>
      </w:tabs>
      <w:ind w:firstLine="0"/>
    </w:pPr>
  </w:style>
  <w:style w:type="paragraph" w:customStyle="1" w:styleId="HeadDivreiHesber">
    <w:name w:val="Head DivreiHesber"/>
    <w:basedOn w:val="a"/>
    <w:rsid w:val="00DF735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DF735F"/>
    <w:rPr>
      <w:rFonts w:asciiTheme="majorHAnsi" w:eastAsiaTheme="majorEastAsia" w:hAnsiTheme="majorHAnsi" w:cs="David"/>
      <w:bCs/>
      <w:sz w:val="26"/>
      <w:szCs w:val="36"/>
      <w:u w:val="single"/>
    </w:rPr>
  </w:style>
  <w:style w:type="character" w:customStyle="1" w:styleId="30">
    <w:name w:val="כותרת 3 תו"/>
    <w:basedOn w:val="a0"/>
    <w:link w:val="3"/>
    <w:rsid w:val="00DF735F"/>
    <w:rPr>
      <w:rFonts w:asciiTheme="majorHAnsi" w:eastAsiaTheme="majorEastAsia" w:hAnsiTheme="majorHAnsi" w:cs="David"/>
      <w:sz w:val="24"/>
      <w:szCs w:val="28"/>
      <w:u w:val="double"/>
    </w:rPr>
  </w:style>
  <w:style w:type="character" w:customStyle="1" w:styleId="50">
    <w:name w:val="כותרת 5 תו"/>
    <w:basedOn w:val="a0"/>
    <w:link w:val="5"/>
    <w:uiPriority w:val="9"/>
    <w:rsid w:val="00DF735F"/>
    <w:rPr>
      <w:rFonts w:ascii="David" w:hAnsi="David" w:cs="David"/>
      <w:color w:val="000000" w:themeColor="text1"/>
      <w:sz w:val="24"/>
      <w:szCs w:val="24"/>
    </w:rPr>
  </w:style>
  <w:style w:type="paragraph" w:customStyle="1" w:styleId="HeadHatzaotHok4Futer">
    <w:name w:val="Head HatzaotHok4Futer"/>
    <w:basedOn w:val="HeadHatzaotHok"/>
    <w:rsid w:val="00DF735F"/>
    <w:pPr>
      <w:spacing w:before="120" w:after="120"/>
    </w:pPr>
    <w:rPr>
      <w:color w:val="FF0000"/>
      <w:w w:val="80"/>
    </w:rPr>
  </w:style>
  <w:style w:type="paragraph" w:styleId="a3">
    <w:name w:val="endnote text"/>
    <w:basedOn w:val="a"/>
    <w:link w:val="a4"/>
    <w:semiHidden/>
    <w:rsid w:val="00DF735F"/>
    <w:pPr>
      <w:ind w:left="227" w:hanging="227"/>
    </w:pPr>
    <w:rPr>
      <w:sz w:val="14"/>
      <w:szCs w:val="22"/>
    </w:rPr>
  </w:style>
  <w:style w:type="character" w:customStyle="1" w:styleId="a4">
    <w:name w:val="טקסט הערת סיום תו"/>
    <w:basedOn w:val="a0"/>
    <w:link w:val="a3"/>
    <w:semiHidden/>
    <w:rsid w:val="00DF735F"/>
    <w:rPr>
      <w:rFonts w:ascii="David" w:hAnsi="David" w:cs="David"/>
      <w:sz w:val="14"/>
    </w:rPr>
  </w:style>
  <w:style w:type="paragraph" w:customStyle="1" w:styleId="TableInnerSideHeading">
    <w:name w:val="Table InnerSideHeading"/>
    <w:basedOn w:val="TableSideHeading"/>
    <w:rsid w:val="00DF735F"/>
    <w:pPr>
      <w:outlineLvl w:val="9"/>
    </w:pPr>
  </w:style>
  <w:style w:type="paragraph" w:customStyle="1" w:styleId="Hesber">
    <w:name w:val="Hesber"/>
    <w:basedOn w:val="a"/>
    <w:rsid w:val="00DF735F"/>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qFormat/>
    <w:rsid w:val="00DF735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DF735F"/>
    <w:rPr>
      <w:rFonts w:ascii="Arial" w:eastAsia="Arial Unicode MS" w:hAnsi="Arial" w:cs="David"/>
      <w:snapToGrid w:val="0"/>
      <w:sz w:val="14"/>
      <w:szCs w:val="20"/>
    </w:rPr>
  </w:style>
  <w:style w:type="character" w:styleId="a7">
    <w:name w:val="footnote reference"/>
    <w:aliases w:val="Footnote Reference,הפניה להערת שוליים עיונמ&quot;ש"/>
    <w:basedOn w:val="a0"/>
    <w:uiPriority w:val="99"/>
    <w:qFormat/>
    <w:rsid w:val="00DF735F"/>
    <w:rPr>
      <w:vertAlign w:val="superscript"/>
    </w:rPr>
  </w:style>
  <w:style w:type="paragraph" w:customStyle="1" w:styleId="HesberHeading">
    <w:name w:val="Hesber Heading"/>
    <w:basedOn w:val="Hesber"/>
    <w:rsid w:val="00DF735F"/>
    <w:pPr>
      <w:tabs>
        <w:tab w:val="left" w:pos="624"/>
        <w:tab w:val="left" w:pos="1247"/>
      </w:tabs>
    </w:pPr>
    <w:rPr>
      <w:b/>
      <w:bCs/>
    </w:rPr>
  </w:style>
  <w:style w:type="paragraph" w:customStyle="1" w:styleId="HesberWriters">
    <w:name w:val="Hesber Writers"/>
    <w:basedOn w:val="Hesber"/>
    <w:rsid w:val="00DF735F"/>
    <w:pPr>
      <w:spacing w:before="120" w:after="120"/>
      <w:ind w:left="1418"/>
      <w:jc w:val="right"/>
    </w:pPr>
    <w:rPr>
      <w:b/>
      <w:bCs/>
    </w:rPr>
  </w:style>
  <w:style w:type="character" w:styleId="a8">
    <w:name w:val="endnote reference"/>
    <w:basedOn w:val="a0"/>
    <w:semiHidden/>
    <w:rsid w:val="00DF735F"/>
    <w:rPr>
      <w:vertAlign w:val="superscript"/>
    </w:rPr>
  </w:style>
  <w:style w:type="paragraph" w:customStyle="1" w:styleId="TableBlockOutdent">
    <w:name w:val="Table BlockOutdent"/>
    <w:basedOn w:val="TableBlock"/>
    <w:rsid w:val="00DF735F"/>
    <w:pPr>
      <w:ind w:left="624" w:hanging="624"/>
    </w:pPr>
  </w:style>
  <w:style w:type="paragraph" w:styleId="a9">
    <w:name w:val="header"/>
    <w:basedOn w:val="a"/>
    <w:link w:val="aa"/>
    <w:rsid w:val="00DF735F"/>
    <w:pPr>
      <w:tabs>
        <w:tab w:val="center" w:pos="4153"/>
        <w:tab w:val="right" w:pos="8306"/>
      </w:tabs>
    </w:pPr>
  </w:style>
  <w:style w:type="character" w:customStyle="1" w:styleId="aa">
    <w:name w:val="כותרת עליונה תו"/>
    <w:basedOn w:val="a0"/>
    <w:link w:val="a9"/>
    <w:rsid w:val="00DF735F"/>
    <w:rPr>
      <w:rFonts w:ascii="David" w:hAnsi="David" w:cs="David"/>
      <w:sz w:val="24"/>
      <w:szCs w:val="24"/>
    </w:rPr>
  </w:style>
  <w:style w:type="paragraph" w:styleId="ab">
    <w:name w:val="footer"/>
    <w:basedOn w:val="a"/>
    <w:link w:val="ac"/>
    <w:rsid w:val="00DF735F"/>
    <w:pPr>
      <w:tabs>
        <w:tab w:val="center" w:pos="4153"/>
        <w:tab w:val="right" w:pos="8306"/>
      </w:tabs>
    </w:pPr>
  </w:style>
  <w:style w:type="character" w:customStyle="1" w:styleId="ac">
    <w:name w:val="כותרת תחתונה תו"/>
    <w:basedOn w:val="a0"/>
    <w:link w:val="ab"/>
    <w:rsid w:val="00DF735F"/>
    <w:rPr>
      <w:rFonts w:ascii="David" w:hAnsi="David" w:cs="David"/>
      <w:sz w:val="24"/>
      <w:szCs w:val="24"/>
    </w:rPr>
  </w:style>
  <w:style w:type="character" w:styleId="ad">
    <w:name w:val="page number"/>
    <w:basedOn w:val="a0"/>
    <w:rsid w:val="00DF735F"/>
  </w:style>
  <w:style w:type="paragraph" w:customStyle="1" w:styleId="Cover1-Reshumot">
    <w:name w:val="Cover 1-Reshumot"/>
    <w:basedOn w:val="a"/>
    <w:rsid w:val="00DF735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F735F"/>
    <w:rPr>
      <w:sz w:val="36"/>
      <w:szCs w:val="52"/>
    </w:rPr>
  </w:style>
  <w:style w:type="paragraph" w:customStyle="1" w:styleId="Cover3-Haknesset">
    <w:name w:val="Cover 3-Haknesset"/>
    <w:basedOn w:val="Cover1-Reshumot"/>
    <w:rsid w:val="00DF735F"/>
    <w:rPr>
      <w:b/>
      <w:bCs/>
      <w:spacing w:val="60"/>
    </w:rPr>
  </w:style>
  <w:style w:type="paragraph" w:customStyle="1" w:styleId="Cover4-Date">
    <w:name w:val="Cover 4-Date"/>
    <w:basedOn w:val="a"/>
    <w:rsid w:val="00DF735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DF735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DF735F"/>
    <w:pPr>
      <w:widowControl/>
      <w:spacing w:before="120" w:after="120"/>
      <w:outlineLvl w:val="9"/>
    </w:pPr>
    <w:rPr>
      <w:rtl/>
      <w:cs/>
    </w:rPr>
  </w:style>
  <w:style w:type="paragraph" w:styleId="TOC1">
    <w:name w:val="toc 1"/>
    <w:basedOn w:val="a"/>
    <w:next w:val="a"/>
    <w:autoRedefine/>
    <w:uiPriority w:val="39"/>
    <w:unhideWhenUsed/>
    <w:rsid w:val="00DF735F"/>
    <w:pPr>
      <w:tabs>
        <w:tab w:val="right" w:leader="dot" w:pos="9629"/>
      </w:tabs>
      <w:spacing w:after="100"/>
    </w:pPr>
    <w:rPr>
      <w:bCs/>
      <w:szCs w:val="22"/>
    </w:rPr>
  </w:style>
  <w:style w:type="paragraph" w:styleId="TOC2">
    <w:name w:val="toc 2"/>
    <w:basedOn w:val="a"/>
    <w:next w:val="a"/>
    <w:uiPriority w:val="39"/>
    <w:unhideWhenUsed/>
    <w:rsid w:val="00DF735F"/>
    <w:pPr>
      <w:tabs>
        <w:tab w:val="right" w:leader="dot" w:pos="9628"/>
      </w:tabs>
      <w:spacing w:after="100"/>
    </w:pPr>
    <w:rPr>
      <w:szCs w:val="22"/>
    </w:rPr>
  </w:style>
  <w:style w:type="character" w:styleId="Hyperlink">
    <w:name w:val="Hyperlink"/>
    <w:basedOn w:val="a0"/>
    <w:uiPriority w:val="99"/>
    <w:unhideWhenUsed/>
    <w:rsid w:val="00DF735F"/>
    <w:rPr>
      <w:color w:val="0563C1" w:themeColor="hyperlink"/>
      <w:u w:val="single"/>
    </w:rPr>
  </w:style>
  <w:style w:type="paragraph" w:styleId="TOC3">
    <w:name w:val="toc 3"/>
    <w:basedOn w:val="a"/>
    <w:next w:val="a"/>
    <w:uiPriority w:val="39"/>
    <w:unhideWhenUsed/>
    <w:rsid w:val="00DF735F"/>
    <w:pPr>
      <w:numPr>
        <w:numId w:val="3"/>
      </w:numPr>
      <w:tabs>
        <w:tab w:val="right" w:leader="dot" w:pos="9629"/>
      </w:tabs>
      <w:spacing w:after="100"/>
      <w:ind w:left="811" w:hanging="357"/>
    </w:pPr>
    <w:rPr>
      <w:szCs w:val="22"/>
    </w:rPr>
  </w:style>
  <w:style w:type="paragraph" w:styleId="TOC4">
    <w:name w:val="toc 4"/>
    <w:basedOn w:val="a"/>
    <w:next w:val="a"/>
    <w:autoRedefine/>
    <w:unhideWhenUsed/>
    <w:qFormat/>
    <w:rsid w:val="00DF735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F735F"/>
    <w:pPr>
      <w:tabs>
        <w:tab w:val="right" w:leader="dot" w:pos="9628"/>
      </w:tabs>
      <w:spacing w:after="100"/>
      <w:ind w:left="567"/>
    </w:pPr>
    <w:rPr>
      <w:szCs w:val="22"/>
    </w:rPr>
  </w:style>
  <w:style w:type="paragraph" w:styleId="TOC6">
    <w:name w:val="toc 6"/>
    <w:basedOn w:val="a"/>
    <w:next w:val="a"/>
    <w:autoRedefine/>
    <w:semiHidden/>
    <w:unhideWhenUsed/>
    <w:rsid w:val="00DF735F"/>
    <w:pPr>
      <w:spacing w:after="100"/>
      <w:ind w:left="850"/>
    </w:pPr>
  </w:style>
  <w:style w:type="paragraph" w:styleId="TOC7">
    <w:name w:val="toc 7"/>
    <w:basedOn w:val="a"/>
    <w:next w:val="a"/>
    <w:autoRedefine/>
    <w:semiHidden/>
    <w:unhideWhenUsed/>
    <w:rsid w:val="00DF735F"/>
    <w:pPr>
      <w:spacing w:after="100"/>
      <w:ind w:left="1020"/>
    </w:pPr>
  </w:style>
  <w:style w:type="paragraph" w:styleId="TOC8">
    <w:name w:val="toc 8"/>
    <w:basedOn w:val="a"/>
    <w:next w:val="a"/>
    <w:autoRedefine/>
    <w:semiHidden/>
    <w:unhideWhenUsed/>
    <w:rsid w:val="00DF735F"/>
    <w:pPr>
      <w:spacing w:after="100"/>
      <w:ind w:left="1190"/>
    </w:pPr>
  </w:style>
  <w:style w:type="paragraph" w:styleId="TOC9">
    <w:name w:val="toc 9"/>
    <w:basedOn w:val="a"/>
    <w:next w:val="a"/>
    <w:autoRedefine/>
    <w:semiHidden/>
    <w:unhideWhenUsed/>
    <w:rsid w:val="00DF735F"/>
    <w:pPr>
      <w:spacing w:after="100"/>
      <w:ind w:left="1360"/>
    </w:pPr>
  </w:style>
  <w:style w:type="paragraph" w:customStyle="1" w:styleId="TableHead2">
    <w:name w:val="Table Head2"/>
    <w:basedOn w:val="TableHead"/>
    <w:qFormat/>
    <w:rsid w:val="00DF735F"/>
    <w:pPr>
      <w:outlineLvl w:val="9"/>
    </w:pPr>
  </w:style>
  <w:style w:type="paragraph" w:customStyle="1" w:styleId="TableSideHeading2">
    <w:name w:val="Table SideHeading2"/>
    <w:basedOn w:val="TableSideHeading"/>
    <w:autoRedefine/>
    <w:qFormat/>
    <w:rsid w:val="00DF735F"/>
    <w:pPr>
      <w:keepLines w:val="0"/>
      <w:outlineLvl w:val="9"/>
    </w:pPr>
  </w:style>
  <w:style w:type="paragraph" w:customStyle="1" w:styleId="0">
    <w:name w:val="סגנון שורה ראשונה:  0  ס''מ"/>
    <w:basedOn w:val="2"/>
    <w:rsid w:val="00DF735F"/>
    <w:rPr>
      <w:rFonts w:eastAsia="Times New Roman"/>
    </w:rPr>
  </w:style>
  <w:style w:type="paragraph" w:styleId="af">
    <w:name w:val="List Paragraph"/>
    <w:basedOn w:val="a"/>
    <w:link w:val="af0"/>
    <w:uiPriority w:val="34"/>
    <w:qFormat/>
    <w:rsid w:val="00DF735F"/>
    <w:pPr>
      <w:widowControl/>
      <w:spacing w:line="259" w:lineRule="auto"/>
    </w:pPr>
    <w:rPr>
      <w:rFonts w:asciiTheme="minorHAnsi" w:hAnsiTheme="minorHAnsi"/>
      <w:sz w:val="22"/>
    </w:rPr>
  </w:style>
  <w:style w:type="table" w:styleId="af1">
    <w:name w:val="Table Grid"/>
    <w:basedOn w:val="a1"/>
    <w:uiPriority w:val="59"/>
    <w:rsid w:val="00DF735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F735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F735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DF735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F735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basedOn w:val="a0"/>
    <w:rsid w:val="00D64B23"/>
    <w:rPr>
      <w:rFonts w:ascii="Times New Roman" w:hAnsi="Times New Roman" w:cs="Times New Roman" w:hint="default"/>
      <w:sz w:val="20"/>
      <w:szCs w:val="26"/>
    </w:rPr>
  </w:style>
  <w:style w:type="paragraph" w:styleId="af3">
    <w:name w:val="Balloon Text"/>
    <w:basedOn w:val="a"/>
    <w:link w:val="af4"/>
    <w:uiPriority w:val="99"/>
    <w:semiHidden/>
    <w:unhideWhenUsed/>
    <w:rsid w:val="00C901AE"/>
    <w:pPr>
      <w:spacing w:line="240" w:lineRule="auto"/>
    </w:pPr>
    <w:rPr>
      <w:rFonts w:ascii="Tahoma" w:hAnsi="Tahoma" w:cs="Tahoma"/>
      <w:sz w:val="18"/>
      <w:szCs w:val="18"/>
    </w:rPr>
  </w:style>
  <w:style w:type="character" w:customStyle="1" w:styleId="af4">
    <w:name w:val="טקסט בלונים תו"/>
    <w:basedOn w:val="a0"/>
    <w:link w:val="af3"/>
    <w:uiPriority w:val="99"/>
    <w:semiHidden/>
    <w:rsid w:val="00C901AE"/>
    <w:rPr>
      <w:rFonts w:ascii="Tahoma" w:hAnsi="Tahoma" w:cs="Tahoma"/>
      <w:sz w:val="18"/>
      <w:szCs w:val="18"/>
    </w:rPr>
  </w:style>
  <w:style w:type="character" w:customStyle="1" w:styleId="af0">
    <w:name w:val="פיסקת רשימה תו"/>
    <w:basedOn w:val="a0"/>
    <w:link w:val="af"/>
    <w:uiPriority w:val="34"/>
    <w:locked/>
    <w:rsid w:val="004A3EF5"/>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5851">
      <w:bodyDiv w:val="1"/>
      <w:marLeft w:val="0"/>
      <w:marRight w:val="0"/>
      <w:marTop w:val="0"/>
      <w:marBottom w:val="0"/>
      <w:divBdr>
        <w:top w:val="none" w:sz="0" w:space="0" w:color="auto"/>
        <w:left w:val="none" w:sz="0" w:space="0" w:color="auto"/>
        <w:bottom w:val="none" w:sz="0" w:space="0" w:color="auto"/>
        <w:right w:val="none" w:sz="0" w:space="0" w:color="auto"/>
      </w:divBdr>
    </w:div>
    <w:div w:id="586185180">
      <w:bodyDiv w:val="1"/>
      <w:marLeft w:val="0"/>
      <w:marRight w:val="0"/>
      <w:marTop w:val="0"/>
      <w:marBottom w:val="0"/>
      <w:divBdr>
        <w:top w:val="none" w:sz="0" w:space="0" w:color="auto"/>
        <w:left w:val="none" w:sz="0" w:space="0" w:color="auto"/>
        <w:bottom w:val="none" w:sz="0" w:space="0" w:color="auto"/>
        <w:right w:val="none" w:sz="0" w:space="0" w:color="auto"/>
      </w:divBdr>
    </w:div>
    <w:div w:id="1420908925">
      <w:bodyDiv w:val="1"/>
      <w:marLeft w:val="0"/>
      <w:marRight w:val="0"/>
      <w:marTop w:val="0"/>
      <w:marBottom w:val="0"/>
      <w:divBdr>
        <w:top w:val="none" w:sz="0" w:space="0" w:color="auto"/>
        <w:left w:val="none" w:sz="0" w:space="0" w:color="auto"/>
        <w:bottom w:val="none" w:sz="0" w:space="0" w:color="auto"/>
        <w:right w:val="none" w:sz="0" w:space="0" w:color="auto"/>
      </w:divBdr>
    </w:div>
    <w:div w:id="17797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ADB5-3199-428C-9EB0-F70CB159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4630</Words>
  <Characters>23155</Characters>
  <Application>Microsoft Office Word</Application>
  <DocSecurity>0</DocSecurity>
  <Lines>192</Lines>
  <Paragraphs>55</Paragraphs>
  <ScaleCrop>false</ScaleCrop>
  <HeadingPairs>
    <vt:vector size="2" baseType="variant">
      <vt:variant>
        <vt:lpstr>שם</vt:lpstr>
      </vt:variant>
      <vt:variant>
        <vt:i4>1</vt:i4>
      </vt:variant>
    </vt:vector>
  </HeadingPairs>
  <TitlesOfParts>
    <vt:vector size="1" baseType="lpstr">
      <vt:lpstr/>
    </vt:vector>
  </TitlesOfParts>
  <Company>MOE-SCCM2012</Company>
  <LinksUpToDate>false</LinksUpToDate>
  <CharactersWithSpaces>27730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פורת-גנץ   Maayan Porat-Ganz</dc:creator>
  <cp:keywords/>
  <dc:description/>
  <cp:lastModifiedBy>Merav Kaplan - Chamber Of Commerce</cp:lastModifiedBy>
  <cp:revision>3</cp:revision>
  <dcterms:created xsi:type="dcterms:W3CDTF">2021-07-13T12:42:00Z</dcterms:created>
  <dcterms:modified xsi:type="dcterms:W3CDTF">2021-07-13T12:42:00Z</dcterms:modified>
</cp:coreProperties>
</file>