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CAA61" w14:textId="5BF19986" w:rsidR="0052277E" w:rsidRPr="0052277E" w:rsidRDefault="0052277E" w:rsidP="0052277E">
      <w:pPr>
        <w:pStyle w:val="HeadHatzaotHok"/>
        <w:rPr>
          <w:rFonts w:asciiTheme="majorBidi" w:hAnsiTheme="majorBidi"/>
          <w:sz w:val="36"/>
          <w:szCs w:val="36"/>
          <w:rtl/>
        </w:rPr>
      </w:pPr>
      <w:bookmarkStart w:id="0" w:name="_GoBack"/>
      <w:bookmarkEnd w:id="0"/>
      <w:r w:rsidRPr="0052277E">
        <w:rPr>
          <w:rFonts w:asciiTheme="majorBidi" w:hAnsiTheme="majorBidi"/>
          <w:sz w:val="36"/>
          <w:szCs w:val="36"/>
          <w:rtl/>
        </w:rPr>
        <w:t xml:space="preserve">טיוטת </w:t>
      </w:r>
      <w:r w:rsidRPr="0052277E">
        <w:rPr>
          <w:rFonts w:asciiTheme="majorBidi" w:hAnsiTheme="majorBidi" w:hint="cs"/>
          <w:sz w:val="36"/>
          <w:szCs w:val="36"/>
          <w:rtl/>
        </w:rPr>
        <w:t>צו</w:t>
      </w:r>
    </w:p>
    <w:p w14:paraId="34F127B3" w14:textId="25ED7551" w:rsidR="0052277E" w:rsidRPr="0052277E" w:rsidRDefault="0052277E" w:rsidP="0052277E">
      <w:pPr>
        <w:pStyle w:val="HeadHatzaotHok"/>
        <w:jc w:val="left"/>
        <w:rPr>
          <w:rFonts w:asciiTheme="majorBidi" w:hAnsiTheme="majorBidi"/>
          <w:sz w:val="24"/>
          <w:szCs w:val="24"/>
          <w:rtl/>
        </w:rPr>
      </w:pPr>
      <w:r w:rsidRPr="0052277E">
        <w:rPr>
          <w:rFonts w:asciiTheme="majorBidi" w:hAnsiTheme="majorBidi"/>
          <w:sz w:val="28"/>
          <w:szCs w:val="28"/>
          <w:rtl/>
        </w:rPr>
        <w:t>א.</w:t>
      </w:r>
      <w:r w:rsidRPr="0052277E">
        <w:rPr>
          <w:rFonts w:asciiTheme="majorBidi" w:hAnsiTheme="majorBidi"/>
          <w:sz w:val="24"/>
          <w:szCs w:val="24"/>
          <w:rtl/>
        </w:rPr>
        <w:t xml:space="preserve"> </w:t>
      </w:r>
      <w:r w:rsidRPr="0052277E">
        <w:rPr>
          <w:rFonts w:asciiTheme="majorBidi" w:hAnsiTheme="majorBidi"/>
          <w:sz w:val="28"/>
          <w:szCs w:val="28"/>
          <w:rtl/>
        </w:rPr>
        <w:t xml:space="preserve">שם </w:t>
      </w:r>
      <w:r>
        <w:rPr>
          <w:rFonts w:asciiTheme="majorBidi" w:hAnsiTheme="majorBidi" w:hint="cs"/>
          <w:sz w:val="28"/>
          <w:szCs w:val="28"/>
          <w:rtl/>
        </w:rPr>
        <w:t>הצו המוצע</w:t>
      </w:r>
    </w:p>
    <w:p w14:paraId="24B1BF64" w14:textId="3F47F474" w:rsidR="0052277E" w:rsidRPr="0052277E" w:rsidRDefault="0052277E" w:rsidP="0052277E">
      <w:pPr>
        <w:pStyle w:val="HeadHatzaotHok"/>
        <w:jc w:val="left"/>
        <w:rPr>
          <w:rFonts w:asciiTheme="majorBidi" w:hAnsiTheme="majorBidi"/>
          <w:b w:val="0"/>
          <w:bCs w:val="0"/>
          <w:sz w:val="24"/>
          <w:szCs w:val="24"/>
          <w:rtl/>
        </w:rPr>
      </w:pPr>
      <w:r w:rsidRPr="0052277E">
        <w:rPr>
          <w:rFonts w:asciiTheme="majorBidi" w:hAnsiTheme="majorBidi"/>
          <w:b w:val="0"/>
          <w:bCs w:val="0"/>
          <w:sz w:val="24"/>
          <w:szCs w:val="24"/>
          <w:rtl/>
        </w:rPr>
        <w:t>צו הטלגרף האלחוטי (אי תחולת הפקודה)</w:t>
      </w:r>
      <w:r w:rsidRPr="0052277E">
        <w:rPr>
          <w:rFonts w:asciiTheme="majorBidi" w:hAnsiTheme="majorBidi" w:hint="cs"/>
          <w:b w:val="0"/>
          <w:bCs w:val="0"/>
          <w:sz w:val="24"/>
          <w:szCs w:val="24"/>
          <w:rtl/>
        </w:rPr>
        <w:t xml:space="preserve"> </w:t>
      </w:r>
      <w:r w:rsidRPr="0052277E">
        <w:rPr>
          <w:rFonts w:asciiTheme="majorBidi" w:hAnsiTheme="majorBidi"/>
          <w:b w:val="0"/>
          <w:bCs w:val="0"/>
          <w:sz w:val="24"/>
          <w:szCs w:val="24"/>
          <w:rtl/>
        </w:rPr>
        <w:t>(מס' 2)</w:t>
      </w:r>
      <w:r w:rsidRPr="0052277E">
        <w:rPr>
          <w:rFonts w:asciiTheme="majorBidi" w:hAnsiTheme="majorBidi" w:hint="cs"/>
          <w:b w:val="0"/>
          <w:bCs w:val="0"/>
          <w:sz w:val="24"/>
          <w:szCs w:val="24"/>
          <w:rtl/>
        </w:rPr>
        <w:t xml:space="preserve"> </w:t>
      </w:r>
      <w:r w:rsidRPr="0052277E">
        <w:rPr>
          <w:rFonts w:asciiTheme="majorBidi" w:hAnsiTheme="majorBidi"/>
          <w:b w:val="0"/>
          <w:bCs w:val="0"/>
          <w:sz w:val="24"/>
          <w:szCs w:val="24"/>
          <w:rtl/>
        </w:rPr>
        <w:t>(תיקון</w:t>
      </w:r>
      <w:r w:rsidRPr="0052277E">
        <w:rPr>
          <w:rFonts w:asciiTheme="majorBidi" w:hAnsiTheme="majorBidi" w:hint="cs"/>
          <w:b w:val="0"/>
          <w:bCs w:val="0"/>
          <w:sz w:val="24"/>
          <w:szCs w:val="24"/>
          <w:rtl/>
        </w:rPr>
        <w:t xml:space="preserve"> מס' ...</w:t>
      </w:r>
      <w:r w:rsidRPr="0052277E">
        <w:rPr>
          <w:rFonts w:asciiTheme="majorBidi" w:hAnsiTheme="majorBidi"/>
          <w:b w:val="0"/>
          <w:bCs w:val="0"/>
          <w:sz w:val="24"/>
          <w:szCs w:val="24"/>
          <w:rtl/>
        </w:rPr>
        <w:t>), התש</w:t>
      </w:r>
      <w:r w:rsidRPr="0052277E">
        <w:rPr>
          <w:rFonts w:asciiTheme="majorBidi" w:hAnsiTheme="majorBidi" w:hint="cs"/>
          <w:b w:val="0"/>
          <w:bCs w:val="0"/>
          <w:sz w:val="24"/>
          <w:szCs w:val="24"/>
          <w:rtl/>
        </w:rPr>
        <w:t>"ף</w:t>
      </w:r>
      <w:r w:rsidRPr="0052277E">
        <w:rPr>
          <w:rFonts w:asciiTheme="majorBidi" w:hAnsiTheme="majorBidi"/>
          <w:b w:val="0"/>
          <w:bCs w:val="0"/>
          <w:sz w:val="24"/>
          <w:szCs w:val="24"/>
          <w:rtl/>
        </w:rPr>
        <w:t>-20</w:t>
      </w:r>
      <w:r w:rsidRPr="0052277E">
        <w:rPr>
          <w:rFonts w:asciiTheme="majorBidi" w:hAnsiTheme="majorBidi" w:hint="cs"/>
          <w:b w:val="0"/>
          <w:bCs w:val="0"/>
          <w:sz w:val="24"/>
          <w:szCs w:val="24"/>
          <w:rtl/>
        </w:rPr>
        <w:t>20</w:t>
      </w:r>
      <w:r w:rsidR="00C93299">
        <w:rPr>
          <w:rFonts w:asciiTheme="majorBidi" w:hAnsiTheme="majorBidi" w:hint="cs"/>
          <w:b w:val="0"/>
          <w:bCs w:val="0"/>
          <w:sz w:val="24"/>
          <w:szCs w:val="24"/>
          <w:rtl/>
        </w:rPr>
        <w:t>.</w:t>
      </w:r>
    </w:p>
    <w:p w14:paraId="36C58C17" w14:textId="785DB39D" w:rsidR="0052277E" w:rsidRPr="0052277E" w:rsidRDefault="0052277E" w:rsidP="0052277E">
      <w:pPr>
        <w:pStyle w:val="HeadHatzaotHok"/>
        <w:jc w:val="left"/>
        <w:rPr>
          <w:rFonts w:asciiTheme="majorBidi" w:hAnsiTheme="majorBidi"/>
          <w:sz w:val="28"/>
          <w:szCs w:val="28"/>
          <w:rtl/>
        </w:rPr>
      </w:pPr>
      <w:r w:rsidRPr="0052277E">
        <w:rPr>
          <w:rFonts w:asciiTheme="majorBidi" w:hAnsiTheme="majorBidi"/>
          <w:sz w:val="28"/>
          <w:szCs w:val="28"/>
          <w:rtl/>
        </w:rPr>
        <w:t xml:space="preserve">ב. מטרת </w:t>
      </w:r>
      <w:r>
        <w:rPr>
          <w:rFonts w:asciiTheme="majorBidi" w:hAnsiTheme="majorBidi" w:hint="cs"/>
          <w:sz w:val="28"/>
          <w:szCs w:val="28"/>
          <w:rtl/>
        </w:rPr>
        <w:t>הצו המוצע</w:t>
      </w:r>
      <w:r>
        <w:rPr>
          <w:rFonts w:asciiTheme="majorBidi" w:hAnsiTheme="majorBidi"/>
          <w:sz w:val="28"/>
          <w:szCs w:val="28"/>
          <w:rtl/>
        </w:rPr>
        <w:t xml:space="preserve"> והצורך ב</w:t>
      </w:r>
      <w:r>
        <w:rPr>
          <w:rFonts w:asciiTheme="majorBidi" w:hAnsiTheme="majorBidi" w:hint="cs"/>
          <w:sz w:val="28"/>
          <w:szCs w:val="28"/>
          <w:rtl/>
        </w:rPr>
        <w:t>ו</w:t>
      </w:r>
      <w:r w:rsidRPr="0052277E">
        <w:rPr>
          <w:rFonts w:asciiTheme="majorBidi" w:hAnsiTheme="majorBidi"/>
          <w:sz w:val="28"/>
          <w:szCs w:val="28"/>
          <w:rtl/>
        </w:rPr>
        <w:t xml:space="preserve"> </w:t>
      </w:r>
    </w:p>
    <w:p w14:paraId="374AC471" w14:textId="77777777" w:rsidR="0052277E" w:rsidRPr="0052277E" w:rsidRDefault="0052277E" w:rsidP="0052277E">
      <w:pPr>
        <w:autoSpaceDE/>
        <w:autoSpaceDN/>
        <w:adjustRightInd/>
        <w:spacing w:before="0" w:line="360" w:lineRule="auto"/>
        <w:ind w:left="340" w:firstLine="0"/>
        <w:contextualSpacing/>
        <w:textAlignment w:val="auto"/>
        <w:rPr>
          <w:rFonts w:ascii="Times New Roman" w:eastAsiaTheme="minorHAnsi" w:hAnsi="Times New Roman" w:cs="David"/>
          <w:color w:val="auto"/>
          <w:spacing w:val="0"/>
          <w:sz w:val="24"/>
          <w:szCs w:val="24"/>
          <w:rtl/>
          <w:lang w:eastAsia="en-US"/>
        </w:rPr>
      </w:pPr>
      <w:r w:rsidRPr="0052277E">
        <w:rPr>
          <w:rFonts w:ascii="Times New Roman" w:eastAsiaTheme="minorHAnsi" w:hAnsi="Times New Roman" w:cs="David"/>
          <w:color w:val="auto"/>
          <w:spacing w:val="0"/>
          <w:sz w:val="24"/>
          <w:szCs w:val="24"/>
          <w:rtl/>
          <w:lang w:eastAsia="en-US"/>
        </w:rPr>
        <w:t xml:space="preserve">תחום תדרי הרדיו הוא משאב </w:t>
      </w:r>
      <w:r w:rsidRPr="0052277E">
        <w:rPr>
          <w:rFonts w:ascii="Times New Roman" w:eastAsiaTheme="minorHAnsi" w:hAnsi="Times New Roman" w:cs="David" w:hint="cs"/>
          <w:color w:val="auto"/>
          <w:spacing w:val="0"/>
          <w:sz w:val="24"/>
          <w:szCs w:val="24"/>
          <w:rtl/>
          <w:lang w:eastAsia="en-US"/>
        </w:rPr>
        <w:t>ציבורי מוגבל</w:t>
      </w:r>
      <w:r w:rsidRPr="0052277E">
        <w:rPr>
          <w:rFonts w:ascii="Times New Roman" w:eastAsiaTheme="minorHAnsi" w:hAnsi="Times New Roman" w:cs="David"/>
          <w:color w:val="auto"/>
          <w:spacing w:val="0"/>
          <w:sz w:val="24"/>
          <w:szCs w:val="24"/>
          <w:rtl/>
          <w:lang w:eastAsia="en-US"/>
        </w:rPr>
        <w:t xml:space="preserve">, ועל כן יש חשיבות רבה לניהול מתוכנן </w:t>
      </w:r>
      <w:r w:rsidRPr="0052277E">
        <w:rPr>
          <w:rFonts w:ascii="Times New Roman" w:eastAsiaTheme="minorHAnsi" w:hAnsi="Times New Roman" w:cs="David" w:hint="cs"/>
          <w:color w:val="auto"/>
          <w:spacing w:val="0"/>
          <w:sz w:val="24"/>
          <w:szCs w:val="24"/>
          <w:rtl/>
          <w:lang w:eastAsia="en-US"/>
        </w:rPr>
        <w:t>שלו</w:t>
      </w:r>
      <w:r w:rsidRPr="0052277E">
        <w:rPr>
          <w:rFonts w:ascii="Times New Roman" w:eastAsiaTheme="minorHAnsi" w:hAnsi="Times New Roman" w:cs="David"/>
          <w:color w:val="auto"/>
          <w:spacing w:val="0"/>
          <w:sz w:val="24"/>
          <w:szCs w:val="24"/>
          <w:rtl/>
          <w:lang w:eastAsia="en-US"/>
        </w:rPr>
        <w:t xml:space="preserve"> במטרה להבטיח שימוש יעיל במשאב זה לרווחת הציבור וכל הגורמים המשתמשים בו. חשיבות זו גוברת נוכח ביקוש הולך וגובר לתדרים בעבור שימושים אזרחיים מגוונים ובראשם אספקה של שירותי תקשורת מתקדמים, ובעבור צרכיה השונים של מערכת הביטחון.</w:t>
      </w:r>
      <w:r w:rsidRPr="0052277E">
        <w:rPr>
          <w:rFonts w:ascii="Times New Roman" w:eastAsiaTheme="minorHAnsi" w:hAnsi="Times New Roman" w:cs="David" w:hint="cs"/>
          <w:color w:val="auto"/>
          <w:spacing w:val="0"/>
          <w:sz w:val="24"/>
          <w:szCs w:val="24"/>
          <w:rtl/>
          <w:lang w:eastAsia="en-US"/>
        </w:rPr>
        <w:t xml:space="preserve"> </w:t>
      </w:r>
    </w:p>
    <w:p w14:paraId="4A5EFD6F" w14:textId="77777777" w:rsidR="0052277E" w:rsidRPr="0052277E" w:rsidRDefault="0052277E" w:rsidP="0052277E">
      <w:pPr>
        <w:autoSpaceDE/>
        <w:autoSpaceDN/>
        <w:adjustRightInd/>
        <w:spacing w:before="0" w:line="360" w:lineRule="auto"/>
        <w:ind w:left="340" w:firstLine="0"/>
        <w:contextualSpacing/>
        <w:textAlignment w:val="auto"/>
        <w:rPr>
          <w:rFonts w:ascii="Times New Roman" w:eastAsiaTheme="minorHAnsi" w:hAnsi="Times New Roman" w:cs="David"/>
          <w:color w:val="auto"/>
          <w:spacing w:val="0"/>
          <w:sz w:val="24"/>
          <w:szCs w:val="24"/>
          <w:highlight w:val="yellow"/>
          <w:lang w:eastAsia="en-US"/>
        </w:rPr>
      </w:pPr>
    </w:p>
    <w:p w14:paraId="392D5F8B" w14:textId="77777777" w:rsidR="0052277E" w:rsidRPr="0052277E" w:rsidRDefault="0052277E" w:rsidP="0052277E">
      <w:pPr>
        <w:autoSpaceDE/>
        <w:autoSpaceDN/>
        <w:adjustRightInd/>
        <w:spacing w:before="0" w:line="360" w:lineRule="auto"/>
        <w:ind w:left="340" w:firstLine="0"/>
        <w:contextualSpacing/>
        <w:textAlignment w:val="auto"/>
        <w:rPr>
          <w:rFonts w:ascii="David" w:eastAsiaTheme="minorHAnsi" w:hAnsi="David" w:cs="David"/>
          <w:color w:val="auto"/>
          <w:spacing w:val="0"/>
          <w:sz w:val="24"/>
          <w:szCs w:val="24"/>
          <w:highlight w:val="yellow"/>
          <w:rtl/>
          <w:lang w:eastAsia="en-US"/>
        </w:rPr>
      </w:pPr>
      <w:r w:rsidRPr="0052277E">
        <w:rPr>
          <w:rFonts w:ascii="Times New Roman" w:eastAsiaTheme="minorHAnsi" w:hAnsi="Times New Roman" w:cs="David"/>
          <w:color w:val="auto"/>
          <w:spacing w:val="0"/>
          <w:sz w:val="24"/>
          <w:szCs w:val="24"/>
          <w:rtl/>
          <w:lang w:eastAsia="en-US"/>
        </w:rPr>
        <w:t xml:space="preserve">ניהול הספקטרום האלקטרומגנטי נעשה באמצעות </w:t>
      </w:r>
      <w:r w:rsidRPr="0052277E">
        <w:rPr>
          <w:rFonts w:ascii="Times New Roman" w:eastAsiaTheme="minorHAnsi" w:hAnsi="Times New Roman" w:cs="David" w:hint="cs"/>
          <w:color w:val="auto"/>
          <w:spacing w:val="0"/>
          <w:sz w:val="24"/>
          <w:szCs w:val="24"/>
          <w:rtl/>
          <w:lang w:eastAsia="en-US"/>
        </w:rPr>
        <w:t xml:space="preserve">הועדה והקצאה של </w:t>
      </w:r>
      <w:r w:rsidRPr="0052277E">
        <w:rPr>
          <w:rFonts w:ascii="Times New Roman" w:eastAsiaTheme="minorHAnsi" w:hAnsi="Times New Roman" w:cs="David"/>
          <w:color w:val="auto"/>
          <w:spacing w:val="0"/>
          <w:sz w:val="24"/>
          <w:szCs w:val="24"/>
          <w:rtl/>
          <w:lang w:eastAsia="en-US"/>
        </w:rPr>
        <w:t>תדרי רדיו לצורכי תקשורת, ואסדרה של ציוד אלחוטי.</w:t>
      </w:r>
      <w:r w:rsidRPr="0052277E">
        <w:rPr>
          <w:rFonts w:ascii="Times New Roman" w:eastAsiaTheme="minorHAnsi" w:hAnsi="Times New Roman" w:cs="David" w:hint="cs"/>
          <w:color w:val="auto"/>
          <w:spacing w:val="0"/>
          <w:sz w:val="24"/>
          <w:szCs w:val="24"/>
          <w:rtl/>
          <w:lang w:eastAsia="en-US"/>
        </w:rPr>
        <w:t xml:space="preserve"> עם</w:t>
      </w:r>
      <w:r w:rsidRPr="0052277E">
        <w:rPr>
          <w:rFonts w:ascii="Times New Roman" w:eastAsiaTheme="minorHAnsi" w:hAnsi="Times New Roman" w:cs="David"/>
          <w:color w:val="auto"/>
          <w:spacing w:val="0"/>
          <w:sz w:val="24"/>
          <w:szCs w:val="24"/>
          <w:rtl/>
          <w:lang w:eastAsia="en-US"/>
        </w:rPr>
        <w:t xml:space="preserve"> </w:t>
      </w:r>
      <w:r w:rsidRPr="0052277E">
        <w:rPr>
          <w:rFonts w:ascii="Times New Roman" w:eastAsiaTheme="minorHAnsi" w:hAnsi="Times New Roman" w:cs="David" w:hint="cs"/>
          <w:color w:val="auto"/>
          <w:spacing w:val="0"/>
          <w:sz w:val="24"/>
          <w:szCs w:val="24"/>
          <w:rtl/>
          <w:lang w:eastAsia="en-US"/>
        </w:rPr>
        <w:t>המעבר</w:t>
      </w:r>
      <w:r w:rsidRPr="0052277E">
        <w:rPr>
          <w:rFonts w:ascii="Times New Roman" w:eastAsiaTheme="minorHAnsi" w:hAnsi="Times New Roman" w:cs="David"/>
          <w:color w:val="auto"/>
          <w:spacing w:val="0"/>
          <w:sz w:val="24"/>
          <w:szCs w:val="24"/>
          <w:rtl/>
          <w:lang w:eastAsia="en-US"/>
        </w:rPr>
        <w:t xml:space="preserve"> </w:t>
      </w:r>
      <w:r w:rsidRPr="0052277E">
        <w:rPr>
          <w:rFonts w:ascii="Times New Roman" w:eastAsiaTheme="minorHAnsi" w:hAnsi="Times New Roman" w:cs="David" w:hint="cs"/>
          <w:color w:val="auto"/>
          <w:spacing w:val="0"/>
          <w:sz w:val="24"/>
          <w:szCs w:val="24"/>
          <w:rtl/>
          <w:lang w:eastAsia="en-US"/>
        </w:rPr>
        <w:t>מתקשורת</w:t>
      </w:r>
      <w:r w:rsidRPr="0052277E">
        <w:rPr>
          <w:rFonts w:ascii="Times New Roman" w:eastAsiaTheme="minorHAnsi" w:hAnsi="Times New Roman" w:cs="David"/>
          <w:color w:val="auto"/>
          <w:spacing w:val="0"/>
          <w:sz w:val="24"/>
          <w:szCs w:val="24"/>
          <w:rtl/>
          <w:lang w:eastAsia="en-US"/>
        </w:rPr>
        <w:t xml:space="preserve"> </w:t>
      </w:r>
      <w:r w:rsidRPr="0052277E">
        <w:rPr>
          <w:rFonts w:ascii="Times New Roman" w:eastAsiaTheme="minorHAnsi" w:hAnsi="Times New Roman" w:cs="David" w:hint="cs"/>
          <w:color w:val="auto"/>
          <w:spacing w:val="0"/>
          <w:sz w:val="24"/>
          <w:szCs w:val="24"/>
          <w:rtl/>
          <w:lang w:eastAsia="en-US"/>
        </w:rPr>
        <w:t>המבוססת</w:t>
      </w:r>
      <w:r w:rsidRPr="0052277E">
        <w:rPr>
          <w:rFonts w:ascii="Times New Roman" w:eastAsiaTheme="minorHAnsi" w:hAnsi="Times New Roman" w:cs="David"/>
          <w:color w:val="auto"/>
          <w:spacing w:val="0"/>
          <w:sz w:val="24"/>
          <w:szCs w:val="24"/>
          <w:rtl/>
          <w:lang w:eastAsia="en-US"/>
        </w:rPr>
        <w:t xml:space="preserve"> </w:t>
      </w:r>
      <w:r w:rsidRPr="0052277E">
        <w:rPr>
          <w:rFonts w:ascii="Times New Roman" w:eastAsiaTheme="minorHAnsi" w:hAnsi="Times New Roman" w:cs="David" w:hint="cs"/>
          <w:color w:val="auto"/>
          <w:spacing w:val="0"/>
          <w:sz w:val="24"/>
          <w:szCs w:val="24"/>
          <w:rtl/>
          <w:lang w:eastAsia="en-US"/>
        </w:rPr>
        <w:t>על</w:t>
      </w:r>
      <w:r w:rsidRPr="0052277E">
        <w:rPr>
          <w:rFonts w:ascii="Times New Roman" w:eastAsiaTheme="minorHAnsi" w:hAnsi="Times New Roman" w:cs="David"/>
          <w:color w:val="auto"/>
          <w:spacing w:val="0"/>
          <w:sz w:val="24"/>
          <w:szCs w:val="24"/>
          <w:rtl/>
          <w:lang w:eastAsia="en-US"/>
        </w:rPr>
        <w:t xml:space="preserve"> </w:t>
      </w:r>
      <w:r w:rsidRPr="0052277E">
        <w:rPr>
          <w:rFonts w:ascii="Times New Roman" w:eastAsiaTheme="minorHAnsi" w:hAnsi="Times New Roman" w:cs="David" w:hint="cs"/>
          <w:color w:val="auto"/>
          <w:spacing w:val="0"/>
          <w:sz w:val="24"/>
          <w:szCs w:val="24"/>
          <w:rtl/>
          <w:lang w:eastAsia="en-US"/>
        </w:rPr>
        <w:t>ערוצי</w:t>
      </w:r>
      <w:r w:rsidRPr="0052277E">
        <w:rPr>
          <w:rFonts w:ascii="Times New Roman" w:eastAsiaTheme="minorHAnsi" w:hAnsi="Times New Roman" w:cs="David"/>
          <w:color w:val="auto"/>
          <w:spacing w:val="0"/>
          <w:sz w:val="24"/>
          <w:szCs w:val="24"/>
          <w:rtl/>
          <w:lang w:eastAsia="en-US"/>
        </w:rPr>
        <w:t xml:space="preserve"> </w:t>
      </w:r>
      <w:r w:rsidRPr="0052277E">
        <w:rPr>
          <w:rFonts w:ascii="Times New Roman" w:eastAsiaTheme="minorHAnsi" w:hAnsi="Times New Roman" w:cs="David" w:hint="cs"/>
          <w:color w:val="auto"/>
          <w:spacing w:val="0"/>
          <w:sz w:val="24"/>
          <w:szCs w:val="24"/>
          <w:rtl/>
          <w:lang w:eastAsia="en-US"/>
        </w:rPr>
        <w:t>דיבור</w:t>
      </w:r>
      <w:r w:rsidRPr="0052277E">
        <w:rPr>
          <w:rFonts w:ascii="Times New Roman" w:eastAsiaTheme="minorHAnsi" w:hAnsi="Times New Roman" w:cs="David"/>
          <w:color w:val="auto"/>
          <w:spacing w:val="0"/>
          <w:sz w:val="24"/>
          <w:szCs w:val="24"/>
          <w:rtl/>
          <w:lang w:eastAsia="en-US"/>
        </w:rPr>
        <w:t xml:space="preserve"> </w:t>
      </w:r>
      <w:r w:rsidRPr="0052277E">
        <w:rPr>
          <w:rFonts w:ascii="Times New Roman" w:eastAsiaTheme="minorHAnsi" w:hAnsi="Times New Roman" w:cs="David" w:hint="cs"/>
          <w:color w:val="auto"/>
          <w:spacing w:val="0"/>
          <w:sz w:val="24"/>
          <w:szCs w:val="24"/>
          <w:rtl/>
          <w:lang w:eastAsia="en-US"/>
        </w:rPr>
        <w:t>לתקשורת</w:t>
      </w:r>
      <w:r w:rsidRPr="0052277E">
        <w:rPr>
          <w:rFonts w:ascii="Times New Roman" w:eastAsiaTheme="minorHAnsi" w:hAnsi="Times New Roman" w:cs="David"/>
          <w:color w:val="auto"/>
          <w:spacing w:val="0"/>
          <w:sz w:val="24"/>
          <w:szCs w:val="24"/>
          <w:rtl/>
          <w:lang w:eastAsia="en-US"/>
        </w:rPr>
        <w:t xml:space="preserve"> </w:t>
      </w:r>
      <w:r w:rsidRPr="0052277E">
        <w:rPr>
          <w:rFonts w:ascii="Times New Roman" w:eastAsiaTheme="minorHAnsi" w:hAnsi="Times New Roman" w:cs="David" w:hint="cs"/>
          <w:color w:val="auto"/>
          <w:spacing w:val="0"/>
          <w:sz w:val="24"/>
          <w:szCs w:val="24"/>
          <w:rtl/>
          <w:lang w:eastAsia="en-US"/>
        </w:rPr>
        <w:t>המבוססת</w:t>
      </w:r>
      <w:r w:rsidRPr="0052277E">
        <w:rPr>
          <w:rFonts w:ascii="Times New Roman" w:eastAsiaTheme="minorHAnsi" w:hAnsi="Times New Roman" w:cs="David"/>
          <w:color w:val="auto"/>
          <w:spacing w:val="0"/>
          <w:sz w:val="24"/>
          <w:szCs w:val="24"/>
          <w:rtl/>
          <w:lang w:eastAsia="en-US"/>
        </w:rPr>
        <w:t xml:space="preserve"> </w:t>
      </w:r>
      <w:r w:rsidRPr="0052277E">
        <w:rPr>
          <w:rFonts w:ascii="Times New Roman" w:eastAsiaTheme="minorHAnsi" w:hAnsi="Times New Roman" w:cs="David" w:hint="cs"/>
          <w:color w:val="auto"/>
          <w:spacing w:val="0"/>
          <w:sz w:val="24"/>
          <w:szCs w:val="24"/>
          <w:rtl/>
          <w:lang w:eastAsia="en-US"/>
        </w:rPr>
        <w:t>על</w:t>
      </w:r>
      <w:r w:rsidRPr="0052277E">
        <w:rPr>
          <w:rFonts w:ascii="Times New Roman" w:eastAsiaTheme="minorHAnsi" w:hAnsi="Times New Roman" w:cs="David"/>
          <w:color w:val="auto"/>
          <w:spacing w:val="0"/>
          <w:sz w:val="24"/>
          <w:szCs w:val="24"/>
          <w:rtl/>
          <w:lang w:eastAsia="en-US"/>
        </w:rPr>
        <w:t xml:space="preserve"> </w:t>
      </w:r>
      <w:r w:rsidRPr="0052277E">
        <w:rPr>
          <w:rFonts w:ascii="Times New Roman" w:eastAsiaTheme="minorHAnsi" w:hAnsi="Times New Roman" w:cs="David" w:hint="cs"/>
          <w:color w:val="auto"/>
          <w:spacing w:val="0"/>
          <w:sz w:val="24"/>
          <w:szCs w:val="24"/>
          <w:rtl/>
          <w:lang w:eastAsia="en-US"/>
        </w:rPr>
        <w:t>העברת נתונים</w:t>
      </w:r>
      <w:r w:rsidRPr="0052277E">
        <w:rPr>
          <w:rFonts w:ascii="Times New Roman" w:eastAsiaTheme="minorHAnsi" w:hAnsi="Times New Roman" w:cs="David"/>
          <w:color w:val="auto"/>
          <w:spacing w:val="0"/>
          <w:sz w:val="24"/>
          <w:szCs w:val="24"/>
          <w:rtl/>
          <w:lang w:eastAsia="en-US"/>
        </w:rPr>
        <w:t xml:space="preserve">, </w:t>
      </w:r>
      <w:r w:rsidRPr="0052277E">
        <w:rPr>
          <w:rFonts w:ascii="Times New Roman" w:eastAsiaTheme="minorHAnsi" w:hAnsi="Times New Roman" w:cs="David" w:hint="cs"/>
          <w:color w:val="auto"/>
          <w:spacing w:val="0"/>
          <w:sz w:val="24"/>
          <w:szCs w:val="24"/>
          <w:rtl/>
          <w:lang w:eastAsia="en-US"/>
        </w:rPr>
        <w:t>ניתן</w:t>
      </w:r>
      <w:r w:rsidRPr="0052277E">
        <w:rPr>
          <w:rFonts w:ascii="Times New Roman" w:eastAsiaTheme="minorHAnsi" w:hAnsi="Times New Roman" w:cs="David"/>
          <w:color w:val="auto"/>
          <w:spacing w:val="0"/>
          <w:sz w:val="24"/>
          <w:szCs w:val="24"/>
          <w:rtl/>
          <w:lang w:eastAsia="en-US"/>
        </w:rPr>
        <w:t xml:space="preserve"> </w:t>
      </w:r>
      <w:r w:rsidRPr="0052277E">
        <w:rPr>
          <w:rFonts w:ascii="Times New Roman" w:eastAsiaTheme="minorHAnsi" w:hAnsi="Times New Roman" w:cs="David" w:hint="cs"/>
          <w:color w:val="auto"/>
          <w:spacing w:val="0"/>
          <w:sz w:val="24"/>
          <w:szCs w:val="24"/>
          <w:rtl/>
          <w:lang w:eastAsia="en-US"/>
        </w:rPr>
        <w:t>לנצל</w:t>
      </w:r>
      <w:r w:rsidRPr="0052277E">
        <w:rPr>
          <w:rFonts w:ascii="Times New Roman" w:eastAsiaTheme="minorHAnsi" w:hAnsi="Times New Roman" w:cs="David"/>
          <w:color w:val="auto"/>
          <w:spacing w:val="0"/>
          <w:sz w:val="24"/>
          <w:szCs w:val="24"/>
          <w:rtl/>
          <w:lang w:eastAsia="en-US"/>
        </w:rPr>
        <w:t xml:space="preserve"> </w:t>
      </w:r>
      <w:r w:rsidRPr="0052277E">
        <w:rPr>
          <w:rFonts w:ascii="Times New Roman" w:eastAsiaTheme="minorHAnsi" w:hAnsi="Times New Roman" w:cs="David" w:hint="cs"/>
          <w:color w:val="auto"/>
          <w:spacing w:val="0"/>
          <w:sz w:val="24"/>
          <w:szCs w:val="24"/>
          <w:rtl/>
          <w:lang w:eastAsia="en-US"/>
        </w:rPr>
        <w:t>את</w:t>
      </w:r>
      <w:r w:rsidRPr="0052277E">
        <w:rPr>
          <w:rFonts w:ascii="Times New Roman" w:eastAsiaTheme="minorHAnsi" w:hAnsi="Times New Roman" w:cs="David"/>
          <w:color w:val="auto"/>
          <w:spacing w:val="0"/>
          <w:sz w:val="24"/>
          <w:szCs w:val="24"/>
          <w:rtl/>
          <w:lang w:eastAsia="en-US"/>
        </w:rPr>
        <w:t xml:space="preserve"> </w:t>
      </w:r>
      <w:r w:rsidRPr="0052277E">
        <w:rPr>
          <w:rFonts w:ascii="Times New Roman" w:eastAsiaTheme="minorHAnsi" w:hAnsi="Times New Roman" w:cs="David" w:hint="cs"/>
          <w:color w:val="auto"/>
          <w:spacing w:val="0"/>
          <w:sz w:val="24"/>
          <w:szCs w:val="24"/>
          <w:rtl/>
          <w:lang w:eastAsia="en-US"/>
        </w:rPr>
        <w:t>תחומי</w:t>
      </w:r>
      <w:r w:rsidRPr="0052277E">
        <w:rPr>
          <w:rFonts w:ascii="Times New Roman" w:eastAsiaTheme="minorHAnsi" w:hAnsi="Times New Roman" w:cs="David"/>
          <w:color w:val="auto"/>
          <w:spacing w:val="0"/>
          <w:sz w:val="24"/>
          <w:szCs w:val="24"/>
          <w:rtl/>
          <w:lang w:eastAsia="en-US"/>
        </w:rPr>
        <w:t xml:space="preserve"> </w:t>
      </w:r>
      <w:r w:rsidRPr="0052277E">
        <w:rPr>
          <w:rFonts w:ascii="Times New Roman" w:eastAsiaTheme="minorHAnsi" w:hAnsi="Times New Roman" w:cs="David" w:hint="cs"/>
          <w:color w:val="auto"/>
          <w:spacing w:val="0"/>
          <w:sz w:val="24"/>
          <w:szCs w:val="24"/>
          <w:rtl/>
          <w:lang w:eastAsia="en-US"/>
        </w:rPr>
        <w:t>התדר</w:t>
      </w:r>
      <w:r w:rsidRPr="0052277E">
        <w:rPr>
          <w:rFonts w:ascii="Times New Roman" w:eastAsiaTheme="minorHAnsi" w:hAnsi="Times New Roman" w:cs="David"/>
          <w:color w:val="auto"/>
          <w:spacing w:val="0"/>
          <w:sz w:val="24"/>
          <w:szCs w:val="24"/>
          <w:rtl/>
          <w:lang w:eastAsia="en-US"/>
        </w:rPr>
        <w:t xml:space="preserve"> </w:t>
      </w:r>
      <w:r w:rsidRPr="0052277E">
        <w:rPr>
          <w:rFonts w:ascii="Times New Roman" w:eastAsiaTheme="minorHAnsi" w:hAnsi="Times New Roman" w:cs="David" w:hint="cs"/>
          <w:color w:val="auto"/>
          <w:spacing w:val="0"/>
          <w:sz w:val="24"/>
          <w:szCs w:val="24"/>
          <w:rtl/>
          <w:lang w:eastAsia="en-US"/>
        </w:rPr>
        <w:t>הגבוהים</w:t>
      </w:r>
      <w:r w:rsidRPr="0052277E">
        <w:rPr>
          <w:rFonts w:ascii="Times New Roman" w:eastAsiaTheme="minorHAnsi" w:hAnsi="Times New Roman" w:cs="David"/>
          <w:color w:val="auto"/>
          <w:spacing w:val="0"/>
          <w:sz w:val="24"/>
          <w:szCs w:val="24"/>
          <w:rtl/>
          <w:lang w:eastAsia="en-US"/>
        </w:rPr>
        <w:t xml:space="preserve"> </w:t>
      </w:r>
      <w:r w:rsidRPr="0052277E">
        <w:rPr>
          <w:rFonts w:ascii="Times New Roman" w:eastAsiaTheme="minorHAnsi" w:hAnsi="Times New Roman" w:cs="David" w:hint="cs"/>
          <w:color w:val="auto"/>
          <w:spacing w:val="0"/>
          <w:sz w:val="24"/>
          <w:szCs w:val="24"/>
          <w:rtl/>
          <w:lang w:eastAsia="en-US"/>
        </w:rPr>
        <w:t>(</w:t>
      </w:r>
      <w:r w:rsidRPr="0052277E">
        <w:rPr>
          <w:rFonts w:ascii="David" w:eastAsiaTheme="minorHAnsi" w:hAnsi="David" w:cs="David" w:hint="cs"/>
          <w:color w:val="auto"/>
          <w:spacing w:val="0"/>
          <w:sz w:val="24"/>
          <w:szCs w:val="24"/>
          <w:rtl/>
          <w:lang w:eastAsia="en-US"/>
        </w:rPr>
        <w:t xml:space="preserve">תחומי ה-66-57 </w:t>
      </w:r>
      <w:proofErr w:type="spellStart"/>
      <w:r w:rsidRPr="0052277E">
        <w:rPr>
          <w:rFonts w:ascii="David" w:eastAsiaTheme="minorHAnsi" w:hAnsi="David" w:cs="David" w:hint="cs"/>
          <w:color w:val="auto"/>
          <w:spacing w:val="0"/>
          <w:sz w:val="24"/>
          <w:szCs w:val="24"/>
          <w:rtl/>
          <w:lang w:eastAsia="en-US"/>
        </w:rPr>
        <w:t>גה"ץ</w:t>
      </w:r>
      <w:proofErr w:type="spellEnd"/>
      <w:r w:rsidRPr="0052277E">
        <w:rPr>
          <w:rFonts w:ascii="David" w:eastAsiaTheme="minorHAnsi" w:hAnsi="David" w:cs="David" w:hint="cs"/>
          <w:color w:val="auto"/>
          <w:spacing w:val="0"/>
          <w:sz w:val="24"/>
          <w:szCs w:val="24"/>
          <w:rtl/>
          <w:lang w:eastAsia="en-US"/>
        </w:rPr>
        <w:t xml:space="preserve"> (המכונה </w:t>
      </w:r>
      <w:r w:rsidRPr="0052277E">
        <w:rPr>
          <w:rFonts w:ascii="David" w:eastAsiaTheme="minorHAnsi" w:hAnsi="David" w:cs="David"/>
          <w:color w:val="auto"/>
          <w:spacing w:val="0"/>
          <w:sz w:val="24"/>
          <w:szCs w:val="24"/>
          <w:lang w:eastAsia="en-US"/>
        </w:rPr>
        <w:t>V-Band</w:t>
      </w:r>
      <w:r w:rsidRPr="0052277E">
        <w:rPr>
          <w:rFonts w:ascii="David" w:eastAsiaTheme="minorHAnsi" w:hAnsi="David" w:cs="David" w:hint="cs"/>
          <w:color w:val="auto"/>
          <w:spacing w:val="0"/>
          <w:sz w:val="24"/>
          <w:szCs w:val="24"/>
          <w:rtl/>
          <w:lang w:eastAsia="en-US"/>
        </w:rPr>
        <w:t xml:space="preserve">); 76-71 </w:t>
      </w:r>
      <w:proofErr w:type="spellStart"/>
      <w:r w:rsidRPr="0052277E">
        <w:rPr>
          <w:rFonts w:ascii="David" w:eastAsiaTheme="minorHAnsi" w:hAnsi="David" w:cs="David" w:hint="cs"/>
          <w:color w:val="auto"/>
          <w:spacing w:val="0"/>
          <w:sz w:val="24"/>
          <w:szCs w:val="24"/>
          <w:rtl/>
          <w:lang w:eastAsia="en-US"/>
        </w:rPr>
        <w:t>גה"ץ</w:t>
      </w:r>
      <w:proofErr w:type="spellEnd"/>
      <w:r w:rsidRPr="0052277E">
        <w:rPr>
          <w:rFonts w:ascii="David" w:eastAsiaTheme="minorHAnsi" w:hAnsi="David" w:cs="David" w:hint="cs"/>
          <w:color w:val="auto"/>
          <w:spacing w:val="0"/>
          <w:sz w:val="24"/>
          <w:szCs w:val="24"/>
          <w:rtl/>
          <w:lang w:eastAsia="en-US"/>
        </w:rPr>
        <w:t xml:space="preserve"> (המכונה </w:t>
      </w:r>
      <w:r w:rsidRPr="0052277E">
        <w:rPr>
          <w:rFonts w:ascii="David" w:eastAsiaTheme="minorHAnsi" w:hAnsi="David" w:cs="David"/>
          <w:color w:val="auto"/>
          <w:spacing w:val="0"/>
          <w:sz w:val="24"/>
          <w:szCs w:val="24"/>
          <w:lang w:eastAsia="en-US"/>
        </w:rPr>
        <w:t>E-Band</w:t>
      </w:r>
      <w:r w:rsidRPr="0052277E">
        <w:rPr>
          <w:rFonts w:ascii="David" w:eastAsiaTheme="minorHAnsi" w:hAnsi="David" w:cs="David" w:hint="cs"/>
          <w:color w:val="auto"/>
          <w:spacing w:val="0"/>
          <w:sz w:val="24"/>
          <w:szCs w:val="24"/>
          <w:rtl/>
          <w:lang w:eastAsia="en-US"/>
        </w:rPr>
        <w:t xml:space="preserve"> נמוך) ו-86-81 </w:t>
      </w:r>
      <w:proofErr w:type="spellStart"/>
      <w:r w:rsidRPr="0052277E">
        <w:rPr>
          <w:rFonts w:ascii="David" w:eastAsiaTheme="minorHAnsi" w:hAnsi="David" w:cs="David" w:hint="cs"/>
          <w:color w:val="auto"/>
          <w:spacing w:val="0"/>
          <w:sz w:val="24"/>
          <w:szCs w:val="24"/>
          <w:rtl/>
          <w:lang w:eastAsia="en-US"/>
        </w:rPr>
        <w:t>גה"ץ</w:t>
      </w:r>
      <w:proofErr w:type="spellEnd"/>
      <w:r w:rsidRPr="0052277E">
        <w:rPr>
          <w:rFonts w:ascii="David" w:eastAsiaTheme="minorHAnsi" w:hAnsi="David" w:cs="David" w:hint="cs"/>
          <w:color w:val="auto"/>
          <w:spacing w:val="0"/>
          <w:sz w:val="24"/>
          <w:szCs w:val="24"/>
          <w:rtl/>
          <w:lang w:eastAsia="en-US"/>
        </w:rPr>
        <w:t xml:space="preserve"> (המכונה </w:t>
      </w:r>
      <w:r w:rsidRPr="0052277E">
        <w:rPr>
          <w:rFonts w:ascii="David" w:eastAsiaTheme="minorHAnsi" w:hAnsi="David" w:cs="David"/>
          <w:color w:val="auto"/>
          <w:spacing w:val="0"/>
          <w:sz w:val="24"/>
          <w:szCs w:val="24"/>
          <w:lang w:eastAsia="en-US"/>
        </w:rPr>
        <w:t>E-Band</w:t>
      </w:r>
      <w:r w:rsidRPr="0052277E">
        <w:rPr>
          <w:rFonts w:ascii="David" w:eastAsiaTheme="minorHAnsi" w:hAnsi="David" w:cs="David" w:hint="cs"/>
          <w:color w:val="auto"/>
          <w:spacing w:val="0"/>
          <w:sz w:val="24"/>
          <w:szCs w:val="24"/>
          <w:rtl/>
          <w:lang w:eastAsia="en-US"/>
        </w:rPr>
        <w:t xml:space="preserve"> גבוה) </w:t>
      </w:r>
      <w:r w:rsidRPr="0052277E">
        <w:rPr>
          <w:rFonts w:ascii="Times New Roman" w:eastAsiaTheme="minorHAnsi" w:hAnsi="Times New Roman" w:cs="David"/>
          <w:color w:val="auto"/>
          <w:spacing w:val="0"/>
          <w:sz w:val="24"/>
          <w:szCs w:val="24"/>
          <w:rtl/>
          <w:lang w:eastAsia="en-US"/>
        </w:rPr>
        <w:t>בתחום התדרים שיועד לשימוש של עורקי מיקרוגל, תחום המכונה "</w:t>
      </w:r>
      <w:r w:rsidRPr="0052277E">
        <w:rPr>
          <w:rFonts w:ascii="Times New Roman" w:eastAsiaTheme="minorHAnsi" w:hAnsi="Times New Roman" w:cs="David" w:hint="cs"/>
          <w:color w:val="auto"/>
          <w:spacing w:val="0"/>
          <w:sz w:val="24"/>
          <w:szCs w:val="24"/>
          <w:rtl/>
          <w:lang w:eastAsia="en-US"/>
        </w:rPr>
        <w:t>גלים</w:t>
      </w:r>
      <w:r w:rsidRPr="0052277E">
        <w:rPr>
          <w:rFonts w:ascii="Times New Roman" w:eastAsiaTheme="minorHAnsi" w:hAnsi="Times New Roman" w:cs="David"/>
          <w:color w:val="auto"/>
          <w:spacing w:val="0"/>
          <w:sz w:val="24"/>
          <w:szCs w:val="24"/>
          <w:rtl/>
          <w:lang w:eastAsia="en-US"/>
        </w:rPr>
        <w:t xml:space="preserve"> </w:t>
      </w:r>
      <w:r w:rsidRPr="0052277E">
        <w:rPr>
          <w:rFonts w:ascii="Times New Roman" w:eastAsiaTheme="minorHAnsi" w:hAnsi="Times New Roman" w:cs="David" w:hint="cs"/>
          <w:color w:val="auto"/>
          <w:spacing w:val="0"/>
          <w:sz w:val="24"/>
          <w:szCs w:val="24"/>
          <w:rtl/>
          <w:lang w:eastAsia="en-US"/>
        </w:rPr>
        <w:t>מילימטריים</w:t>
      </w:r>
      <w:r w:rsidRPr="0052277E">
        <w:rPr>
          <w:rFonts w:ascii="Times New Roman" w:eastAsiaTheme="minorHAnsi" w:hAnsi="Times New Roman" w:cs="David"/>
          <w:color w:val="auto"/>
          <w:spacing w:val="0"/>
          <w:sz w:val="24"/>
          <w:szCs w:val="24"/>
          <w:rtl/>
          <w:lang w:eastAsia="en-US"/>
        </w:rPr>
        <w:t xml:space="preserve">" (מאחר </w:t>
      </w:r>
      <w:r w:rsidRPr="0052277E">
        <w:rPr>
          <w:rFonts w:ascii="Times New Roman" w:eastAsiaTheme="minorHAnsi" w:hAnsi="Times New Roman" w:cs="David" w:hint="cs"/>
          <w:color w:val="auto"/>
          <w:spacing w:val="0"/>
          <w:sz w:val="24"/>
          <w:szCs w:val="24"/>
          <w:rtl/>
          <w:lang w:eastAsia="en-US"/>
        </w:rPr>
        <w:t>שאורכם</w:t>
      </w:r>
      <w:r w:rsidRPr="0052277E">
        <w:rPr>
          <w:rFonts w:ascii="Times New Roman" w:eastAsiaTheme="minorHAnsi" w:hAnsi="Times New Roman" w:cs="David"/>
          <w:color w:val="auto"/>
          <w:spacing w:val="0"/>
          <w:sz w:val="24"/>
          <w:szCs w:val="24"/>
          <w:rtl/>
          <w:lang w:eastAsia="en-US"/>
        </w:rPr>
        <w:t xml:space="preserve"> </w:t>
      </w:r>
      <w:r w:rsidRPr="0052277E">
        <w:rPr>
          <w:rFonts w:ascii="Times New Roman" w:eastAsiaTheme="minorHAnsi" w:hAnsi="Times New Roman" w:cs="David" w:hint="cs"/>
          <w:color w:val="auto"/>
          <w:spacing w:val="0"/>
          <w:sz w:val="24"/>
          <w:szCs w:val="24"/>
          <w:rtl/>
          <w:lang w:eastAsia="en-US"/>
        </w:rPr>
        <w:t>של</w:t>
      </w:r>
      <w:r w:rsidRPr="0052277E">
        <w:rPr>
          <w:rFonts w:ascii="Times New Roman" w:eastAsiaTheme="minorHAnsi" w:hAnsi="Times New Roman" w:cs="David"/>
          <w:color w:val="auto"/>
          <w:spacing w:val="0"/>
          <w:sz w:val="24"/>
          <w:szCs w:val="24"/>
          <w:rtl/>
          <w:lang w:eastAsia="en-US"/>
        </w:rPr>
        <w:t xml:space="preserve"> </w:t>
      </w:r>
      <w:r w:rsidRPr="0052277E">
        <w:rPr>
          <w:rFonts w:ascii="Times New Roman" w:eastAsiaTheme="minorHAnsi" w:hAnsi="Times New Roman" w:cs="David" w:hint="cs"/>
          <w:color w:val="auto"/>
          <w:spacing w:val="0"/>
          <w:sz w:val="24"/>
          <w:szCs w:val="24"/>
          <w:rtl/>
          <w:lang w:eastAsia="en-US"/>
        </w:rPr>
        <w:t>הגלים</w:t>
      </w:r>
      <w:r w:rsidRPr="0052277E">
        <w:rPr>
          <w:rFonts w:ascii="Times New Roman" w:eastAsiaTheme="minorHAnsi" w:hAnsi="Times New Roman" w:cs="David"/>
          <w:color w:val="auto"/>
          <w:spacing w:val="0"/>
          <w:sz w:val="24"/>
          <w:szCs w:val="24"/>
          <w:rtl/>
          <w:lang w:eastAsia="en-US"/>
        </w:rPr>
        <w:t xml:space="preserve"> </w:t>
      </w:r>
      <w:r w:rsidRPr="0052277E">
        <w:rPr>
          <w:rFonts w:ascii="Times New Roman" w:eastAsiaTheme="minorHAnsi" w:hAnsi="Times New Roman" w:cs="David" w:hint="cs"/>
          <w:color w:val="auto"/>
          <w:spacing w:val="0"/>
          <w:sz w:val="24"/>
          <w:szCs w:val="24"/>
          <w:rtl/>
          <w:lang w:eastAsia="en-US"/>
        </w:rPr>
        <w:t>הוא</w:t>
      </w:r>
      <w:r w:rsidRPr="0052277E">
        <w:rPr>
          <w:rFonts w:ascii="Times New Roman" w:eastAsiaTheme="minorHAnsi" w:hAnsi="Times New Roman" w:cs="David"/>
          <w:color w:val="auto"/>
          <w:spacing w:val="0"/>
          <w:sz w:val="24"/>
          <w:szCs w:val="24"/>
          <w:rtl/>
          <w:lang w:eastAsia="en-US"/>
        </w:rPr>
        <w:t xml:space="preserve"> </w:t>
      </w:r>
      <w:r w:rsidRPr="0052277E">
        <w:rPr>
          <w:rFonts w:ascii="Times New Roman" w:eastAsiaTheme="minorHAnsi" w:hAnsi="Times New Roman" w:cs="David" w:hint="cs"/>
          <w:color w:val="auto"/>
          <w:spacing w:val="0"/>
          <w:sz w:val="24"/>
          <w:szCs w:val="24"/>
          <w:rtl/>
          <w:lang w:eastAsia="en-US"/>
        </w:rPr>
        <w:t>מילימטרים</w:t>
      </w:r>
      <w:r w:rsidRPr="0052277E">
        <w:rPr>
          <w:rFonts w:ascii="Times New Roman" w:eastAsiaTheme="minorHAnsi" w:hAnsi="Times New Roman" w:cs="David"/>
          <w:color w:val="auto"/>
          <w:spacing w:val="0"/>
          <w:sz w:val="24"/>
          <w:szCs w:val="24"/>
          <w:rtl/>
          <w:lang w:eastAsia="en-US"/>
        </w:rPr>
        <w:t xml:space="preserve"> </w:t>
      </w:r>
      <w:r w:rsidRPr="0052277E">
        <w:rPr>
          <w:rFonts w:ascii="Times New Roman" w:eastAsiaTheme="minorHAnsi" w:hAnsi="Times New Roman" w:cs="David" w:hint="cs"/>
          <w:color w:val="auto"/>
          <w:spacing w:val="0"/>
          <w:sz w:val="24"/>
          <w:szCs w:val="24"/>
          <w:rtl/>
          <w:lang w:eastAsia="en-US"/>
        </w:rPr>
        <w:t>בלבד</w:t>
      </w:r>
      <w:r w:rsidRPr="0052277E">
        <w:rPr>
          <w:rFonts w:ascii="Times New Roman" w:eastAsiaTheme="minorHAnsi" w:hAnsi="Times New Roman" w:cs="David"/>
          <w:color w:val="auto"/>
          <w:spacing w:val="0"/>
          <w:sz w:val="24"/>
          <w:szCs w:val="24"/>
          <w:rtl/>
          <w:lang w:eastAsia="en-US"/>
        </w:rPr>
        <w:t>)</w:t>
      </w:r>
      <w:r w:rsidRPr="0052277E">
        <w:rPr>
          <w:rFonts w:ascii="Times New Roman" w:eastAsiaTheme="minorHAnsi" w:hAnsi="Times New Roman" w:cs="David" w:hint="cs"/>
          <w:color w:val="auto"/>
          <w:spacing w:val="0"/>
          <w:sz w:val="24"/>
          <w:szCs w:val="24"/>
          <w:rtl/>
          <w:lang w:eastAsia="en-US"/>
        </w:rPr>
        <w:t xml:space="preserve"> (להלן </w:t>
      </w:r>
      <w:r w:rsidRPr="0052277E">
        <w:rPr>
          <w:rFonts w:ascii="Times New Roman" w:eastAsiaTheme="minorHAnsi" w:hAnsi="Times New Roman" w:cs="David"/>
          <w:color w:val="auto"/>
          <w:spacing w:val="0"/>
          <w:sz w:val="24"/>
          <w:szCs w:val="24"/>
          <w:rtl/>
          <w:lang w:eastAsia="en-US"/>
        </w:rPr>
        <w:t>–</w:t>
      </w:r>
      <w:r w:rsidRPr="0052277E">
        <w:rPr>
          <w:rFonts w:ascii="Times New Roman" w:eastAsiaTheme="minorHAnsi" w:hAnsi="Times New Roman" w:cs="David" w:hint="cs"/>
          <w:color w:val="auto"/>
          <w:spacing w:val="0"/>
          <w:sz w:val="24"/>
          <w:szCs w:val="24"/>
          <w:rtl/>
          <w:lang w:eastAsia="en-US"/>
        </w:rPr>
        <w:t xml:space="preserve"> תחום הגלים המילימטריים)</w:t>
      </w:r>
      <w:r w:rsidRPr="0052277E">
        <w:rPr>
          <w:rFonts w:ascii="Times New Roman" w:eastAsiaTheme="minorHAnsi" w:hAnsi="Times New Roman" w:cs="David"/>
          <w:color w:val="auto"/>
          <w:spacing w:val="0"/>
          <w:sz w:val="24"/>
          <w:szCs w:val="24"/>
          <w:rtl/>
          <w:lang w:eastAsia="en-US"/>
        </w:rPr>
        <w:t xml:space="preserve">. תחום </w:t>
      </w:r>
      <w:r w:rsidRPr="0052277E">
        <w:rPr>
          <w:rFonts w:ascii="Times New Roman" w:eastAsiaTheme="minorHAnsi" w:hAnsi="Times New Roman" w:cs="David" w:hint="cs"/>
          <w:color w:val="auto"/>
          <w:spacing w:val="0"/>
          <w:sz w:val="24"/>
          <w:szCs w:val="24"/>
          <w:rtl/>
          <w:lang w:eastAsia="en-US"/>
        </w:rPr>
        <w:t>הגלים המילימטריים</w:t>
      </w:r>
      <w:r w:rsidRPr="0052277E">
        <w:rPr>
          <w:rFonts w:ascii="Times New Roman" w:eastAsiaTheme="minorHAnsi" w:hAnsi="Times New Roman" w:cs="David"/>
          <w:color w:val="auto"/>
          <w:spacing w:val="0"/>
          <w:sz w:val="24"/>
          <w:szCs w:val="24"/>
          <w:rtl/>
          <w:lang w:eastAsia="en-US"/>
        </w:rPr>
        <w:t xml:space="preserve"> מאופיין בטכנולוגיה המאפשרת העברת קצבי מידע גבוהים מאוד של </w:t>
      </w:r>
      <w:proofErr w:type="spellStart"/>
      <w:r w:rsidRPr="0052277E">
        <w:rPr>
          <w:rFonts w:ascii="Times New Roman" w:eastAsiaTheme="minorHAnsi" w:hAnsi="Times New Roman" w:cs="David"/>
          <w:color w:val="auto"/>
          <w:spacing w:val="0"/>
          <w:sz w:val="24"/>
          <w:szCs w:val="24"/>
          <w:lang w:eastAsia="en-US"/>
        </w:rPr>
        <w:t>Gbps</w:t>
      </w:r>
      <w:proofErr w:type="spellEnd"/>
      <w:r w:rsidRPr="0052277E">
        <w:rPr>
          <w:rFonts w:ascii="Times New Roman" w:eastAsiaTheme="minorHAnsi" w:hAnsi="Times New Roman" w:cs="David"/>
          <w:color w:val="auto"/>
          <w:spacing w:val="0"/>
          <w:sz w:val="24"/>
          <w:szCs w:val="24"/>
          <w:vertAlign w:val="superscript"/>
          <w:lang w:eastAsia="en-US"/>
        </w:rPr>
        <w:footnoteReference w:id="1"/>
      </w:r>
      <w:r w:rsidRPr="0052277E">
        <w:rPr>
          <w:rFonts w:ascii="Times New Roman" w:eastAsiaTheme="minorHAnsi" w:hAnsi="Times New Roman" w:cs="David"/>
          <w:color w:val="auto"/>
          <w:spacing w:val="0"/>
          <w:sz w:val="24"/>
          <w:szCs w:val="24"/>
          <w:rtl/>
          <w:lang w:eastAsia="en-US"/>
        </w:rPr>
        <w:t xml:space="preserve"> אחדים ועד עשרות </w:t>
      </w:r>
      <w:proofErr w:type="spellStart"/>
      <w:r w:rsidRPr="0052277E">
        <w:rPr>
          <w:rFonts w:ascii="Times New Roman" w:eastAsiaTheme="minorHAnsi" w:hAnsi="Times New Roman" w:cs="David"/>
          <w:color w:val="auto"/>
          <w:spacing w:val="0"/>
          <w:sz w:val="24"/>
          <w:szCs w:val="24"/>
          <w:lang w:eastAsia="en-US"/>
        </w:rPr>
        <w:t>Gbps</w:t>
      </w:r>
      <w:proofErr w:type="spellEnd"/>
      <w:r w:rsidRPr="0052277E">
        <w:rPr>
          <w:rFonts w:ascii="Times New Roman" w:eastAsiaTheme="minorHAnsi" w:hAnsi="Times New Roman" w:cs="David"/>
          <w:color w:val="auto"/>
          <w:spacing w:val="0"/>
          <w:sz w:val="24"/>
          <w:szCs w:val="24"/>
          <w:rtl/>
          <w:lang w:eastAsia="en-US"/>
        </w:rPr>
        <w:t xml:space="preserve"> למרחקים קצרים של ק"מ בודדים, </w:t>
      </w:r>
      <w:r w:rsidRPr="0052277E">
        <w:rPr>
          <w:rFonts w:ascii="Times New Roman" w:eastAsiaTheme="minorHAnsi" w:hAnsi="Times New Roman" w:cs="David" w:hint="cs"/>
          <w:color w:val="auto"/>
          <w:spacing w:val="0"/>
          <w:sz w:val="24"/>
          <w:szCs w:val="24"/>
          <w:rtl/>
          <w:lang w:eastAsia="en-US"/>
        </w:rPr>
        <w:t>ו</w:t>
      </w:r>
      <w:r w:rsidRPr="0052277E">
        <w:rPr>
          <w:rFonts w:ascii="Times New Roman" w:eastAsiaTheme="minorHAnsi" w:hAnsi="Times New Roman" w:cs="David"/>
          <w:color w:val="auto"/>
          <w:spacing w:val="0"/>
          <w:sz w:val="24"/>
          <w:szCs w:val="24"/>
          <w:rtl/>
          <w:lang w:eastAsia="en-US"/>
        </w:rPr>
        <w:t xml:space="preserve">בזמינות נמוכה ניתן לספק קצבי מידע גבוהים </w:t>
      </w:r>
      <w:r w:rsidRPr="0052277E">
        <w:rPr>
          <w:rFonts w:ascii="Times New Roman" w:eastAsiaTheme="minorHAnsi" w:hAnsi="Times New Roman" w:cs="David" w:hint="cs"/>
          <w:color w:val="auto"/>
          <w:spacing w:val="0"/>
          <w:sz w:val="24"/>
          <w:szCs w:val="24"/>
          <w:rtl/>
          <w:lang w:eastAsia="en-US"/>
        </w:rPr>
        <w:t xml:space="preserve">למרחקים ארוכים יותר (למשל </w:t>
      </w:r>
      <w:r w:rsidRPr="0052277E">
        <w:rPr>
          <w:rFonts w:ascii="Times New Roman" w:eastAsiaTheme="minorHAnsi" w:hAnsi="Times New Roman" w:cs="David"/>
          <w:color w:val="auto"/>
          <w:spacing w:val="0"/>
          <w:sz w:val="24"/>
          <w:szCs w:val="24"/>
          <w:rtl/>
          <w:lang w:eastAsia="en-US"/>
        </w:rPr>
        <w:t>למרחק של 10 ק"מ</w:t>
      </w:r>
      <w:r w:rsidRPr="0052277E">
        <w:rPr>
          <w:rFonts w:ascii="Times New Roman" w:eastAsiaTheme="minorHAnsi" w:hAnsi="Times New Roman" w:cs="David" w:hint="cs"/>
          <w:color w:val="auto"/>
          <w:spacing w:val="0"/>
          <w:sz w:val="24"/>
          <w:szCs w:val="24"/>
          <w:rtl/>
          <w:lang w:eastAsia="en-US"/>
        </w:rPr>
        <w:t>)</w:t>
      </w:r>
      <w:r w:rsidRPr="0052277E">
        <w:rPr>
          <w:rFonts w:ascii="Times New Roman" w:eastAsiaTheme="minorHAnsi" w:hAnsi="Times New Roman" w:cs="David"/>
          <w:color w:val="auto"/>
          <w:spacing w:val="0"/>
          <w:sz w:val="24"/>
          <w:szCs w:val="24"/>
          <w:rtl/>
          <w:lang w:eastAsia="en-US"/>
        </w:rPr>
        <w:t xml:space="preserve">. </w:t>
      </w:r>
      <w:r w:rsidRPr="0052277E">
        <w:rPr>
          <w:rFonts w:ascii="Times New Roman" w:eastAsiaTheme="minorHAnsi" w:hAnsi="Times New Roman" w:cs="David" w:hint="cs"/>
          <w:color w:val="auto"/>
          <w:spacing w:val="0"/>
          <w:sz w:val="24"/>
          <w:szCs w:val="24"/>
          <w:rtl/>
          <w:lang w:eastAsia="en-US"/>
        </w:rPr>
        <w:t>ניצול יעיל של תחום</w:t>
      </w:r>
      <w:r w:rsidRPr="0052277E">
        <w:rPr>
          <w:rFonts w:ascii="Times New Roman" w:eastAsiaTheme="minorHAnsi" w:hAnsi="Times New Roman" w:cs="David"/>
          <w:color w:val="auto"/>
          <w:spacing w:val="0"/>
          <w:sz w:val="24"/>
          <w:szCs w:val="24"/>
          <w:rtl/>
          <w:lang w:eastAsia="en-US"/>
        </w:rPr>
        <w:t xml:space="preserve"> הגלים המילימטריים </w:t>
      </w:r>
      <w:r w:rsidRPr="0052277E">
        <w:rPr>
          <w:rFonts w:ascii="Times New Roman" w:eastAsiaTheme="minorHAnsi" w:hAnsi="Times New Roman" w:cs="David" w:hint="cs"/>
          <w:color w:val="auto"/>
          <w:spacing w:val="0"/>
          <w:sz w:val="24"/>
          <w:szCs w:val="24"/>
          <w:rtl/>
          <w:lang w:eastAsia="en-US"/>
        </w:rPr>
        <w:t>יכול</w:t>
      </w:r>
      <w:r w:rsidRPr="0052277E">
        <w:rPr>
          <w:rFonts w:ascii="Times New Roman" w:eastAsiaTheme="minorHAnsi" w:hAnsi="Times New Roman" w:cs="David"/>
          <w:color w:val="auto"/>
          <w:spacing w:val="0"/>
          <w:sz w:val="24"/>
          <w:szCs w:val="24"/>
          <w:rtl/>
          <w:lang w:eastAsia="en-US"/>
        </w:rPr>
        <w:t xml:space="preserve"> </w:t>
      </w:r>
      <w:r w:rsidRPr="0052277E">
        <w:rPr>
          <w:rFonts w:ascii="Times New Roman" w:eastAsiaTheme="minorHAnsi" w:hAnsi="Times New Roman" w:cs="David" w:hint="cs"/>
          <w:color w:val="auto"/>
          <w:spacing w:val="0"/>
          <w:sz w:val="24"/>
          <w:szCs w:val="24"/>
          <w:rtl/>
          <w:lang w:eastAsia="en-US"/>
        </w:rPr>
        <w:t>ל</w:t>
      </w:r>
      <w:r w:rsidRPr="0052277E">
        <w:rPr>
          <w:rFonts w:ascii="Times New Roman" w:eastAsiaTheme="minorHAnsi" w:hAnsi="Times New Roman" w:cs="David"/>
          <w:color w:val="auto"/>
          <w:spacing w:val="0"/>
          <w:sz w:val="24"/>
          <w:szCs w:val="24"/>
          <w:rtl/>
          <w:lang w:eastAsia="en-US"/>
        </w:rPr>
        <w:t>ה</w:t>
      </w:r>
      <w:r w:rsidRPr="0052277E">
        <w:rPr>
          <w:rFonts w:ascii="Times New Roman" w:eastAsiaTheme="minorHAnsi" w:hAnsi="Times New Roman" w:cs="David" w:hint="cs"/>
          <w:color w:val="auto"/>
          <w:spacing w:val="0"/>
          <w:sz w:val="24"/>
          <w:szCs w:val="24"/>
          <w:rtl/>
          <w:lang w:eastAsia="en-US"/>
        </w:rPr>
        <w:t>יות</w:t>
      </w:r>
      <w:r w:rsidRPr="0052277E">
        <w:rPr>
          <w:rFonts w:ascii="Times New Roman" w:eastAsiaTheme="minorHAnsi" w:hAnsi="Times New Roman" w:cs="David"/>
          <w:color w:val="auto"/>
          <w:spacing w:val="0"/>
          <w:sz w:val="24"/>
          <w:szCs w:val="24"/>
          <w:rtl/>
          <w:lang w:eastAsia="en-US"/>
        </w:rPr>
        <w:t xml:space="preserve"> פתרון משלים לתשתית התקשורת </w:t>
      </w:r>
      <w:r w:rsidRPr="0052277E">
        <w:rPr>
          <w:rFonts w:ascii="Times New Roman" w:eastAsiaTheme="minorHAnsi" w:hAnsi="Times New Roman" w:cs="David" w:hint="cs"/>
          <w:color w:val="auto"/>
          <w:spacing w:val="0"/>
          <w:sz w:val="24"/>
          <w:szCs w:val="24"/>
          <w:rtl/>
          <w:lang w:eastAsia="en-US"/>
        </w:rPr>
        <w:t>האופטית</w:t>
      </w:r>
      <w:r w:rsidRPr="0052277E">
        <w:rPr>
          <w:rFonts w:ascii="Times New Roman" w:eastAsiaTheme="minorHAnsi" w:hAnsi="Times New Roman" w:cs="David"/>
          <w:color w:val="auto"/>
          <w:spacing w:val="0"/>
          <w:sz w:val="24"/>
          <w:szCs w:val="24"/>
          <w:rtl/>
          <w:lang w:eastAsia="en-US"/>
        </w:rPr>
        <w:t xml:space="preserve"> לצורך אספקת </w:t>
      </w:r>
      <w:r w:rsidRPr="0052277E">
        <w:rPr>
          <w:rFonts w:ascii="Times New Roman" w:eastAsiaTheme="minorHAnsi" w:hAnsi="Times New Roman" w:cs="David" w:hint="cs"/>
          <w:color w:val="auto"/>
          <w:spacing w:val="0"/>
          <w:sz w:val="24"/>
          <w:szCs w:val="24"/>
          <w:rtl/>
          <w:lang w:eastAsia="en-US"/>
        </w:rPr>
        <w:t>שירותים רחבי פס ברשת הגישה (</w:t>
      </w:r>
      <w:r w:rsidRPr="0052277E">
        <w:rPr>
          <w:rFonts w:ascii="Times New Roman" w:eastAsiaTheme="minorHAnsi" w:hAnsi="Times New Roman" w:cs="David"/>
          <w:color w:val="auto"/>
          <w:spacing w:val="0"/>
          <w:sz w:val="24"/>
          <w:szCs w:val="24"/>
          <w:lang w:eastAsia="en-US"/>
        </w:rPr>
        <w:t>"Last Mile"</w:t>
      </w:r>
      <w:r w:rsidRPr="0052277E">
        <w:rPr>
          <w:rFonts w:ascii="Times New Roman" w:eastAsiaTheme="minorHAnsi" w:hAnsi="Times New Roman" w:cs="David" w:hint="cs"/>
          <w:color w:val="auto"/>
          <w:spacing w:val="0"/>
          <w:sz w:val="24"/>
          <w:szCs w:val="24"/>
          <w:rtl/>
          <w:lang w:eastAsia="en-US"/>
        </w:rPr>
        <w:t>)</w:t>
      </w:r>
      <w:r w:rsidRPr="0052277E">
        <w:rPr>
          <w:rFonts w:ascii="Times New Roman" w:eastAsiaTheme="minorHAnsi" w:hAnsi="Times New Roman" w:cs="David"/>
          <w:color w:val="auto"/>
          <w:spacing w:val="0"/>
          <w:sz w:val="24"/>
          <w:szCs w:val="24"/>
          <w:rtl/>
          <w:lang w:eastAsia="en-US"/>
        </w:rPr>
        <w:t xml:space="preserve"> או פתרון רחב סרט לאזורים ללא תשתית אופטית.</w:t>
      </w:r>
    </w:p>
    <w:p w14:paraId="1CB737A2" w14:textId="77777777" w:rsidR="0052277E" w:rsidRPr="0052277E" w:rsidRDefault="0052277E" w:rsidP="0052277E">
      <w:pPr>
        <w:autoSpaceDE/>
        <w:autoSpaceDN/>
        <w:adjustRightInd/>
        <w:spacing w:before="0" w:line="360" w:lineRule="auto"/>
        <w:ind w:left="340" w:firstLine="0"/>
        <w:contextualSpacing/>
        <w:textAlignment w:val="auto"/>
        <w:rPr>
          <w:rFonts w:ascii="David" w:eastAsiaTheme="minorHAnsi" w:hAnsi="David" w:cs="David"/>
          <w:color w:val="auto"/>
          <w:spacing w:val="0"/>
          <w:sz w:val="24"/>
          <w:szCs w:val="24"/>
          <w:highlight w:val="yellow"/>
          <w:rtl/>
          <w:lang w:eastAsia="en-US"/>
        </w:rPr>
      </w:pPr>
    </w:p>
    <w:p w14:paraId="08C5A1EB" w14:textId="7A113DE4" w:rsidR="0052277E" w:rsidRPr="0052277E" w:rsidRDefault="0052277E" w:rsidP="004E2A94">
      <w:pPr>
        <w:autoSpaceDE/>
        <w:autoSpaceDN/>
        <w:adjustRightInd/>
        <w:spacing w:before="0" w:line="360" w:lineRule="auto"/>
        <w:ind w:left="340" w:firstLine="0"/>
        <w:contextualSpacing/>
        <w:textAlignment w:val="auto"/>
        <w:rPr>
          <w:rFonts w:ascii="David" w:hAnsi="David" w:cs="David"/>
          <w:sz w:val="24"/>
          <w:szCs w:val="24"/>
          <w:rtl/>
        </w:rPr>
      </w:pPr>
      <w:r w:rsidRPr="0052277E">
        <w:rPr>
          <w:rFonts w:ascii="David" w:eastAsiaTheme="minorHAnsi" w:hAnsi="David" w:cs="David"/>
          <w:color w:val="auto"/>
          <w:spacing w:val="0"/>
          <w:sz w:val="24"/>
          <w:szCs w:val="24"/>
          <w:rtl/>
          <w:lang w:eastAsia="en-US"/>
        </w:rPr>
        <w:t>על מנת לאפשר שימוש נרחב יותר בתחום הגלים</w:t>
      </w:r>
      <w:r w:rsidR="004E2A94">
        <w:rPr>
          <w:rFonts w:ascii="David" w:eastAsiaTheme="minorHAnsi" w:hAnsi="David" w:cs="David"/>
          <w:color w:val="auto"/>
          <w:spacing w:val="0"/>
          <w:sz w:val="24"/>
          <w:szCs w:val="24"/>
          <w:rtl/>
          <w:lang w:eastAsia="en-US"/>
        </w:rPr>
        <w:t xml:space="preserve"> המילימטריים, גיבש משרד התקשורת</w:t>
      </w:r>
      <w:r w:rsidRPr="0052277E">
        <w:rPr>
          <w:rFonts w:ascii="David" w:eastAsiaTheme="minorHAnsi" w:hAnsi="David" w:cs="David"/>
          <w:color w:val="auto"/>
          <w:spacing w:val="0"/>
          <w:sz w:val="24"/>
          <w:szCs w:val="24"/>
          <w:rtl/>
          <w:lang w:eastAsia="en-US"/>
        </w:rPr>
        <w:t xml:space="preserve"> מדיניות מוצעת להסדרתו </w:t>
      </w:r>
      <w:r w:rsidRPr="0052277E">
        <w:rPr>
          <w:rFonts w:ascii="David" w:eastAsiaTheme="minorHAnsi" w:hAnsi="David" w:cs="David"/>
          <w:color w:val="auto"/>
          <w:sz w:val="24"/>
          <w:szCs w:val="24"/>
          <w:rtl/>
          <w:lang w:eastAsia="en-US"/>
        </w:rPr>
        <w:t>של תחום ה-</w:t>
      </w:r>
      <w:r w:rsidRPr="0052277E">
        <w:rPr>
          <w:rFonts w:ascii="David" w:eastAsiaTheme="minorHAnsi" w:hAnsi="David" w:cs="David"/>
          <w:color w:val="auto"/>
          <w:sz w:val="24"/>
          <w:szCs w:val="24"/>
          <w:lang w:eastAsia="en-US"/>
        </w:rPr>
        <w:t>V-Band</w:t>
      </w:r>
      <w:r w:rsidRPr="0052277E">
        <w:rPr>
          <w:rFonts w:ascii="David" w:eastAsiaTheme="minorHAnsi" w:hAnsi="David" w:cs="David"/>
          <w:color w:val="auto"/>
          <w:sz w:val="24"/>
          <w:szCs w:val="24"/>
          <w:rtl/>
          <w:lang w:eastAsia="en-US"/>
        </w:rPr>
        <w:t xml:space="preserve"> ללא צורך בקבלת רישיון מכוח פקודת הטלגרף האלחוטי [נוסח חדש], התשל"ב-1972, ומבלי לשלם אגרה בעד השימוש בתדרים אלחוטיים (</w:t>
      </w:r>
      <w:r w:rsidRPr="0052277E">
        <w:rPr>
          <w:rFonts w:ascii="David" w:eastAsiaTheme="minorHAnsi" w:hAnsi="David" w:cs="David"/>
          <w:color w:val="auto"/>
          <w:sz w:val="24"/>
          <w:szCs w:val="24"/>
          <w:lang w:eastAsia="en-US"/>
        </w:rPr>
        <w:t>Unlicensed</w:t>
      </w:r>
      <w:r w:rsidRPr="0052277E">
        <w:rPr>
          <w:rFonts w:ascii="David" w:eastAsiaTheme="minorHAnsi" w:hAnsi="David" w:cs="David"/>
          <w:color w:val="auto"/>
          <w:sz w:val="24"/>
          <w:szCs w:val="24"/>
          <w:rtl/>
          <w:lang w:eastAsia="en-US"/>
        </w:rPr>
        <w:t>) באמצעות העברת התחום הזה ממשטר רישוי של רישיון רגיל למסלול רגולטורי של אישורי התאמה, שלפיו היבואן נדרש לקבל אישור מהמשרד אך ה</w:t>
      </w:r>
      <w:r>
        <w:rPr>
          <w:rFonts w:ascii="David" w:eastAsiaTheme="minorHAnsi" w:hAnsi="David" w:cs="David" w:hint="cs"/>
          <w:color w:val="auto"/>
          <w:sz w:val="24"/>
          <w:szCs w:val="24"/>
          <w:rtl/>
          <w:lang w:eastAsia="en-US"/>
        </w:rPr>
        <w:t>מפעיל</w:t>
      </w:r>
      <w:r w:rsidRPr="0052277E">
        <w:rPr>
          <w:rFonts w:ascii="David" w:eastAsiaTheme="minorHAnsi" w:hAnsi="David" w:cs="David"/>
          <w:color w:val="auto"/>
          <w:sz w:val="24"/>
          <w:szCs w:val="24"/>
          <w:rtl/>
          <w:lang w:eastAsia="en-US"/>
        </w:rPr>
        <w:t xml:space="preserve"> לא נדרש לקבל רישיון הפעלה לציוד או לשלם אגרה בעד </w:t>
      </w:r>
      <w:r w:rsidRPr="0052277E">
        <w:rPr>
          <w:rFonts w:ascii="David" w:eastAsiaTheme="minorHAnsi" w:hAnsi="David" w:cs="David"/>
          <w:color w:val="auto"/>
          <w:spacing w:val="0"/>
          <w:sz w:val="24"/>
          <w:szCs w:val="24"/>
          <w:rtl/>
          <w:lang w:eastAsia="en-US"/>
        </w:rPr>
        <w:t>השימוש</w:t>
      </w:r>
      <w:r w:rsidRPr="0052277E">
        <w:rPr>
          <w:rFonts w:ascii="David" w:eastAsiaTheme="minorHAnsi" w:hAnsi="David" w:cs="David"/>
          <w:color w:val="auto"/>
          <w:sz w:val="24"/>
          <w:szCs w:val="24"/>
          <w:rtl/>
          <w:lang w:eastAsia="en-US"/>
        </w:rPr>
        <w:t xml:space="preserve"> בתדר.</w:t>
      </w:r>
    </w:p>
    <w:p w14:paraId="02FABA44" w14:textId="77777777" w:rsidR="0052277E" w:rsidRDefault="0052277E">
      <w:pPr>
        <w:widowControl/>
        <w:autoSpaceDE/>
        <w:autoSpaceDN/>
        <w:bidi w:val="0"/>
        <w:adjustRightInd/>
        <w:spacing w:before="0" w:after="200" w:line="276" w:lineRule="auto"/>
        <w:ind w:firstLine="0"/>
        <w:jc w:val="left"/>
        <w:textAlignment w:val="auto"/>
        <w:rPr>
          <w:rFonts w:asciiTheme="majorBidi" w:eastAsia="Arial Unicode MS" w:hAnsiTheme="majorBidi" w:cs="David"/>
          <w:b/>
          <w:bCs/>
          <w:snapToGrid w:val="0"/>
          <w:spacing w:val="0"/>
          <w:sz w:val="24"/>
          <w:szCs w:val="24"/>
          <w:rtl/>
        </w:rPr>
      </w:pPr>
      <w:r>
        <w:rPr>
          <w:rFonts w:asciiTheme="majorBidi" w:hAnsiTheme="majorBidi"/>
          <w:sz w:val="24"/>
          <w:szCs w:val="24"/>
          <w:rtl/>
        </w:rPr>
        <w:br w:type="page"/>
      </w:r>
    </w:p>
    <w:p w14:paraId="79B18094" w14:textId="20E16C0C" w:rsidR="00EB05AB" w:rsidRPr="002E5F06" w:rsidRDefault="005E1F4B" w:rsidP="0052277E">
      <w:pPr>
        <w:pStyle w:val="HeadHatzaotHok"/>
        <w:keepNext w:val="0"/>
        <w:keepLines w:val="0"/>
        <w:jc w:val="both"/>
        <w:rPr>
          <w:rFonts w:asciiTheme="majorBidi" w:hAnsiTheme="majorBidi"/>
          <w:sz w:val="24"/>
          <w:szCs w:val="24"/>
        </w:rPr>
      </w:pPr>
      <w:r w:rsidRPr="002E5F06">
        <w:rPr>
          <w:rFonts w:asciiTheme="majorBidi" w:hAnsiTheme="majorBidi"/>
          <w:sz w:val="24"/>
          <w:szCs w:val="24"/>
          <w:rtl/>
        </w:rPr>
        <w:lastRenderedPageBreak/>
        <w:t>צו הטלגרף האלחוטי (אי תחולת הפקודה)</w:t>
      </w:r>
      <w:r w:rsidR="00097AE6" w:rsidRPr="002E5F06">
        <w:rPr>
          <w:rFonts w:asciiTheme="majorBidi" w:hAnsiTheme="majorBidi" w:hint="cs"/>
          <w:sz w:val="24"/>
          <w:szCs w:val="24"/>
          <w:rtl/>
        </w:rPr>
        <w:t xml:space="preserve"> </w:t>
      </w:r>
      <w:r w:rsidRPr="002E5F06">
        <w:rPr>
          <w:rFonts w:asciiTheme="majorBidi" w:hAnsiTheme="majorBidi"/>
          <w:sz w:val="24"/>
          <w:szCs w:val="24"/>
          <w:rtl/>
        </w:rPr>
        <w:t>(מס' 2)</w:t>
      </w:r>
      <w:r w:rsidR="00097AE6" w:rsidRPr="002E5F06">
        <w:rPr>
          <w:rFonts w:asciiTheme="majorBidi" w:hAnsiTheme="majorBidi" w:hint="cs"/>
          <w:sz w:val="24"/>
          <w:szCs w:val="24"/>
          <w:rtl/>
        </w:rPr>
        <w:t xml:space="preserve"> </w:t>
      </w:r>
      <w:r w:rsidRPr="002E5F06">
        <w:rPr>
          <w:rFonts w:asciiTheme="majorBidi" w:hAnsiTheme="majorBidi"/>
          <w:sz w:val="24"/>
          <w:szCs w:val="24"/>
          <w:rtl/>
        </w:rPr>
        <w:t>(תיקון</w:t>
      </w:r>
      <w:r w:rsidR="005A6656" w:rsidRPr="002E5F06">
        <w:rPr>
          <w:rFonts w:asciiTheme="majorBidi" w:hAnsiTheme="majorBidi" w:hint="cs"/>
          <w:sz w:val="24"/>
          <w:szCs w:val="24"/>
          <w:rtl/>
        </w:rPr>
        <w:t xml:space="preserve"> מס' </w:t>
      </w:r>
      <w:r w:rsidR="002E5F06" w:rsidRPr="002E5F06">
        <w:rPr>
          <w:rFonts w:asciiTheme="majorBidi" w:hAnsiTheme="majorBidi" w:hint="cs"/>
          <w:sz w:val="24"/>
          <w:szCs w:val="24"/>
          <w:rtl/>
        </w:rPr>
        <w:t>...</w:t>
      </w:r>
      <w:r w:rsidRPr="002E5F06">
        <w:rPr>
          <w:rFonts w:asciiTheme="majorBidi" w:hAnsiTheme="majorBidi"/>
          <w:sz w:val="24"/>
          <w:szCs w:val="24"/>
          <w:rtl/>
        </w:rPr>
        <w:t>), התש</w:t>
      </w:r>
      <w:r w:rsidR="006B532A" w:rsidRPr="002E5F06">
        <w:rPr>
          <w:rFonts w:asciiTheme="majorBidi" w:hAnsiTheme="majorBidi" w:hint="cs"/>
          <w:sz w:val="24"/>
          <w:szCs w:val="24"/>
          <w:rtl/>
        </w:rPr>
        <w:t>"ף</w:t>
      </w:r>
      <w:r w:rsidRPr="002E5F06">
        <w:rPr>
          <w:rFonts w:asciiTheme="majorBidi" w:hAnsiTheme="majorBidi"/>
          <w:sz w:val="24"/>
          <w:szCs w:val="24"/>
          <w:rtl/>
        </w:rPr>
        <w:t>-20</w:t>
      </w:r>
      <w:r w:rsidR="006B532A" w:rsidRPr="002E5F06">
        <w:rPr>
          <w:rFonts w:asciiTheme="majorBidi" w:hAnsiTheme="majorBidi" w:hint="cs"/>
          <w:sz w:val="24"/>
          <w:szCs w:val="24"/>
          <w:rtl/>
        </w:rPr>
        <w:t>20</w:t>
      </w:r>
      <w:r w:rsidR="000E1772" w:rsidRPr="002E5F06">
        <w:rPr>
          <w:rFonts w:asciiTheme="majorBidi" w:hAnsiTheme="majorBidi" w:hint="cs"/>
          <w:sz w:val="24"/>
          <w:szCs w:val="24"/>
          <w:rtl/>
        </w:rPr>
        <w:t xml:space="preserve"> </w:t>
      </w:r>
    </w:p>
    <w:tbl>
      <w:tblPr>
        <w:tblpPr w:leftFromText="180" w:rightFromText="180" w:vertAnchor="text" w:horzAnchor="margin" w:tblpXSpec="center" w:tblpY="652"/>
        <w:bidiVisual/>
        <w:tblW w:w="10266" w:type="dxa"/>
        <w:tblLayout w:type="fixed"/>
        <w:tblCellMar>
          <w:top w:w="57" w:type="dxa"/>
          <w:left w:w="0" w:type="dxa"/>
          <w:bottom w:w="57" w:type="dxa"/>
          <w:right w:w="0" w:type="dxa"/>
        </w:tblCellMar>
        <w:tblLook w:val="01E0" w:firstRow="1" w:lastRow="1" w:firstColumn="1" w:lastColumn="1" w:noHBand="0" w:noVBand="0"/>
      </w:tblPr>
      <w:tblGrid>
        <w:gridCol w:w="1183"/>
        <w:gridCol w:w="567"/>
        <w:gridCol w:w="572"/>
        <w:gridCol w:w="401"/>
        <w:gridCol w:w="909"/>
        <w:gridCol w:w="6627"/>
        <w:gridCol w:w="7"/>
      </w:tblGrid>
      <w:tr w:rsidR="00CF5358" w:rsidRPr="002E5F06" w14:paraId="466E0176" w14:textId="77777777" w:rsidTr="000241A0">
        <w:trPr>
          <w:cantSplit/>
          <w:trHeight w:val="60"/>
        </w:trPr>
        <w:tc>
          <w:tcPr>
            <w:tcW w:w="10266" w:type="dxa"/>
            <w:gridSpan w:val="7"/>
          </w:tcPr>
          <w:p w14:paraId="299EA6B4" w14:textId="77777777" w:rsidR="00CF5358" w:rsidRPr="002E5F06" w:rsidRDefault="00CF5358" w:rsidP="000E1772">
            <w:pPr>
              <w:pStyle w:val="TableBlock"/>
              <w:rPr>
                <w:rFonts w:asciiTheme="majorBidi" w:hAnsiTheme="majorBidi"/>
                <w:b/>
                <w:bCs/>
                <w:sz w:val="24"/>
                <w:szCs w:val="24"/>
              </w:rPr>
            </w:pPr>
            <w:r w:rsidRPr="002E5F06">
              <w:rPr>
                <w:rFonts w:asciiTheme="majorBidi" w:hAnsiTheme="majorBidi"/>
                <w:sz w:val="24"/>
                <w:szCs w:val="24"/>
                <w:rtl/>
              </w:rPr>
              <w:t>בתוקף סמכותי לפי סעיף 4ט לפקודת הטלגרף האלחוטי [נוסח חדש], התשל"ב-1972</w:t>
            </w:r>
            <w:r w:rsidRPr="002E5F06">
              <w:rPr>
                <w:rStyle w:val="a7"/>
                <w:rFonts w:asciiTheme="majorBidi" w:hAnsiTheme="majorBidi"/>
                <w:sz w:val="24"/>
                <w:szCs w:val="24"/>
                <w:rtl/>
              </w:rPr>
              <w:footnoteReference w:id="2"/>
            </w:r>
            <w:r w:rsidRPr="002E5F06">
              <w:rPr>
                <w:rFonts w:asciiTheme="majorBidi" w:hAnsiTheme="majorBidi"/>
                <w:sz w:val="24"/>
                <w:szCs w:val="24"/>
                <w:rtl/>
              </w:rPr>
              <w:t>, אני מצווה לאמור:</w:t>
            </w:r>
          </w:p>
        </w:tc>
      </w:tr>
      <w:tr w:rsidR="00527484" w:rsidRPr="002E5F06" w14:paraId="718623C7" w14:textId="77777777" w:rsidTr="000241A0">
        <w:trPr>
          <w:cantSplit/>
          <w:trHeight w:val="60"/>
        </w:trPr>
        <w:tc>
          <w:tcPr>
            <w:tcW w:w="1183" w:type="dxa"/>
          </w:tcPr>
          <w:p w14:paraId="053ADCF2" w14:textId="77777777" w:rsidR="00527484" w:rsidRPr="002E5F06" w:rsidRDefault="00527484" w:rsidP="000E1772">
            <w:pPr>
              <w:pStyle w:val="TableSideHeading"/>
              <w:rPr>
                <w:rFonts w:asciiTheme="majorBidi" w:hAnsiTheme="majorBidi"/>
                <w:sz w:val="24"/>
                <w:szCs w:val="24"/>
                <w:rtl/>
              </w:rPr>
            </w:pPr>
          </w:p>
        </w:tc>
        <w:tc>
          <w:tcPr>
            <w:tcW w:w="9083" w:type="dxa"/>
            <w:gridSpan w:val="6"/>
          </w:tcPr>
          <w:p w14:paraId="3E3AD18F" w14:textId="77777777" w:rsidR="00527484" w:rsidRPr="002E5F06" w:rsidRDefault="00527484" w:rsidP="00354D6D">
            <w:pPr>
              <w:pStyle w:val="TableBlock"/>
              <w:rPr>
                <w:rFonts w:asciiTheme="majorBidi" w:hAnsiTheme="majorBidi"/>
                <w:sz w:val="24"/>
                <w:szCs w:val="24"/>
                <w:rtl/>
              </w:rPr>
            </w:pPr>
          </w:p>
        </w:tc>
      </w:tr>
      <w:tr w:rsidR="00CF5358" w:rsidRPr="002E5F06" w14:paraId="29AF7BDF" w14:textId="77777777" w:rsidTr="00354D6D">
        <w:trPr>
          <w:gridAfter w:val="1"/>
          <w:wAfter w:w="7" w:type="dxa"/>
          <w:cantSplit/>
          <w:trHeight w:val="60"/>
        </w:trPr>
        <w:tc>
          <w:tcPr>
            <w:tcW w:w="1183" w:type="dxa"/>
          </w:tcPr>
          <w:p w14:paraId="42177869" w14:textId="77777777" w:rsidR="00CF5358" w:rsidRPr="002E5F06" w:rsidRDefault="00354D6D" w:rsidP="000E1772">
            <w:pPr>
              <w:pStyle w:val="TableSideHeading"/>
              <w:rPr>
                <w:rFonts w:asciiTheme="majorBidi" w:hAnsiTheme="majorBidi"/>
                <w:sz w:val="24"/>
                <w:szCs w:val="24"/>
              </w:rPr>
            </w:pPr>
            <w:r w:rsidRPr="002E5F06">
              <w:rPr>
                <w:rFonts w:asciiTheme="majorBidi" w:hAnsiTheme="majorBidi" w:hint="cs"/>
                <w:sz w:val="24"/>
                <w:szCs w:val="24"/>
                <w:rtl/>
              </w:rPr>
              <w:t xml:space="preserve">תיקון סעיף 1 </w:t>
            </w:r>
          </w:p>
        </w:tc>
        <w:tc>
          <w:tcPr>
            <w:tcW w:w="567" w:type="dxa"/>
          </w:tcPr>
          <w:p w14:paraId="19733C5F" w14:textId="77777777" w:rsidR="00CF5358" w:rsidRPr="002E5F06" w:rsidRDefault="00CF5358" w:rsidP="000E1772">
            <w:pPr>
              <w:pStyle w:val="TableSideHeading"/>
              <w:rPr>
                <w:rFonts w:asciiTheme="majorBidi" w:hAnsiTheme="majorBidi"/>
                <w:sz w:val="24"/>
                <w:szCs w:val="24"/>
              </w:rPr>
            </w:pPr>
          </w:p>
        </w:tc>
        <w:tc>
          <w:tcPr>
            <w:tcW w:w="572" w:type="dxa"/>
          </w:tcPr>
          <w:p w14:paraId="014A2888" w14:textId="778D0FEC" w:rsidR="00354D6D" w:rsidRPr="002E5F06" w:rsidRDefault="00CF7FF9" w:rsidP="00CF7FF9">
            <w:pPr>
              <w:pStyle w:val="TableText"/>
              <w:rPr>
                <w:rFonts w:asciiTheme="majorBidi" w:hAnsiTheme="majorBidi"/>
                <w:sz w:val="24"/>
                <w:szCs w:val="24"/>
                <w:rtl/>
              </w:rPr>
            </w:pPr>
            <w:r w:rsidRPr="002E5F06">
              <w:rPr>
                <w:rFonts w:asciiTheme="majorBidi" w:hAnsiTheme="majorBidi" w:hint="cs"/>
                <w:sz w:val="24"/>
                <w:szCs w:val="24"/>
                <w:rtl/>
              </w:rPr>
              <w:t>1.</w:t>
            </w:r>
          </w:p>
        </w:tc>
        <w:tc>
          <w:tcPr>
            <w:tcW w:w="401" w:type="dxa"/>
          </w:tcPr>
          <w:p w14:paraId="1501A427" w14:textId="5C44BA48" w:rsidR="00CF5358" w:rsidRPr="002E5F06" w:rsidRDefault="00CF5358" w:rsidP="00FC0F55">
            <w:pPr>
              <w:pStyle w:val="TableText"/>
              <w:rPr>
                <w:rFonts w:asciiTheme="majorBidi" w:hAnsiTheme="majorBidi"/>
                <w:sz w:val="24"/>
                <w:szCs w:val="24"/>
                <w:rtl/>
              </w:rPr>
            </w:pPr>
          </w:p>
        </w:tc>
        <w:tc>
          <w:tcPr>
            <w:tcW w:w="7536" w:type="dxa"/>
            <w:gridSpan w:val="2"/>
          </w:tcPr>
          <w:p w14:paraId="7B032F3A" w14:textId="77777777" w:rsidR="00CF5358" w:rsidRPr="002E5F06" w:rsidRDefault="00354D6D" w:rsidP="00C746B1">
            <w:pPr>
              <w:pStyle w:val="TableBlock"/>
              <w:rPr>
                <w:rFonts w:asciiTheme="majorBidi" w:hAnsiTheme="majorBidi"/>
                <w:sz w:val="24"/>
                <w:szCs w:val="24"/>
                <w:rtl/>
              </w:rPr>
            </w:pPr>
            <w:r w:rsidRPr="002E5F06">
              <w:rPr>
                <w:rFonts w:asciiTheme="majorBidi" w:hAnsiTheme="majorBidi" w:hint="cs"/>
                <w:sz w:val="24"/>
                <w:szCs w:val="24"/>
                <w:rtl/>
              </w:rPr>
              <w:t xml:space="preserve">בסעיף 1(א)(1) </w:t>
            </w:r>
            <w:r w:rsidR="00C746B1" w:rsidRPr="002E5F06">
              <w:rPr>
                <w:rFonts w:asciiTheme="majorBidi" w:hAnsiTheme="majorBidi" w:hint="cs"/>
                <w:sz w:val="24"/>
                <w:szCs w:val="24"/>
                <w:rtl/>
              </w:rPr>
              <w:t>ל</w:t>
            </w:r>
            <w:r w:rsidR="00C746B1" w:rsidRPr="002E5F06">
              <w:rPr>
                <w:rFonts w:asciiTheme="majorBidi" w:hAnsiTheme="majorBidi"/>
                <w:sz w:val="24"/>
                <w:szCs w:val="24"/>
                <w:rtl/>
              </w:rPr>
              <w:t>צו הטלגרף האלחוטי (אי תחולת הפקודה) (מס' 2), התשמ"ב-1982</w:t>
            </w:r>
            <w:r w:rsidR="00C746B1" w:rsidRPr="002E5F06">
              <w:rPr>
                <w:rStyle w:val="a7"/>
                <w:rFonts w:asciiTheme="majorBidi" w:hAnsiTheme="majorBidi"/>
                <w:sz w:val="24"/>
                <w:szCs w:val="24"/>
                <w:rtl/>
              </w:rPr>
              <w:footnoteReference w:id="3"/>
            </w:r>
            <w:r w:rsidR="00A238E1" w:rsidRPr="002E5F06">
              <w:rPr>
                <w:rFonts w:asciiTheme="majorBidi" w:hAnsiTheme="majorBidi" w:hint="cs"/>
                <w:sz w:val="24"/>
                <w:szCs w:val="24"/>
                <w:rtl/>
              </w:rPr>
              <w:t xml:space="preserve">, </w:t>
            </w:r>
            <w:r w:rsidR="009672FC" w:rsidRPr="002E5F06">
              <w:rPr>
                <w:rFonts w:asciiTheme="majorBidi" w:hAnsiTheme="majorBidi" w:hint="cs"/>
                <w:sz w:val="24"/>
                <w:szCs w:val="24"/>
                <w:rtl/>
              </w:rPr>
              <w:t>אחרי פ</w:t>
            </w:r>
            <w:r w:rsidR="00CF5358" w:rsidRPr="002E5F06">
              <w:rPr>
                <w:rFonts w:asciiTheme="majorBidi" w:hAnsiTheme="majorBidi"/>
                <w:sz w:val="24"/>
                <w:szCs w:val="24"/>
                <w:rtl/>
              </w:rPr>
              <w:t>סקת משנה (</w:t>
            </w:r>
            <w:proofErr w:type="spellStart"/>
            <w:r w:rsidR="00CF5358" w:rsidRPr="002E5F06">
              <w:rPr>
                <w:rFonts w:asciiTheme="majorBidi" w:hAnsiTheme="majorBidi"/>
                <w:sz w:val="24"/>
                <w:szCs w:val="24"/>
                <w:rtl/>
              </w:rPr>
              <w:t>כ</w:t>
            </w:r>
            <w:r w:rsidR="00A238E1" w:rsidRPr="002E5F06">
              <w:rPr>
                <w:rFonts w:asciiTheme="majorBidi" w:hAnsiTheme="majorBidi" w:hint="cs"/>
                <w:sz w:val="24"/>
                <w:szCs w:val="24"/>
                <w:rtl/>
              </w:rPr>
              <w:t>א</w:t>
            </w:r>
            <w:proofErr w:type="spellEnd"/>
            <w:r w:rsidR="00CF5358" w:rsidRPr="002E5F06">
              <w:rPr>
                <w:rFonts w:asciiTheme="majorBidi" w:hAnsiTheme="majorBidi"/>
                <w:sz w:val="24"/>
                <w:szCs w:val="24"/>
                <w:rtl/>
              </w:rPr>
              <w:t xml:space="preserve">) יבוא </w:t>
            </w:r>
            <w:r w:rsidR="000241A0" w:rsidRPr="002E5F06">
              <w:rPr>
                <w:rFonts w:asciiTheme="majorBidi" w:hAnsiTheme="majorBidi"/>
                <w:sz w:val="24"/>
                <w:szCs w:val="24"/>
                <w:rtl/>
              </w:rPr>
              <w:t>–</w:t>
            </w:r>
          </w:p>
          <w:p w14:paraId="4437BF37" w14:textId="77777777" w:rsidR="000241A0" w:rsidRPr="002E5F06" w:rsidRDefault="00376E63" w:rsidP="00376E63">
            <w:pPr>
              <w:pStyle w:val="TableBlock"/>
              <w:rPr>
                <w:rFonts w:asciiTheme="majorBidi" w:hAnsiTheme="majorBidi"/>
                <w:sz w:val="24"/>
                <w:szCs w:val="24"/>
                <w:rtl/>
              </w:rPr>
            </w:pPr>
            <w:r w:rsidRPr="002E5F06">
              <w:rPr>
                <w:rFonts w:asciiTheme="majorBidi" w:hAnsiTheme="majorBidi" w:hint="cs"/>
                <w:sz w:val="24"/>
                <w:szCs w:val="24"/>
                <w:rtl/>
              </w:rPr>
              <w:t>"(</w:t>
            </w:r>
            <w:proofErr w:type="spellStart"/>
            <w:r w:rsidRPr="002E5F06">
              <w:rPr>
                <w:rFonts w:asciiTheme="majorBidi" w:hAnsiTheme="majorBidi" w:hint="cs"/>
                <w:sz w:val="24"/>
                <w:szCs w:val="24"/>
                <w:rtl/>
              </w:rPr>
              <w:t>כ</w:t>
            </w:r>
            <w:r w:rsidR="009672FC" w:rsidRPr="002E5F06">
              <w:rPr>
                <w:rFonts w:asciiTheme="majorBidi" w:hAnsiTheme="majorBidi" w:hint="cs"/>
                <w:sz w:val="24"/>
                <w:szCs w:val="24"/>
                <w:rtl/>
              </w:rPr>
              <w:t>ב</w:t>
            </w:r>
            <w:proofErr w:type="spellEnd"/>
            <w:r w:rsidRPr="002E5F06">
              <w:rPr>
                <w:rFonts w:asciiTheme="majorBidi" w:hAnsiTheme="majorBidi" w:hint="cs"/>
                <w:sz w:val="24"/>
                <w:szCs w:val="24"/>
                <w:rtl/>
              </w:rPr>
              <w:t xml:space="preserve">) </w:t>
            </w:r>
            <w:r w:rsidR="000241A0" w:rsidRPr="002E5F06">
              <w:rPr>
                <w:rFonts w:asciiTheme="majorBidi" w:hAnsiTheme="majorBidi" w:hint="cs"/>
                <w:sz w:val="24"/>
                <w:szCs w:val="24"/>
                <w:rtl/>
              </w:rPr>
              <w:t xml:space="preserve">הפועלים בתוך פס התדרים 57 </w:t>
            </w:r>
            <w:proofErr w:type="spellStart"/>
            <w:r w:rsidR="000241A0" w:rsidRPr="002E5F06">
              <w:rPr>
                <w:rFonts w:asciiTheme="majorBidi" w:hAnsiTheme="majorBidi" w:hint="cs"/>
                <w:sz w:val="24"/>
                <w:szCs w:val="24"/>
                <w:rtl/>
              </w:rPr>
              <w:t>גה"</w:t>
            </w:r>
            <w:r w:rsidR="00E27ABE" w:rsidRPr="002E5F06">
              <w:rPr>
                <w:rFonts w:asciiTheme="majorBidi" w:hAnsiTheme="majorBidi" w:hint="cs"/>
                <w:sz w:val="24"/>
                <w:szCs w:val="24"/>
                <w:rtl/>
              </w:rPr>
              <w:t>ץ</w:t>
            </w:r>
            <w:proofErr w:type="spellEnd"/>
            <w:r w:rsidR="00E27ABE" w:rsidRPr="002E5F06">
              <w:rPr>
                <w:rFonts w:asciiTheme="majorBidi" w:hAnsiTheme="majorBidi" w:hint="cs"/>
                <w:sz w:val="24"/>
                <w:szCs w:val="24"/>
                <w:rtl/>
              </w:rPr>
              <w:t xml:space="preserve"> עד </w:t>
            </w:r>
            <w:r w:rsidR="000241A0" w:rsidRPr="002E5F06">
              <w:rPr>
                <w:rFonts w:asciiTheme="majorBidi" w:hAnsiTheme="majorBidi" w:hint="cs"/>
                <w:sz w:val="24"/>
                <w:szCs w:val="24"/>
                <w:rtl/>
              </w:rPr>
              <w:t>6</w:t>
            </w:r>
            <w:r w:rsidR="001F3060" w:rsidRPr="002E5F06">
              <w:rPr>
                <w:rFonts w:asciiTheme="majorBidi" w:hAnsiTheme="majorBidi" w:hint="cs"/>
                <w:sz w:val="24"/>
                <w:szCs w:val="24"/>
                <w:rtl/>
              </w:rPr>
              <w:t>6</w:t>
            </w:r>
            <w:r w:rsidR="000241A0" w:rsidRPr="002E5F06">
              <w:rPr>
                <w:rFonts w:asciiTheme="majorBidi" w:hAnsiTheme="majorBidi" w:hint="cs"/>
                <w:sz w:val="24"/>
                <w:szCs w:val="24"/>
                <w:rtl/>
              </w:rPr>
              <w:t xml:space="preserve"> </w:t>
            </w:r>
            <w:proofErr w:type="spellStart"/>
            <w:r w:rsidR="000241A0" w:rsidRPr="002E5F06">
              <w:rPr>
                <w:rFonts w:asciiTheme="majorBidi" w:hAnsiTheme="majorBidi" w:hint="cs"/>
                <w:sz w:val="24"/>
                <w:szCs w:val="24"/>
                <w:rtl/>
              </w:rPr>
              <w:t>גה"ץ</w:t>
            </w:r>
            <w:proofErr w:type="spellEnd"/>
            <w:r w:rsidR="000241A0" w:rsidRPr="002E5F06">
              <w:rPr>
                <w:rFonts w:asciiTheme="majorBidi" w:hAnsiTheme="majorBidi" w:hint="cs"/>
                <w:sz w:val="24"/>
                <w:szCs w:val="24"/>
                <w:rtl/>
              </w:rPr>
              <w:t xml:space="preserve"> בתנאים אלה</w:t>
            </w:r>
            <w:r w:rsidR="001F3060" w:rsidRPr="002E5F06">
              <w:rPr>
                <w:rFonts w:asciiTheme="majorBidi" w:hAnsiTheme="majorBidi" w:hint="cs"/>
                <w:sz w:val="24"/>
                <w:szCs w:val="24"/>
                <w:rtl/>
              </w:rPr>
              <w:t>:</w:t>
            </w:r>
          </w:p>
        </w:tc>
      </w:tr>
      <w:tr w:rsidR="00CF5358" w:rsidRPr="002E5F06" w14:paraId="4F74B0FF" w14:textId="77777777" w:rsidTr="00354D6D">
        <w:trPr>
          <w:gridAfter w:val="1"/>
          <w:wAfter w:w="7" w:type="dxa"/>
          <w:cantSplit/>
          <w:trHeight w:val="60"/>
        </w:trPr>
        <w:tc>
          <w:tcPr>
            <w:tcW w:w="1183" w:type="dxa"/>
          </w:tcPr>
          <w:p w14:paraId="4C2FDA26" w14:textId="77777777" w:rsidR="00CF5358" w:rsidRPr="002E5F06" w:rsidRDefault="00CF5358" w:rsidP="000E1772">
            <w:pPr>
              <w:pStyle w:val="TableSideHeading"/>
              <w:rPr>
                <w:rFonts w:asciiTheme="majorBidi" w:hAnsiTheme="majorBidi"/>
                <w:sz w:val="24"/>
                <w:szCs w:val="24"/>
              </w:rPr>
            </w:pPr>
          </w:p>
        </w:tc>
        <w:tc>
          <w:tcPr>
            <w:tcW w:w="567" w:type="dxa"/>
          </w:tcPr>
          <w:p w14:paraId="62D0D039" w14:textId="77777777" w:rsidR="00CF5358" w:rsidRPr="002E5F06" w:rsidRDefault="00CF5358" w:rsidP="000E1772">
            <w:pPr>
              <w:pStyle w:val="TableSideHeading"/>
              <w:rPr>
                <w:rFonts w:asciiTheme="majorBidi" w:hAnsiTheme="majorBidi"/>
                <w:sz w:val="24"/>
                <w:szCs w:val="24"/>
              </w:rPr>
            </w:pPr>
          </w:p>
        </w:tc>
        <w:tc>
          <w:tcPr>
            <w:tcW w:w="572" w:type="dxa"/>
          </w:tcPr>
          <w:p w14:paraId="7FD11489" w14:textId="77777777" w:rsidR="00CF5358" w:rsidRPr="002E5F06" w:rsidRDefault="00CF5358" w:rsidP="000E1772">
            <w:pPr>
              <w:pStyle w:val="TableText"/>
              <w:rPr>
                <w:rFonts w:asciiTheme="majorBidi" w:hAnsiTheme="majorBidi"/>
                <w:sz w:val="24"/>
                <w:szCs w:val="24"/>
              </w:rPr>
            </w:pPr>
          </w:p>
        </w:tc>
        <w:tc>
          <w:tcPr>
            <w:tcW w:w="401" w:type="dxa"/>
          </w:tcPr>
          <w:p w14:paraId="130DD950" w14:textId="77777777" w:rsidR="00CF5358" w:rsidRPr="002E5F06" w:rsidRDefault="00CF5358" w:rsidP="000E1772">
            <w:pPr>
              <w:pStyle w:val="TableText"/>
              <w:rPr>
                <w:rFonts w:asciiTheme="majorBidi" w:hAnsiTheme="majorBidi"/>
                <w:sz w:val="24"/>
                <w:szCs w:val="24"/>
              </w:rPr>
            </w:pPr>
          </w:p>
        </w:tc>
        <w:tc>
          <w:tcPr>
            <w:tcW w:w="909" w:type="dxa"/>
          </w:tcPr>
          <w:p w14:paraId="15568A30" w14:textId="77777777" w:rsidR="00195BA5" w:rsidRPr="002E5F06" w:rsidRDefault="00195BA5" w:rsidP="000E1772">
            <w:pPr>
              <w:pStyle w:val="TableText"/>
              <w:rPr>
                <w:rFonts w:asciiTheme="majorBidi" w:hAnsiTheme="majorBidi"/>
                <w:sz w:val="24"/>
                <w:szCs w:val="24"/>
              </w:rPr>
            </w:pPr>
          </w:p>
        </w:tc>
        <w:tc>
          <w:tcPr>
            <w:tcW w:w="6627" w:type="dxa"/>
          </w:tcPr>
          <w:p w14:paraId="340008CA" w14:textId="77777777" w:rsidR="000241A0" w:rsidRPr="002E5F06" w:rsidRDefault="00255FF0" w:rsidP="00255FF0">
            <w:pPr>
              <w:pStyle w:val="TableBlock"/>
              <w:numPr>
                <w:ilvl w:val="0"/>
                <w:numId w:val="3"/>
              </w:numPr>
              <w:rPr>
                <w:rFonts w:asciiTheme="majorBidi" w:hAnsiTheme="majorBidi"/>
                <w:color w:val="auto"/>
                <w:sz w:val="24"/>
                <w:szCs w:val="24"/>
              </w:rPr>
            </w:pPr>
            <w:r w:rsidRPr="002E5F06">
              <w:rPr>
                <w:rFonts w:asciiTheme="majorBidi" w:hAnsiTheme="majorBidi" w:hint="cs"/>
                <w:color w:val="auto"/>
                <w:sz w:val="24"/>
                <w:szCs w:val="24"/>
                <w:rtl/>
              </w:rPr>
              <w:t xml:space="preserve">הספק השידור אינו עולה על </w:t>
            </w:r>
            <w:r w:rsidRPr="002E5F06">
              <w:rPr>
                <w:rFonts w:asciiTheme="majorBidi" w:hAnsiTheme="majorBidi"/>
                <w:color w:val="auto"/>
                <w:sz w:val="24"/>
                <w:szCs w:val="24"/>
              </w:rPr>
              <w:t>55</w:t>
            </w:r>
            <w:r w:rsidR="000241A0" w:rsidRPr="002E5F06">
              <w:rPr>
                <w:rFonts w:asciiTheme="majorBidi" w:hAnsiTheme="majorBidi"/>
                <w:color w:val="auto"/>
                <w:sz w:val="24"/>
                <w:szCs w:val="24"/>
              </w:rPr>
              <w:t xml:space="preserve">dBm </w:t>
            </w:r>
            <w:proofErr w:type="spellStart"/>
            <w:r w:rsidR="000241A0" w:rsidRPr="002E5F06">
              <w:rPr>
                <w:rFonts w:asciiTheme="majorBidi" w:hAnsiTheme="majorBidi"/>
                <w:color w:val="auto"/>
                <w:sz w:val="24"/>
                <w:szCs w:val="24"/>
              </w:rPr>
              <w:t>e.i.r.p</w:t>
            </w:r>
            <w:proofErr w:type="spellEnd"/>
            <w:r w:rsidR="000241A0" w:rsidRPr="002E5F06">
              <w:rPr>
                <w:rFonts w:asciiTheme="majorBidi" w:hAnsiTheme="majorBidi" w:hint="cs"/>
                <w:color w:val="auto"/>
                <w:sz w:val="24"/>
                <w:szCs w:val="24"/>
                <w:rtl/>
              </w:rPr>
              <w:t>;</w:t>
            </w:r>
          </w:p>
          <w:p w14:paraId="005DED73" w14:textId="1D936FA1" w:rsidR="00200CE4" w:rsidRPr="002E5F06" w:rsidRDefault="00200CE4" w:rsidP="002A22BD">
            <w:pPr>
              <w:pStyle w:val="TableBlock"/>
              <w:numPr>
                <w:ilvl w:val="0"/>
                <w:numId w:val="3"/>
              </w:numPr>
              <w:rPr>
                <w:rFonts w:asciiTheme="majorBidi" w:hAnsiTheme="majorBidi"/>
                <w:color w:val="auto"/>
                <w:sz w:val="24"/>
                <w:szCs w:val="24"/>
              </w:rPr>
            </w:pPr>
            <w:r w:rsidRPr="002E5F06">
              <w:rPr>
                <w:rFonts w:asciiTheme="majorBidi" w:hAnsiTheme="majorBidi" w:hint="cs"/>
                <w:color w:val="auto"/>
                <w:sz w:val="24"/>
                <w:szCs w:val="24"/>
                <w:rtl/>
              </w:rPr>
              <w:t>הפועלים ברוחב פס של 50 מה"ץ ועד 2,</w:t>
            </w:r>
            <w:r w:rsidR="002A22BD" w:rsidRPr="002E5F06">
              <w:rPr>
                <w:rFonts w:asciiTheme="majorBidi" w:hAnsiTheme="majorBidi" w:hint="cs"/>
                <w:color w:val="auto"/>
                <w:sz w:val="24"/>
                <w:szCs w:val="24"/>
                <w:rtl/>
              </w:rPr>
              <w:t xml:space="preserve">000 </w:t>
            </w:r>
            <w:r w:rsidRPr="002E5F06">
              <w:rPr>
                <w:rFonts w:asciiTheme="majorBidi" w:hAnsiTheme="majorBidi" w:hint="cs"/>
                <w:color w:val="auto"/>
                <w:sz w:val="24"/>
                <w:szCs w:val="24"/>
                <w:rtl/>
              </w:rPr>
              <w:t xml:space="preserve">מה"ץ </w:t>
            </w:r>
            <w:r w:rsidR="00424EE7" w:rsidRPr="002E5F06">
              <w:rPr>
                <w:rFonts w:asciiTheme="majorBidi" w:hAnsiTheme="majorBidi" w:hint="cs"/>
                <w:color w:val="auto"/>
                <w:sz w:val="24"/>
                <w:szCs w:val="24"/>
                <w:rtl/>
              </w:rPr>
              <w:t>(</w:t>
            </w:r>
            <w:r w:rsidRPr="002E5F06">
              <w:rPr>
                <w:rFonts w:asciiTheme="majorBidi" w:hAnsiTheme="majorBidi" w:hint="cs"/>
                <w:color w:val="auto"/>
                <w:sz w:val="24"/>
                <w:szCs w:val="24"/>
                <w:rtl/>
              </w:rPr>
              <w:t>בכפולות של 50 מה"ץ</w:t>
            </w:r>
            <w:r w:rsidR="00424EE7" w:rsidRPr="002E5F06">
              <w:rPr>
                <w:rFonts w:asciiTheme="majorBidi" w:hAnsiTheme="majorBidi" w:hint="cs"/>
                <w:color w:val="auto"/>
                <w:sz w:val="24"/>
                <w:szCs w:val="24"/>
                <w:rtl/>
              </w:rPr>
              <w:t>)</w:t>
            </w:r>
            <w:r w:rsidR="001E5A5C" w:rsidRPr="002E5F06">
              <w:rPr>
                <w:rFonts w:asciiTheme="majorBidi" w:hAnsiTheme="majorBidi" w:hint="cs"/>
                <w:color w:val="auto"/>
                <w:sz w:val="24"/>
                <w:szCs w:val="24"/>
                <w:rtl/>
              </w:rPr>
              <w:t xml:space="preserve"> </w:t>
            </w:r>
            <w:r w:rsidR="00424A73" w:rsidRPr="002E5F06">
              <w:rPr>
                <w:rFonts w:asciiTheme="majorBidi" w:hAnsiTheme="majorBidi" w:hint="cs"/>
                <w:color w:val="auto"/>
                <w:sz w:val="24"/>
                <w:szCs w:val="24"/>
                <w:rtl/>
              </w:rPr>
              <w:t xml:space="preserve">ובלבד שהם ניתנים להפעלה </w:t>
            </w:r>
            <w:r w:rsidR="001E5A5C" w:rsidRPr="002E5F06">
              <w:rPr>
                <w:rFonts w:asciiTheme="majorBidi" w:hAnsiTheme="majorBidi" w:hint="cs"/>
                <w:color w:val="auto"/>
                <w:sz w:val="24"/>
                <w:szCs w:val="24"/>
                <w:rtl/>
              </w:rPr>
              <w:t xml:space="preserve">בכל רוחב </w:t>
            </w:r>
            <w:r w:rsidR="00424A73" w:rsidRPr="002E5F06">
              <w:rPr>
                <w:rFonts w:asciiTheme="majorBidi" w:hAnsiTheme="majorBidi" w:hint="cs"/>
                <w:color w:val="auto"/>
                <w:sz w:val="24"/>
                <w:szCs w:val="24"/>
                <w:rtl/>
              </w:rPr>
              <w:t xml:space="preserve">פס </w:t>
            </w:r>
            <w:r w:rsidR="001E5A5C" w:rsidRPr="002E5F06">
              <w:rPr>
                <w:rFonts w:asciiTheme="majorBidi" w:hAnsiTheme="majorBidi" w:hint="cs"/>
                <w:color w:val="auto"/>
                <w:sz w:val="24"/>
                <w:szCs w:val="24"/>
                <w:rtl/>
              </w:rPr>
              <w:t>אפשרי</w:t>
            </w:r>
            <w:r w:rsidR="00424A73" w:rsidRPr="002E5F06">
              <w:rPr>
                <w:rFonts w:asciiTheme="majorBidi" w:hAnsiTheme="majorBidi" w:hint="cs"/>
                <w:color w:val="auto"/>
                <w:sz w:val="24"/>
                <w:szCs w:val="24"/>
                <w:rtl/>
              </w:rPr>
              <w:t xml:space="preserve"> בכפולות כאמור</w:t>
            </w:r>
            <w:r w:rsidRPr="002E5F06">
              <w:rPr>
                <w:rFonts w:asciiTheme="majorBidi" w:hAnsiTheme="majorBidi" w:hint="cs"/>
                <w:color w:val="auto"/>
                <w:sz w:val="24"/>
                <w:szCs w:val="24"/>
                <w:rtl/>
              </w:rPr>
              <w:t>;</w:t>
            </w:r>
          </w:p>
          <w:p w14:paraId="2E6B13DE" w14:textId="67C4B008" w:rsidR="0047307E" w:rsidRPr="002E5F06" w:rsidRDefault="00F26A47" w:rsidP="004E2A94">
            <w:pPr>
              <w:pStyle w:val="TableBlock"/>
              <w:numPr>
                <w:ilvl w:val="0"/>
                <w:numId w:val="3"/>
              </w:numPr>
              <w:jc w:val="left"/>
              <w:rPr>
                <w:rFonts w:asciiTheme="majorBidi" w:hAnsiTheme="majorBidi"/>
                <w:color w:val="auto"/>
                <w:sz w:val="24"/>
                <w:szCs w:val="24"/>
              </w:rPr>
            </w:pPr>
            <w:r w:rsidRPr="002E5F06">
              <w:rPr>
                <w:rFonts w:asciiTheme="majorBidi" w:hAnsiTheme="majorBidi" w:hint="cs"/>
                <w:color w:val="auto"/>
                <w:sz w:val="24"/>
                <w:szCs w:val="24"/>
                <w:rtl/>
              </w:rPr>
              <w:t>פועלים</w:t>
            </w:r>
            <w:r w:rsidR="0047307E" w:rsidRPr="002E5F06">
              <w:rPr>
                <w:rFonts w:asciiTheme="majorBidi" w:hAnsiTheme="majorBidi" w:hint="cs"/>
                <w:color w:val="auto"/>
                <w:sz w:val="24"/>
                <w:szCs w:val="24"/>
                <w:rtl/>
              </w:rPr>
              <w:t xml:space="preserve"> בערוצים </w:t>
            </w:r>
            <w:r w:rsidR="004009DF" w:rsidRPr="002E5F06">
              <w:rPr>
                <w:rFonts w:asciiTheme="majorBidi" w:hAnsiTheme="majorBidi" w:hint="cs"/>
                <w:color w:val="auto"/>
                <w:sz w:val="24"/>
                <w:szCs w:val="24"/>
                <w:rtl/>
              </w:rPr>
              <w:t>שמרכזיהם</w:t>
            </w:r>
            <w:r w:rsidR="0047307E" w:rsidRPr="002E5F06">
              <w:rPr>
                <w:rFonts w:asciiTheme="majorBidi" w:hAnsiTheme="majorBidi" w:hint="cs"/>
                <w:color w:val="auto"/>
                <w:sz w:val="24"/>
                <w:szCs w:val="24"/>
                <w:rtl/>
              </w:rPr>
              <w:t xml:space="preserve"> בהתאם ל</w:t>
            </w:r>
            <w:r w:rsidR="00255FF0" w:rsidRPr="002E5F06">
              <w:rPr>
                <w:rFonts w:asciiTheme="majorBidi" w:hAnsiTheme="majorBidi" w:hint="cs"/>
                <w:color w:val="auto"/>
                <w:sz w:val="24"/>
                <w:szCs w:val="24"/>
                <w:rtl/>
              </w:rPr>
              <w:t xml:space="preserve"> - </w:t>
            </w:r>
            <w:r w:rsidR="00255FF0" w:rsidRPr="002E5F06">
              <w:rPr>
                <w:rFonts w:asciiTheme="majorBidi" w:hAnsiTheme="majorBidi"/>
                <w:color w:val="auto"/>
                <w:sz w:val="24"/>
                <w:szCs w:val="24"/>
                <w:rtl/>
              </w:rPr>
              <w:br/>
            </w:r>
            <w:r w:rsidR="0047307E" w:rsidRPr="002E5F06">
              <w:rPr>
                <w:rFonts w:asciiTheme="majorBidi" w:hAnsiTheme="majorBidi"/>
                <w:color w:val="auto"/>
                <w:sz w:val="24"/>
                <w:szCs w:val="24"/>
              </w:rPr>
              <w:t xml:space="preserve"> Recommendation ITU-R F.1497, Annex 2</w:t>
            </w:r>
            <w:r w:rsidR="002A22BD" w:rsidRPr="002E5F06">
              <w:rPr>
                <w:rFonts w:asciiTheme="majorBidi" w:hAnsiTheme="majorBidi" w:hint="cs"/>
                <w:color w:val="auto"/>
                <w:sz w:val="24"/>
                <w:szCs w:val="24"/>
                <w:rtl/>
              </w:rPr>
              <w:t>לרבות בפס</w:t>
            </w:r>
            <w:r w:rsidR="00574497" w:rsidRPr="002E5F06">
              <w:rPr>
                <w:rFonts w:asciiTheme="majorBidi" w:hAnsiTheme="majorBidi" w:hint="cs"/>
                <w:color w:val="auto"/>
                <w:sz w:val="24"/>
                <w:szCs w:val="24"/>
                <w:rtl/>
              </w:rPr>
              <w:t xml:space="preserve"> התדרים</w:t>
            </w:r>
            <w:r w:rsidR="002A22BD" w:rsidRPr="002E5F06">
              <w:rPr>
                <w:rFonts w:asciiTheme="majorBidi" w:hAnsiTheme="majorBidi" w:hint="cs"/>
                <w:color w:val="auto"/>
                <w:sz w:val="24"/>
                <w:szCs w:val="24"/>
                <w:rtl/>
              </w:rPr>
              <w:t xml:space="preserve"> 64 </w:t>
            </w:r>
            <w:proofErr w:type="spellStart"/>
            <w:r w:rsidR="002A22BD" w:rsidRPr="002E5F06">
              <w:rPr>
                <w:rFonts w:asciiTheme="majorBidi" w:hAnsiTheme="majorBidi" w:hint="cs"/>
                <w:color w:val="auto"/>
                <w:sz w:val="24"/>
                <w:szCs w:val="24"/>
                <w:rtl/>
              </w:rPr>
              <w:t>גה"ץ</w:t>
            </w:r>
            <w:proofErr w:type="spellEnd"/>
            <w:r w:rsidR="002A22BD" w:rsidRPr="002E5F06">
              <w:rPr>
                <w:rFonts w:asciiTheme="majorBidi" w:hAnsiTheme="majorBidi" w:hint="cs"/>
                <w:color w:val="auto"/>
                <w:sz w:val="24"/>
                <w:szCs w:val="24"/>
                <w:rtl/>
              </w:rPr>
              <w:t xml:space="preserve"> עד 66 </w:t>
            </w:r>
            <w:proofErr w:type="spellStart"/>
            <w:r w:rsidR="002A22BD" w:rsidRPr="002E5F06">
              <w:rPr>
                <w:rFonts w:asciiTheme="majorBidi" w:hAnsiTheme="majorBidi" w:hint="cs"/>
                <w:color w:val="auto"/>
                <w:sz w:val="24"/>
                <w:szCs w:val="24"/>
                <w:rtl/>
              </w:rPr>
              <w:t>גה"ץ</w:t>
            </w:r>
            <w:proofErr w:type="spellEnd"/>
            <w:r w:rsidR="00424A73" w:rsidRPr="002E5F06">
              <w:rPr>
                <w:rFonts w:asciiTheme="majorBidi" w:hAnsiTheme="majorBidi" w:hint="cs"/>
                <w:color w:val="auto"/>
                <w:sz w:val="24"/>
                <w:szCs w:val="24"/>
                <w:rtl/>
              </w:rPr>
              <w:t>;</w:t>
            </w:r>
            <w:r w:rsidR="002A22BD" w:rsidRPr="002E5F06">
              <w:rPr>
                <w:rFonts w:asciiTheme="majorBidi" w:hAnsiTheme="majorBidi" w:hint="cs"/>
                <w:color w:val="auto"/>
                <w:sz w:val="24"/>
                <w:szCs w:val="24"/>
                <w:rtl/>
              </w:rPr>
              <w:t xml:space="preserve"> </w:t>
            </w:r>
          </w:p>
          <w:p w14:paraId="5CE6033D" w14:textId="77777777" w:rsidR="00E27ABE" w:rsidRPr="002E5F06" w:rsidRDefault="001F3060" w:rsidP="001F3060">
            <w:pPr>
              <w:pStyle w:val="TableBlock"/>
              <w:numPr>
                <w:ilvl w:val="0"/>
                <w:numId w:val="3"/>
              </w:numPr>
              <w:rPr>
                <w:rFonts w:asciiTheme="majorBidi" w:hAnsiTheme="majorBidi"/>
                <w:color w:val="auto"/>
                <w:sz w:val="24"/>
                <w:szCs w:val="24"/>
              </w:rPr>
            </w:pPr>
            <w:r w:rsidRPr="002E5F06">
              <w:rPr>
                <w:rFonts w:asciiTheme="majorBidi" w:hAnsiTheme="majorBidi" w:hint="cs"/>
                <w:color w:val="auto"/>
                <w:sz w:val="24"/>
                <w:szCs w:val="24"/>
                <w:rtl/>
              </w:rPr>
              <w:t>כוללים אחד או יותר מהמנגנונים</w:t>
            </w:r>
            <w:r w:rsidR="00E27ABE" w:rsidRPr="002E5F06">
              <w:rPr>
                <w:rFonts w:asciiTheme="majorBidi" w:hAnsiTheme="majorBidi" w:hint="cs"/>
                <w:color w:val="auto"/>
                <w:sz w:val="24"/>
                <w:szCs w:val="24"/>
                <w:rtl/>
              </w:rPr>
              <w:t xml:space="preserve"> האלה:</w:t>
            </w:r>
          </w:p>
          <w:p w14:paraId="7F173058" w14:textId="77777777" w:rsidR="00E27ABE" w:rsidRPr="002E5F06" w:rsidRDefault="00E27ABE" w:rsidP="00003518">
            <w:pPr>
              <w:pStyle w:val="TableBlock"/>
              <w:ind w:left="720"/>
              <w:rPr>
                <w:rFonts w:asciiTheme="majorBidi" w:hAnsiTheme="majorBidi"/>
                <w:color w:val="auto"/>
                <w:sz w:val="24"/>
                <w:szCs w:val="24"/>
                <w:rtl/>
              </w:rPr>
            </w:pPr>
            <w:r w:rsidRPr="002E5F06">
              <w:rPr>
                <w:rFonts w:asciiTheme="majorBidi" w:hAnsiTheme="majorBidi" w:hint="cs"/>
                <w:color w:val="auto"/>
                <w:sz w:val="24"/>
                <w:szCs w:val="24"/>
                <w:rtl/>
              </w:rPr>
              <w:t xml:space="preserve">(א) </w:t>
            </w:r>
            <w:r w:rsidRPr="002E5F06">
              <w:rPr>
                <w:rFonts w:asciiTheme="majorBidi" w:hAnsiTheme="majorBidi"/>
                <w:color w:val="auto"/>
                <w:sz w:val="24"/>
                <w:szCs w:val="24"/>
              </w:rPr>
              <w:t>Automatic Transmit Power Control (ATPC)</w:t>
            </w:r>
            <w:r w:rsidRPr="002E5F06">
              <w:rPr>
                <w:rFonts w:asciiTheme="majorBidi" w:hAnsiTheme="majorBidi"/>
                <w:color w:val="auto"/>
                <w:sz w:val="24"/>
                <w:szCs w:val="24"/>
                <w:rtl/>
              </w:rPr>
              <w:t>;</w:t>
            </w:r>
          </w:p>
          <w:p w14:paraId="37A6A378" w14:textId="77777777" w:rsidR="00E27ABE" w:rsidRPr="002E5F06" w:rsidRDefault="00E27ABE" w:rsidP="00003518">
            <w:pPr>
              <w:pStyle w:val="TableBlock"/>
              <w:ind w:left="720"/>
              <w:rPr>
                <w:rFonts w:asciiTheme="majorBidi" w:hAnsiTheme="majorBidi"/>
                <w:color w:val="auto"/>
                <w:sz w:val="24"/>
                <w:szCs w:val="24"/>
                <w:rtl/>
              </w:rPr>
            </w:pPr>
            <w:r w:rsidRPr="002E5F06">
              <w:rPr>
                <w:rFonts w:asciiTheme="majorBidi" w:hAnsiTheme="majorBidi"/>
                <w:color w:val="auto"/>
                <w:sz w:val="24"/>
                <w:szCs w:val="24"/>
                <w:rtl/>
              </w:rPr>
              <w:t xml:space="preserve">(ב) </w:t>
            </w:r>
            <w:r w:rsidRPr="002E5F06">
              <w:rPr>
                <w:rFonts w:asciiTheme="majorBidi" w:hAnsiTheme="majorBidi"/>
                <w:color w:val="auto"/>
                <w:sz w:val="24"/>
                <w:szCs w:val="24"/>
              </w:rPr>
              <w:t>Detect And Avoid (DAA)</w:t>
            </w:r>
            <w:r w:rsidRPr="002E5F06">
              <w:rPr>
                <w:rFonts w:asciiTheme="majorBidi" w:hAnsiTheme="majorBidi"/>
                <w:color w:val="auto"/>
                <w:sz w:val="24"/>
                <w:szCs w:val="24"/>
                <w:rtl/>
              </w:rPr>
              <w:t>;</w:t>
            </w:r>
          </w:p>
          <w:p w14:paraId="0EDA040B" w14:textId="77777777" w:rsidR="001F3060" w:rsidRPr="002E5F06" w:rsidRDefault="00E27ABE" w:rsidP="00003518">
            <w:pPr>
              <w:pStyle w:val="TableBlock"/>
              <w:ind w:left="720"/>
              <w:rPr>
                <w:rFonts w:asciiTheme="majorBidi" w:hAnsiTheme="majorBidi"/>
                <w:color w:val="auto"/>
                <w:sz w:val="24"/>
                <w:szCs w:val="24"/>
              </w:rPr>
            </w:pPr>
            <w:r w:rsidRPr="002E5F06">
              <w:rPr>
                <w:rFonts w:asciiTheme="majorBidi" w:hAnsiTheme="majorBidi"/>
                <w:color w:val="auto"/>
                <w:sz w:val="24"/>
                <w:szCs w:val="24"/>
                <w:rtl/>
              </w:rPr>
              <w:t xml:space="preserve">(ג) </w:t>
            </w:r>
            <w:r w:rsidRPr="002E5F06">
              <w:rPr>
                <w:rFonts w:asciiTheme="majorBidi" w:hAnsiTheme="majorBidi"/>
                <w:color w:val="auto"/>
                <w:sz w:val="24"/>
                <w:szCs w:val="24"/>
              </w:rPr>
              <w:t>Listen Before Transmit (LBT)</w:t>
            </w:r>
            <w:r w:rsidR="00003518" w:rsidRPr="002E5F06">
              <w:rPr>
                <w:rFonts w:asciiTheme="majorBidi" w:hAnsiTheme="majorBidi" w:hint="cs"/>
                <w:color w:val="auto"/>
                <w:sz w:val="24"/>
                <w:szCs w:val="24"/>
                <w:rtl/>
              </w:rPr>
              <w:t>;</w:t>
            </w:r>
          </w:p>
          <w:p w14:paraId="5CD9DE7B" w14:textId="77777777" w:rsidR="000241A0" w:rsidRPr="002E5F06" w:rsidRDefault="000241A0" w:rsidP="00D30C9A">
            <w:pPr>
              <w:pStyle w:val="TableBlock"/>
              <w:numPr>
                <w:ilvl w:val="0"/>
                <w:numId w:val="3"/>
              </w:numPr>
              <w:rPr>
                <w:rFonts w:asciiTheme="majorBidi" w:hAnsiTheme="majorBidi"/>
                <w:color w:val="auto"/>
                <w:sz w:val="24"/>
                <w:szCs w:val="24"/>
              </w:rPr>
            </w:pPr>
            <w:r w:rsidRPr="002E5F06">
              <w:rPr>
                <w:rFonts w:asciiTheme="majorBidi" w:hAnsiTheme="majorBidi" w:hint="cs"/>
                <w:color w:val="auto"/>
                <w:sz w:val="24"/>
                <w:szCs w:val="24"/>
                <w:rtl/>
              </w:rPr>
              <w:t xml:space="preserve">מיועדים לשמש </w:t>
            </w:r>
            <w:r w:rsidR="00BF292D" w:rsidRPr="002E5F06">
              <w:rPr>
                <w:rFonts w:asciiTheme="majorBidi" w:hAnsiTheme="majorBidi" w:hint="cs"/>
                <w:color w:val="auto"/>
                <w:sz w:val="24"/>
                <w:szCs w:val="24"/>
                <w:rtl/>
              </w:rPr>
              <w:t>כ</w:t>
            </w:r>
            <w:r w:rsidR="003E2BD5" w:rsidRPr="002E5F06">
              <w:rPr>
                <w:rFonts w:asciiTheme="majorBidi" w:hAnsiTheme="majorBidi" w:hint="cs"/>
                <w:color w:val="auto"/>
                <w:sz w:val="24"/>
                <w:szCs w:val="24"/>
                <w:rtl/>
              </w:rPr>
              <w:t>תחנות קבועות</w:t>
            </w:r>
            <w:r w:rsidR="00BF292D" w:rsidRPr="002E5F06">
              <w:rPr>
                <w:rFonts w:asciiTheme="majorBidi" w:hAnsiTheme="majorBidi" w:hint="cs"/>
                <w:color w:val="auto"/>
                <w:sz w:val="24"/>
                <w:szCs w:val="24"/>
                <w:rtl/>
              </w:rPr>
              <w:t xml:space="preserve"> </w:t>
            </w:r>
            <w:r w:rsidR="003E2BD5" w:rsidRPr="002E5F06">
              <w:rPr>
                <w:rFonts w:asciiTheme="majorBidi" w:hAnsiTheme="majorBidi" w:hint="cs"/>
                <w:color w:val="auto"/>
                <w:sz w:val="24"/>
                <w:szCs w:val="24"/>
                <w:rtl/>
              </w:rPr>
              <w:t>ב</w:t>
            </w:r>
            <w:r w:rsidR="00BF292D" w:rsidRPr="002E5F06">
              <w:rPr>
                <w:rFonts w:asciiTheme="majorBidi" w:hAnsiTheme="majorBidi" w:hint="cs"/>
                <w:color w:val="auto"/>
                <w:sz w:val="24"/>
                <w:szCs w:val="24"/>
                <w:rtl/>
              </w:rPr>
              <w:t xml:space="preserve">קו אלחוטי </w:t>
            </w:r>
            <w:r w:rsidR="00003518" w:rsidRPr="002E5F06">
              <w:rPr>
                <w:rFonts w:asciiTheme="majorBidi" w:hAnsiTheme="majorBidi" w:hint="cs"/>
                <w:color w:val="auto"/>
                <w:sz w:val="24"/>
                <w:szCs w:val="24"/>
                <w:rtl/>
              </w:rPr>
              <w:t>מנקודה לנקודה</w:t>
            </w:r>
            <w:r w:rsidR="005E0E61" w:rsidRPr="002E5F06">
              <w:rPr>
                <w:rFonts w:asciiTheme="majorBidi" w:hAnsiTheme="majorBidi" w:hint="cs"/>
                <w:color w:val="auto"/>
                <w:sz w:val="24"/>
                <w:szCs w:val="24"/>
                <w:rtl/>
              </w:rPr>
              <w:t xml:space="preserve"> מחוץ למבנה (</w:t>
            </w:r>
            <w:r w:rsidR="00D30C9A" w:rsidRPr="002E5F06">
              <w:rPr>
                <w:rFonts w:asciiTheme="majorBidi" w:hAnsiTheme="majorBidi" w:hint="cs"/>
                <w:color w:val="auto"/>
                <w:sz w:val="24"/>
                <w:szCs w:val="24"/>
              </w:rPr>
              <w:t>O</w:t>
            </w:r>
            <w:r w:rsidR="005E0E61" w:rsidRPr="002E5F06">
              <w:rPr>
                <w:rFonts w:asciiTheme="majorBidi" w:hAnsiTheme="majorBidi"/>
                <w:color w:val="auto"/>
                <w:sz w:val="24"/>
                <w:szCs w:val="24"/>
              </w:rPr>
              <w:t>utdoor</w:t>
            </w:r>
            <w:r w:rsidR="005E0E61" w:rsidRPr="002E5F06">
              <w:rPr>
                <w:rFonts w:asciiTheme="majorBidi" w:hAnsiTheme="majorBidi" w:hint="cs"/>
                <w:color w:val="auto"/>
                <w:sz w:val="24"/>
                <w:szCs w:val="24"/>
                <w:rtl/>
              </w:rPr>
              <w:t>);</w:t>
            </w:r>
          </w:p>
          <w:p w14:paraId="2D38EF46" w14:textId="3580E4F3" w:rsidR="005A34D3" w:rsidRPr="002E5F06" w:rsidRDefault="005A34D3" w:rsidP="000853F2">
            <w:pPr>
              <w:pStyle w:val="TableBlock"/>
              <w:numPr>
                <w:ilvl w:val="0"/>
                <w:numId w:val="3"/>
              </w:numPr>
              <w:rPr>
                <w:rFonts w:asciiTheme="majorBidi" w:hAnsiTheme="majorBidi"/>
                <w:color w:val="auto"/>
                <w:sz w:val="24"/>
                <w:szCs w:val="24"/>
              </w:rPr>
            </w:pPr>
            <w:r w:rsidRPr="002E5F06">
              <w:rPr>
                <w:rFonts w:asciiTheme="majorBidi" w:hAnsiTheme="majorBidi" w:hint="cs"/>
                <w:color w:val="auto"/>
                <w:sz w:val="24"/>
                <w:szCs w:val="24"/>
                <w:rtl/>
              </w:rPr>
              <w:t>ע</w:t>
            </w:r>
            <w:r w:rsidR="00E27ABE" w:rsidRPr="002E5F06">
              <w:rPr>
                <w:rFonts w:asciiTheme="majorBidi" w:hAnsiTheme="majorBidi" w:hint="cs"/>
                <w:color w:val="auto"/>
                <w:sz w:val="24"/>
                <w:szCs w:val="24"/>
                <w:rtl/>
              </w:rPr>
              <w:t>מידה</w:t>
            </w:r>
            <w:r w:rsidRPr="002E5F06">
              <w:rPr>
                <w:rFonts w:asciiTheme="majorBidi" w:hAnsiTheme="majorBidi" w:hint="cs"/>
                <w:color w:val="auto"/>
                <w:sz w:val="24"/>
                <w:szCs w:val="24"/>
                <w:rtl/>
              </w:rPr>
              <w:t xml:space="preserve"> </w:t>
            </w:r>
            <w:r w:rsidR="00003518" w:rsidRPr="002E5F06">
              <w:rPr>
                <w:rFonts w:asciiTheme="majorBidi" w:hAnsiTheme="majorBidi" w:hint="cs"/>
                <w:color w:val="auto"/>
                <w:sz w:val="24"/>
                <w:szCs w:val="24"/>
                <w:rtl/>
              </w:rPr>
              <w:t>בתק</w:t>
            </w:r>
            <w:r w:rsidR="009672FC" w:rsidRPr="002E5F06">
              <w:rPr>
                <w:rFonts w:asciiTheme="majorBidi" w:hAnsiTheme="majorBidi" w:hint="cs"/>
                <w:color w:val="auto"/>
                <w:sz w:val="24"/>
                <w:szCs w:val="24"/>
                <w:rtl/>
              </w:rPr>
              <w:t xml:space="preserve">ן </w:t>
            </w:r>
            <w:r w:rsidR="009672FC" w:rsidRPr="002E5F06">
              <w:rPr>
                <w:rFonts w:asciiTheme="majorBidi" w:hAnsiTheme="majorBidi"/>
                <w:color w:val="auto"/>
                <w:sz w:val="24"/>
                <w:szCs w:val="24"/>
              </w:rPr>
              <w:t>EN 302 217</w:t>
            </w:r>
            <w:r w:rsidR="002A22BD" w:rsidRPr="002E5F06">
              <w:rPr>
                <w:rFonts w:asciiTheme="majorBidi" w:hAnsiTheme="majorBidi"/>
                <w:color w:val="auto"/>
                <w:sz w:val="24"/>
                <w:szCs w:val="24"/>
              </w:rPr>
              <w:t>-2</w:t>
            </w:r>
            <w:r w:rsidR="00D30C9A" w:rsidRPr="002E5F06">
              <w:rPr>
                <w:rFonts w:asciiTheme="majorBidi" w:hAnsiTheme="majorBidi" w:hint="cs"/>
                <w:color w:val="auto"/>
                <w:sz w:val="24"/>
                <w:szCs w:val="24"/>
                <w:rtl/>
              </w:rPr>
              <w:t>;</w:t>
            </w:r>
            <w:r w:rsidR="00FC0F55" w:rsidRPr="002E5F06">
              <w:rPr>
                <w:rFonts w:asciiTheme="majorBidi" w:hAnsiTheme="majorBidi" w:hint="cs"/>
                <w:color w:val="auto"/>
                <w:sz w:val="24"/>
                <w:szCs w:val="24"/>
                <w:rtl/>
              </w:rPr>
              <w:t>"</w:t>
            </w:r>
          </w:p>
          <w:p w14:paraId="7C401B0E" w14:textId="77777777" w:rsidR="00114E68" w:rsidRPr="002E5F06" w:rsidRDefault="00114E68" w:rsidP="00114E68">
            <w:pPr>
              <w:pStyle w:val="TableBlock"/>
              <w:rPr>
                <w:rFonts w:asciiTheme="majorBidi" w:hAnsiTheme="majorBidi"/>
                <w:sz w:val="24"/>
                <w:szCs w:val="24"/>
                <w:rtl/>
              </w:rPr>
            </w:pPr>
          </w:p>
          <w:p w14:paraId="425AE4FE" w14:textId="77777777" w:rsidR="00114E68" w:rsidRPr="002E5F06" w:rsidRDefault="00114E68" w:rsidP="00114E68">
            <w:pPr>
              <w:pStyle w:val="TableBlock"/>
              <w:rPr>
                <w:rFonts w:asciiTheme="majorBidi" w:hAnsiTheme="majorBidi"/>
                <w:sz w:val="24"/>
                <w:szCs w:val="24"/>
                <w:rtl/>
              </w:rPr>
            </w:pPr>
          </w:p>
          <w:p w14:paraId="340FB652" w14:textId="77777777" w:rsidR="00114E68" w:rsidRPr="002E5F06" w:rsidRDefault="00114E68" w:rsidP="00114E68">
            <w:pPr>
              <w:pStyle w:val="TableBlock"/>
              <w:rPr>
                <w:rFonts w:asciiTheme="majorBidi" w:hAnsiTheme="majorBidi"/>
                <w:sz w:val="24"/>
                <w:szCs w:val="24"/>
                <w:rtl/>
              </w:rPr>
            </w:pPr>
          </w:p>
          <w:p w14:paraId="59D23DA8" w14:textId="77777777" w:rsidR="00114E68" w:rsidRPr="002E5F06" w:rsidRDefault="00114E68" w:rsidP="00114E68">
            <w:pPr>
              <w:pStyle w:val="TableBlock"/>
              <w:rPr>
                <w:rFonts w:asciiTheme="majorBidi" w:hAnsiTheme="majorBidi"/>
                <w:sz w:val="24"/>
                <w:szCs w:val="24"/>
                <w:rtl/>
              </w:rPr>
            </w:pPr>
          </w:p>
          <w:p w14:paraId="71943603" w14:textId="77777777" w:rsidR="00114E68" w:rsidRPr="002E5F06" w:rsidRDefault="00114E68" w:rsidP="00114E68">
            <w:pPr>
              <w:pStyle w:val="TableBlock"/>
              <w:rPr>
                <w:rFonts w:asciiTheme="majorBidi" w:hAnsiTheme="majorBidi"/>
                <w:sz w:val="24"/>
                <w:szCs w:val="24"/>
              </w:rPr>
            </w:pPr>
          </w:p>
          <w:p w14:paraId="5DE90514" w14:textId="77777777" w:rsidR="005A34D3" w:rsidRPr="002E5F06" w:rsidRDefault="005A34D3" w:rsidP="001F3060">
            <w:pPr>
              <w:pStyle w:val="TableBlock"/>
              <w:ind w:left="720"/>
              <w:rPr>
                <w:rFonts w:asciiTheme="majorBidi" w:hAnsiTheme="majorBidi"/>
                <w:sz w:val="24"/>
                <w:szCs w:val="24"/>
                <w:rtl/>
              </w:rPr>
            </w:pPr>
          </w:p>
        </w:tc>
      </w:tr>
      <w:tr w:rsidR="00663732" w:rsidRPr="002E5F06" w14:paraId="17634F65" w14:textId="77777777" w:rsidTr="00354D6D">
        <w:trPr>
          <w:cantSplit/>
          <w:trHeight w:val="60"/>
        </w:trPr>
        <w:tc>
          <w:tcPr>
            <w:tcW w:w="1183" w:type="dxa"/>
          </w:tcPr>
          <w:p w14:paraId="4AB71395" w14:textId="77777777" w:rsidR="00663732" w:rsidRPr="002E5F06" w:rsidRDefault="00663732" w:rsidP="00663732">
            <w:pPr>
              <w:pStyle w:val="TableSideHeading"/>
              <w:rPr>
                <w:rFonts w:asciiTheme="majorBidi" w:hAnsiTheme="majorBidi"/>
                <w:sz w:val="24"/>
                <w:szCs w:val="24"/>
                <w:rtl/>
              </w:rPr>
            </w:pPr>
          </w:p>
        </w:tc>
        <w:tc>
          <w:tcPr>
            <w:tcW w:w="567" w:type="dxa"/>
          </w:tcPr>
          <w:p w14:paraId="6C771903" w14:textId="77777777" w:rsidR="00663732" w:rsidRPr="002E5F06" w:rsidRDefault="00663732" w:rsidP="00663732">
            <w:pPr>
              <w:pStyle w:val="TableSideHeading"/>
              <w:rPr>
                <w:rFonts w:asciiTheme="majorBidi" w:hAnsiTheme="majorBidi"/>
                <w:sz w:val="24"/>
                <w:szCs w:val="24"/>
                <w:rtl/>
              </w:rPr>
            </w:pPr>
          </w:p>
        </w:tc>
        <w:tc>
          <w:tcPr>
            <w:tcW w:w="572" w:type="dxa"/>
          </w:tcPr>
          <w:p w14:paraId="300778C9" w14:textId="77777777" w:rsidR="00663732" w:rsidRPr="002E5F06" w:rsidRDefault="00663732" w:rsidP="00663732">
            <w:pPr>
              <w:pStyle w:val="TableBlock"/>
              <w:rPr>
                <w:rFonts w:asciiTheme="majorBidi" w:hAnsiTheme="majorBidi"/>
                <w:sz w:val="24"/>
                <w:szCs w:val="24"/>
                <w:rtl/>
              </w:rPr>
            </w:pPr>
          </w:p>
        </w:tc>
        <w:tc>
          <w:tcPr>
            <w:tcW w:w="7944" w:type="dxa"/>
            <w:gridSpan w:val="4"/>
          </w:tcPr>
          <w:p w14:paraId="29B171B1" w14:textId="77777777" w:rsidR="00114E68" w:rsidRPr="002E5F06" w:rsidRDefault="00114E68" w:rsidP="00663732">
            <w:pPr>
              <w:pStyle w:val="TableBlock"/>
              <w:rPr>
                <w:rFonts w:asciiTheme="majorBidi" w:hAnsiTheme="majorBidi"/>
                <w:b/>
                <w:bCs/>
                <w:sz w:val="24"/>
                <w:szCs w:val="24"/>
                <w:rtl/>
              </w:rPr>
            </w:pPr>
          </w:p>
        </w:tc>
      </w:tr>
    </w:tbl>
    <w:p w14:paraId="57E9A317" w14:textId="77777777" w:rsidR="00114E68" w:rsidRPr="002E5F06" w:rsidRDefault="00114E68" w:rsidP="00114E68">
      <w:pPr>
        <w:ind w:firstLine="0"/>
        <w:rPr>
          <w:rFonts w:asciiTheme="majorBidi" w:hAnsiTheme="majorBidi" w:cs="David"/>
          <w:sz w:val="24"/>
          <w:szCs w:val="24"/>
          <w:rtl/>
        </w:rPr>
      </w:pPr>
    </w:p>
    <w:tbl>
      <w:tblPr>
        <w:tblpPr w:leftFromText="180" w:rightFromText="180" w:vertAnchor="text" w:horzAnchor="margin" w:tblpXSpec="center" w:tblpY="652"/>
        <w:bidiVisual/>
        <w:tblW w:w="10266" w:type="dxa"/>
        <w:tblLayout w:type="fixed"/>
        <w:tblCellMar>
          <w:top w:w="57" w:type="dxa"/>
          <w:left w:w="0" w:type="dxa"/>
          <w:bottom w:w="57" w:type="dxa"/>
          <w:right w:w="0" w:type="dxa"/>
        </w:tblCellMar>
        <w:tblLook w:val="01E0" w:firstRow="1" w:lastRow="1" w:firstColumn="1" w:lastColumn="1" w:noHBand="0" w:noVBand="0"/>
      </w:tblPr>
      <w:tblGrid>
        <w:gridCol w:w="1238"/>
        <w:gridCol w:w="9028"/>
      </w:tblGrid>
      <w:tr w:rsidR="00114E68" w:rsidRPr="002E5F06" w14:paraId="087BE79A" w14:textId="77777777" w:rsidTr="002E441E">
        <w:trPr>
          <w:cantSplit/>
          <w:trHeight w:val="60"/>
        </w:trPr>
        <w:tc>
          <w:tcPr>
            <w:tcW w:w="909" w:type="dxa"/>
          </w:tcPr>
          <w:p w14:paraId="39229B8C" w14:textId="77777777" w:rsidR="00114E68" w:rsidRPr="002E5F06" w:rsidRDefault="00114E68" w:rsidP="002E441E">
            <w:pPr>
              <w:pStyle w:val="TableText"/>
              <w:rPr>
                <w:rFonts w:asciiTheme="majorBidi" w:hAnsiTheme="majorBidi"/>
                <w:sz w:val="24"/>
                <w:szCs w:val="24"/>
              </w:rPr>
            </w:pPr>
          </w:p>
        </w:tc>
        <w:tc>
          <w:tcPr>
            <w:tcW w:w="6627" w:type="dxa"/>
          </w:tcPr>
          <w:p w14:paraId="7FB61CCD" w14:textId="77777777" w:rsidR="00114E68" w:rsidRPr="002E5F06" w:rsidRDefault="00114E68" w:rsidP="002E441E">
            <w:pPr>
              <w:pStyle w:val="TableBlock"/>
              <w:ind w:left="720"/>
              <w:rPr>
                <w:rFonts w:asciiTheme="majorBidi" w:hAnsiTheme="majorBidi"/>
                <w:sz w:val="24"/>
                <w:szCs w:val="24"/>
                <w:rtl/>
              </w:rPr>
            </w:pPr>
          </w:p>
        </w:tc>
      </w:tr>
    </w:tbl>
    <w:tbl>
      <w:tblPr>
        <w:bidiVisual/>
        <w:tblW w:w="5685" w:type="pct"/>
        <w:tblLook w:val="01E0" w:firstRow="1" w:lastRow="1" w:firstColumn="1" w:lastColumn="1" w:noHBand="0" w:noVBand="0"/>
      </w:tblPr>
      <w:tblGrid>
        <w:gridCol w:w="4155"/>
        <w:gridCol w:w="5296"/>
      </w:tblGrid>
      <w:tr w:rsidR="008E51CC" w:rsidRPr="002E5F06" w14:paraId="0C52E931" w14:textId="77777777" w:rsidTr="00031A85">
        <w:tc>
          <w:tcPr>
            <w:tcW w:w="2198" w:type="pct"/>
          </w:tcPr>
          <w:p w14:paraId="1470ADA1" w14:textId="77777777" w:rsidR="008E51CC" w:rsidRPr="002E5F06" w:rsidRDefault="008E51CC" w:rsidP="00856E1F">
            <w:pPr>
              <w:jc w:val="center"/>
              <w:rPr>
                <w:rFonts w:asciiTheme="majorBidi" w:hAnsiTheme="majorBidi" w:cs="David"/>
                <w:sz w:val="24"/>
                <w:szCs w:val="24"/>
                <w:rtl/>
              </w:rPr>
            </w:pPr>
          </w:p>
          <w:p w14:paraId="41C1B32F" w14:textId="77777777" w:rsidR="008E51CC" w:rsidRPr="002E5F06" w:rsidRDefault="00481DA7" w:rsidP="006B532A">
            <w:pPr>
              <w:pStyle w:val="1"/>
              <w:spacing w:line="360" w:lineRule="auto"/>
              <w:jc w:val="left"/>
              <w:rPr>
                <w:rFonts w:asciiTheme="majorBidi" w:hAnsiTheme="majorBidi"/>
                <w:b w:val="0"/>
                <w:bCs w:val="0"/>
                <w:rtl/>
              </w:rPr>
            </w:pPr>
            <w:r w:rsidRPr="002E5F06">
              <w:rPr>
                <w:rFonts w:asciiTheme="majorBidi" w:hAnsiTheme="majorBidi"/>
                <w:b w:val="0"/>
                <w:bCs w:val="0"/>
                <w:rtl/>
              </w:rPr>
              <w:t>_</w:t>
            </w:r>
            <w:r w:rsidR="001C311D" w:rsidRPr="002E5F06">
              <w:rPr>
                <w:rFonts w:asciiTheme="majorBidi" w:hAnsiTheme="majorBidi"/>
                <w:b w:val="0"/>
                <w:bCs w:val="0"/>
                <w:rtl/>
              </w:rPr>
              <w:t>___</w:t>
            </w:r>
            <w:r w:rsidRPr="002E5F06">
              <w:rPr>
                <w:rFonts w:asciiTheme="majorBidi" w:hAnsiTheme="majorBidi"/>
                <w:b w:val="0"/>
                <w:bCs w:val="0"/>
                <w:rtl/>
              </w:rPr>
              <w:t xml:space="preserve">___ </w:t>
            </w:r>
            <w:proofErr w:type="spellStart"/>
            <w:r w:rsidR="008E51CC" w:rsidRPr="002E5F06">
              <w:rPr>
                <w:rFonts w:asciiTheme="majorBidi" w:hAnsiTheme="majorBidi"/>
                <w:b w:val="0"/>
                <w:bCs w:val="0"/>
                <w:rtl/>
              </w:rPr>
              <w:t>התש</w:t>
            </w:r>
            <w:r w:rsidR="006B532A" w:rsidRPr="002E5F06">
              <w:rPr>
                <w:rFonts w:asciiTheme="majorBidi" w:hAnsiTheme="majorBidi" w:hint="cs"/>
                <w:b w:val="0"/>
                <w:bCs w:val="0"/>
                <w:rtl/>
              </w:rPr>
              <w:t>"ף</w:t>
            </w:r>
            <w:proofErr w:type="spellEnd"/>
          </w:p>
          <w:p w14:paraId="3F03E6AB" w14:textId="77777777" w:rsidR="008E51CC" w:rsidRPr="002E5F06" w:rsidRDefault="008E51CC" w:rsidP="006B532A">
            <w:pPr>
              <w:ind w:firstLine="0"/>
              <w:jc w:val="left"/>
              <w:rPr>
                <w:rFonts w:asciiTheme="majorBidi" w:hAnsiTheme="majorBidi" w:cs="David"/>
                <w:sz w:val="24"/>
                <w:szCs w:val="24"/>
                <w:rtl/>
              </w:rPr>
            </w:pPr>
            <w:r w:rsidRPr="002E5F06">
              <w:rPr>
                <w:rFonts w:asciiTheme="majorBidi" w:hAnsiTheme="majorBidi" w:cs="David"/>
                <w:sz w:val="24"/>
                <w:szCs w:val="24"/>
                <w:rtl/>
              </w:rPr>
              <w:t>(___</w:t>
            </w:r>
            <w:r w:rsidR="001C311D" w:rsidRPr="002E5F06">
              <w:rPr>
                <w:rFonts w:asciiTheme="majorBidi" w:hAnsiTheme="majorBidi" w:cs="David"/>
                <w:sz w:val="24"/>
                <w:szCs w:val="24"/>
                <w:rtl/>
              </w:rPr>
              <w:t>____</w:t>
            </w:r>
            <w:r w:rsidRPr="002E5F06">
              <w:rPr>
                <w:rFonts w:asciiTheme="majorBidi" w:hAnsiTheme="majorBidi" w:cs="David"/>
                <w:sz w:val="24"/>
                <w:szCs w:val="24"/>
                <w:rtl/>
              </w:rPr>
              <w:t>_</w:t>
            </w:r>
            <w:r w:rsidR="006B532A" w:rsidRPr="002E5F06">
              <w:rPr>
                <w:rFonts w:asciiTheme="majorBidi" w:hAnsiTheme="majorBidi" w:cs="David" w:hint="cs"/>
                <w:sz w:val="24"/>
                <w:szCs w:val="24"/>
                <w:rtl/>
              </w:rPr>
              <w:t>2020</w:t>
            </w:r>
            <w:r w:rsidRPr="002E5F06">
              <w:rPr>
                <w:rFonts w:asciiTheme="majorBidi" w:hAnsiTheme="majorBidi" w:cs="David"/>
                <w:sz w:val="24"/>
                <w:szCs w:val="24"/>
                <w:rtl/>
              </w:rPr>
              <w:t>)</w:t>
            </w:r>
          </w:p>
          <w:p w14:paraId="13B50ABC" w14:textId="77777777" w:rsidR="008E51CC" w:rsidRPr="002E5F06" w:rsidRDefault="008E51CC" w:rsidP="00856E1F">
            <w:pPr>
              <w:ind w:firstLine="0"/>
              <w:jc w:val="left"/>
              <w:rPr>
                <w:rFonts w:asciiTheme="majorBidi" w:hAnsiTheme="majorBidi" w:cs="David"/>
                <w:sz w:val="24"/>
                <w:szCs w:val="24"/>
              </w:rPr>
            </w:pPr>
            <w:r w:rsidRPr="002E5F06">
              <w:rPr>
                <w:rFonts w:asciiTheme="majorBidi" w:hAnsiTheme="majorBidi" w:cs="David"/>
                <w:sz w:val="24"/>
                <w:szCs w:val="24"/>
                <w:rtl/>
              </w:rPr>
              <w:t>(</w:t>
            </w:r>
            <w:proofErr w:type="spellStart"/>
            <w:r w:rsidRPr="002E5F06">
              <w:rPr>
                <w:rFonts w:asciiTheme="majorBidi" w:hAnsiTheme="majorBidi" w:cs="David"/>
                <w:sz w:val="24"/>
                <w:szCs w:val="24"/>
                <w:rtl/>
              </w:rPr>
              <w:t>חמ</w:t>
            </w:r>
            <w:proofErr w:type="spellEnd"/>
            <w:r w:rsidRPr="002E5F06">
              <w:rPr>
                <w:rFonts w:asciiTheme="majorBidi" w:hAnsiTheme="majorBidi" w:cs="David"/>
                <w:sz w:val="24"/>
                <w:szCs w:val="24"/>
                <w:rtl/>
              </w:rPr>
              <w:t xml:space="preserve"> 3-1504)</w:t>
            </w:r>
          </w:p>
        </w:tc>
        <w:tc>
          <w:tcPr>
            <w:tcW w:w="2802" w:type="pct"/>
          </w:tcPr>
          <w:p w14:paraId="23699542" w14:textId="77777777" w:rsidR="008E51CC" w:rsidRPr="002E5F06" w:rsidRDefault="008E51CC" w:rsidP="00856E1F">
            <w:pPr>
              <w:jc w:val="center"/>
              <w:rPr>
                <w:rFonts w:asciiTheme="majorBidi" w:hAnsiTheme="majorBidi" w:cs="David"/>
                <w:sz w:val="24"/>
                <w:szCs w:val="24"/>
                <w:rtl/>
              </w:rPr>
            </w:pPr>
          </w:p>
          <w:p w14:paraId="248FB8FB" w14:textId="514322E9" w:rsidR="008E51CC" w:rsidRPr="002E5F06" w:rsidRDefault="00CF7FF9" w:rsidP="00856E1F">
            <w:pPr>
              <w:jc w:val="center"/>
              <w:rPr>
                <w:rFonts w:asciiTheme="majorBidi" w:hAnsiTheme="majorBidi" w:cs="David"/>
                <w:sz w:val="24"/>
                <w:szCs w:val="24"/>
                <w:rtl/>
              </w:rPr>
            </w:pPr>
            <w:proofErr w:type="spellStart"/>
            <w:r w:rsidRPr="002E5F06">
              <w:rPr>
                <w:rFonts w:asciiTheme="majorBidi" w:hAnsiTheme="majorBidi" w:cs="David" w:hint="cs"/>
                <w:sz w:val="24"/>
                <w:szCs w:val="24"/>
                <w:rtl/>
              </w:rPr>
              <w:t>יועז</w:t>
            </w:r>
            <w:proofErr w:type="spellEnd"/>
            <w:r w:rsidRPr="002E5F06">
              <w:rPr>
                <w:rFonts w:asciiTheme="majorBidi" w:hAnsiTheme="majorBidi" w:cs="David" w:hint="cs"/>
                <w:sz w:val="24"/>
                <w:szCs w:val="24"/>
                <w:rtl/>
              </w:rPr>
              <w:t xml:space="preserve"> הנדל</w:t>
            </w:r>
          </w:p>
          <w:p w14:paraId="38B82AE8" w14:textId="77777777" w:rsidR="008E51CC" w:rsidRPr="002E5F06" w:rsidRDefault="008E51CC" w:rsidP="00856E1F">
            <w:pPr>
              <w:jc w:val="center"/>
              <w:rPr>
                <w:rFonts w:asciiTheme="majorBidi" w:hAnsiTheme="majorBidi" w:cs="David"/>
                <w:sz w:val="24"/>
                <w:szCs w:val="24"/>
                <w:rtl/>
              </w:rPr>
            </w:pPr>
            <w:r w:rsidRPr="002E5F06">
              <w:rPr>
                <w:rFonts w:asciiTheme="majorBidi" w:hAnsiTheme="majorBidi" w:cs="David"/>
                <w:sz w:val="24"/>
                <w:szCs w:val="24"/>
                <w:rtl/>
              </w:rPr>
              <w:t>שר התקשורת</w:t>
            </w:r>
          </w:p>
        </w:tc>
      </w:tr>
    </w:tbl>
    <w:p w14:paraId="63C8A749" w14:textId="77777777" w:rsidR="00573CB9" w:rsidRPr="002E5F06" w:rsidRDefault="000A6E85" w:rsidP="000A6E85">
      <w:pPr>
        <w:ind w:firstLine="0"/>
        <w:rPr>
          <w:rFonts w:asciiTheme="majorBidi" w:hAnsiTheme="majorBidi" w:cs="David"/>
          <w:sz w:val="24"/>
          <w:szCs w:val="24"/>
          <w:rtl/>
        </w:rPr>
      </w:pPr>
      <w:r w:rsidRPr="002E5F06">
        <w:rPr>
          <w:rFonts w:asciiTheme="majorBidi" w:hAnsiTheme="majorBidi" w:cs="David"/>
          <w:sz w:val="24"/>
          <w:szCs w:val="24"/>
          <w:rtl/>
        </w:rPr>
        <w:t xml:space="preserve"> </w:t>
      </w:r>
    </w:p>
    <w:p w14:paraId="529017CF" w14:textId="77777777" w:rsidR="0026739B" w:rsidRPr="002E5F06" w:rsidRDefault="00B30C6B" w:rsidP="0026739B">
      <w:pPr>
        <w:pStyle w:val="HeadDivreiHesber"/>
        <w:rPr>
          <w:color w:val="auto"/>
          <w:lang w:eastAsia="en-US"/>
        </w:rPr>
      </w:pPr>
      <w:r w:rsidRPr="002E5F06">
        <w:rPr>
          <w:rFonts w:asciiTheme="majorBidi" w:hAnsiTheme="majorBidi"/>
          <w:bCs/>
          <w:sz w:val="24"/>
          <w:szCs w:val="24"/>
          <w:rtl/>
        </w:rPr>
        <w:br w:type="page"/>
      </w:r>
      <w:r w:rsidR="0026739B" w:rsidRPr="002E5F06">
        <w:rPr>
          <w:rFonts w:hint="cs"/>
          <w:rtl/>
        </w:rPr>
        <w:lastRenderedPageBreak/>
        <w:t>דברי הסבר</w:t>
      </w:r>
    </w:p>
    <w:p w14:paraId="0F82BCBE" w14:textId="77777777" w:rsidR="00A64DCC" w:rsidRPr="002E5F06" w:rsidRDefault="00A64DCC" w:rsidP="00B96FE4">
      <w:pPr>
        <w:pStyle w:val="ae"/>
        <w:widowControl w:val="0"/>
        <w:autoSpaceDE w:val="0"/>
        <w:autoSpaceDN w:val="0"/>
        <w:adjustRightInd w:val="0"/>
        <w:snapToGrid w:val="0"/>
        <w:spacing w:before="120" w:after="120" w:line="360" w:lineRule="auto"/>
        <w:ind w:left="360"/>
        <w:jc w:val="both"/>
        <w:rPr>
          <w:rFonts w:ascii="Arial" w:eastAsia="Arial Unicode MS" w:hAnsi="Arial" w:cs="David"/>
          <w:b/>
          <w:bCs/>
          <w:sz w:val="18"/>
          <w:szCs w:val="24"/>
          <w:rtl/>
        </w:rPr>
      </w:pPr>
      <w:r w:rsidRPr="002E5F06">
        <w:rPr>
          <w:rFonts w:ascii="Arial" w:eastAsia="Arial Unicode MS" w:hAnsi="Arial" w:cs="David" w:hint="cs"/>
          <w:b/>
          <w:bCs/>
          <w:sz w:val="18"/>
          <w:szCs w:val="24"/>
          <w:rtl/>
        </w:rPr>
        <w:t>כללי</w:t>
      </w:r>
    </w:p>
    <w:p w14:paraId="258F8CA8" w14:textId="6FCB25E2" w:rsidR="00424EE7" w:rsidRPr="002E5F06" w:rsidRDefault="00424EE7" w:rsidP="001839FA">
      <w:pPr>
        <w:autoSpaceDE/>
        <w:autoSpaceDN/>
        <w:adjustRightInd/>
        <w:snapToGrid w:val="0"/>
        <w:spacing w:before="120" w:after="120" w:line="360" w:lineRule="auto"/>
        <w:ind w:left="360" w:firstLine="0"/>
        <w:contextualSpacing/>
        <w:textAlignment w:val="auto"/>
        <w:rPr>
          <w:rFonts w:ascii="Arial" w:eastAsia="Arial Unicode MS" w:hAnsi="Arial" w:cs="David"/>
          <w:color w:val="auto"/>
          <w:spacing w:val="0"/>
          <w:sz w:val="20"/>
          <w:szCs w:val="26"/>
          <w:lang w:eastAsia="en-US"/>
        </w:rPr>
      </w:pPr>
      <w:r w:rsidRPr="002E5F06">
        <w:rPr>
          <w:rFonts w:ascii="Arial" w:eastAsia="Arial Unicode MS" w:hAnsi="Arial" w:cs="David" w:hint="cs"/>
          <w:color w:val="auto"/>
          <w:spacing w:val="0"/>
          <w:sz w:val="20"/>
          <w:szCs w:val="26"/>
          <w:rtl/>
          <w:lang w:eastAsia="en-US"/>
        </w:rPr>
        <w:t xml:space="preserve">בהתאם לאסדרה מכוח </w:t>
      </w:r>
      <w:r w:rsidRPr="002E5F06">
        <w:rPr>
          <w:rFonts w:ascii="Arial" w:eastAsia="Arial Unicode MS" w:hAnsi="Arial" w:cs="David"/>
          <w:color w:val="auto"/>
          <w:spacing w:val="0"/>
          <w:sz w:val="20"/>
          <w:szCs w:val="26"/>
          <w:rtl/>
          <w:lang w:eastAsia="en-US"/>
        </w:rPr>
        <w:t xml:space="preserve">פקודת הטלגרף האלחוטי [נוסח חדש], </w:t>
      </w:r>
      <w:r w:rsidR="00EB6FF2" w:rsidRPr="002E5F06">
        <w:rPr>
          <w:rFonts w:ascii="Arial" w:eastAsia="Arial Unicode MS" w:hAnsi="Arial" w:cs="David" w:hint="cs"/>
          <w:color w:val="auto"/>
          <w:spacing w:val="0"/>
          <w:sz w:val="20"/>
          <w:szCs w:val="26"/>
          <w:rtl/>
          <w:lang w:eastAsia="en-US"/>
        </w:rPr>
        <w:t>ה</w:t>
      </w:r>
      <w:r w:rsidRPr="002E5F06">
        <w:rPr>
          <w:rFonts w:ascii="Arial" w:eastAsia="Arial Unicode MS" w:hAnsi="Arial" w:cs="David"/>
          <w:color w:val="auto"/>
          <w:spacing w:val="0"/>
          <w:sz w:val="20"/>
          <w:szCs w:val="26"/>
          <w:rtl/>
          <w:lang w:eastAsia="en-US"/>
        </w:rPr>
        <w:t>תשל</w:t>
      </w:r>
      <w:r w:rsidRPr="002E5F06">
        <w:rPr>
          <w:rFonts w:ascii="Arial" w:eastAsia="Arial Unicode MS" w:hAnsi="Arial" w:cs="David" w:hint="cs"/>
          <w:color w:val="auto"/>
          <w:spacing w:val="0"/>
          <w:sz w:val="20"/>
          <w:szCs w:val="26"/>
          <w:rtl/>
          <w:lang w:eastAsia="en-US"/>
        </w:rPr>
        <w:t>"</w:t>
      </w:r>
      <w:r w:rsidRPr="002E5F06">
        <w:rPr>
          <w:rFonts w:ascii="Arial" w:eastAsia="Arial Unicode MS" w:hAnsi="Arial" w:cs="David"/>
          <w:color w:val="auto"/>
          <w:spacing w:val="0"/>
          <w:sz w:val="20"/>
          <w:szCs w:val="26"/>
          <w:rtl/>
          <w:lang w:eastAsia="en-US"/>
        </w:rPr>
        <w:t>ב-1972</w:t>
      </w:r>
      <w:r w:rsidRPr="002E5F06">
        <w:rPr>
          <w:rFonts w:ascii="Arial" w:eastAsia="Arial Unicode MS" w:hAnsi="Arial" w:cs="David" w:hint="cs"/>
          <w:color w:val="auto"/>
          <w:spacing w:val="0"/>
          <w:sz w:val="20"/>
          <w:szCs w:val="26"/>
          <w:rtl/>
          <w:lang w:eastAsia="en-US"/>
        </w:rPr>
        <w:t xml:space="preserve"> (להלן - </w:t>
      </w:r>
      <w:r w:rsidRPr="002E5F06">
        <w:rPr>
          <w:rFonts w:ascii="Arial" w:eastAsia="Arial Unicode MS" w:hAnsi="Arial" w:cs="David" w:hint="eastAsia"/>
          <w:color w:val="auto"/>
          <w:spacing w:val="0"/>
          <w:sz w:val="20"/>
          <w:szCs w:val="26"/>
          <w:rtl/>
          <w:lang w:eastAsia="en-US"/>
        </w:rPr>
        <w:t>הפקודה</w:t>
      </w:r>
      <w:r w:rsidRPr="002E5F06">
        <w:rPr>
          <w:rFonts w:ascii="Arial" w:eastAsia="Arial Unicode MS" w:hAnsi="Arial" w:cs="David" w:hint="cs"/>
          <w:color w:val="auto"/>
          <w:spacing w:val="0"/>
          <w:sz w:val="20"/>
          <w:szCs w:val="26"/>
          <w:rtl/>
          <w:lang w:eastAsia="en-US"/>
        </w:rPr>
        <w:t xml:space="preserve">), התקנה, הפעלה או החזקה של מכשיר אלחוטי הן פעולות המחייבות קבלת רישיון מאת </w:t>
      </w:r>
      <w:r w:rsidR="00EE4249" w:rsidRPr="002E5F06">
        <w:rPr>
          <w:rFonts w:ascii="Arial" w:eastAsia="Arial Unicode MS" w:hAnsi="Arial" w:cs="David" w:hint="cs"/>
          <w:color w:val="auto"/>
          <w:spacing w:val="0"/>
          <w:sz w:val="20"/>
          <w:szCs w:val="26"/>
          <w:rtl/>
          <w:lang w:eastAsia="en-US"/>
        </w:rPr>
        <w:t xml:space="preserve">"המנהל" כהגדרתו בפקודה, כיום המשנה למנכ"ל ומנהל </w:t>
      </w:r>
      <w:proofErr w:type="spellStart"/>
      <w:r w:rsidR="00EE4249" w:rsidRPr="002E5F06">
        <w:rPr>
          <w:rFonts w:ascii="Arial" w:eastAsia="Arial Unicode MS" w:hAnsi="Arial" w:cs="David" w:hint="cs"/>
          <w:color w:val="auto"/>
          <w:spacing w:val="0"/>
          <w:sz w:val="20"/>
          <w:szCs w:val="26"/>
          <w:rtl/>
          <w:lang w:eastAsia="en-US"/>
        </w:rPr>
        <w:t>מינהל</w:t>
      </w:r>
      <w:proofErr w:type="spellEnd"/>
      <w:r w:rsidR="00EE4249" w:rsidRPr="002E5F06">
        <w:rPr>
          <w:rFonts w:ascii="Arial" w:eastAsia="Arial Unicode MS" w:hAnsi="Arial" w:cs="David" w:hint="cs"/>
          <w:color w:val="auto"/>
          <w:spacing w:val="0"/>
          <w:sz w:val="20"/>
          <w:szCs w:val="26"/>
          <w:rtl/>
          <w:lang w:eastAsia="en-US"/>
        </w:rPr>
        <w:t xml:space="preserve"> הנדסה, וכן נדרש </w:t>
      </w:r>
      <w:r w:rsidR="001839FA" w:rsidRPr="002E5F06">
        <w:rPr>
          <w:rFonts w:ascii="Arial" w:eastAsia="Arial Unicode MS" w:hAnsi="Arial" w:cs="David" w:hint="cs"/>
          <w:color w:val="auto"/>
          <w:spacing w:val="0"/>
          <w:sz w:val="20"/>
          <w:szCs w:val="26"/>
          <w:rtl/>
          <w:lang w:eastAsia="en-US"/>
        </w:rPr>
        <w:t>אדם המפעיל מכשיר אלחוטי</w:t>
      </w:r>
      <w:r w:rsidR="00EE4249" w:rsidRPr="002E5F06">
        <w:rPr>
          <w:rFonts w:ascii="Arial" w:eastAsia="Arial Unicode MS" w:hAnsi="Arial" w:cs="David" w:hint="cs"/>
          <w:color w:val="auto"/>
          <w:spacing w:val="0"/>
          <w:sz w:val="20"/>
          <w:szCs w:val="26"/>
          <w:rtl/>
          <w:lang w:eastAsia="en-US"/>
        </w:rPr>
        <w:t xml:space="preserve"> לקבל הקצאת תדר אלחוטי לפי סעיף 5ד לפקודה</w:t>
      </w:r>
      <w:r w:rsidRPr="002E5F06">
        <w:rPr>
          <w:rFonts w:ascii="Arial" w:eastAsia="Arial Unicode MS" w:hAnsi="Arial" w:cs="David"/>
          <w:color w:val="auto"/>
          <w:spacing w:val="0"/>
          <w:sz w:val="20"/>
          <w:szCs w:val="26"/>
          <w:rtl/>
          <w:lang w:eastAsia="en-US"/>
        </w:rPr>
        <w:t>.</w:t>
      </w:r>
    </w:p>
    <w:p w14:paraId="0F13D563" w14:textId="78DCFFEF" w:rsidR="0081101A" w:rsidRPr="002E5F06" w:rsidRDefault="0081101A" w:rsidP="00EE4249">
      <w:pPr>
        <w:numPr>
          <w:ilvl w:val="0"/>
          <w:numId w:val="30"/>
        </w:numPr>
        <w:autoSpaceDE/>
        <w:autoSpaceDN/>
        <w:adjustRightInd/>
        <w:snapToGrid w:val="0"/>
        <w:spacing w:before="120" w:after="120" w:line="360" w:lineRule="auto"/>
        <w:contextualSpacing/>
        <w:textAlignment w:val="auto"/>
        <w:rPr>
          <w:rFonts w:ascii="Arial" w:eastAsia="Arial Unicode MS" w:hAnsi="Arial" w:cs="David"/>
          <w:color w:val="auto"/>
          <w:spacing w:val="0"/>
          <w:sz w:val="20"/>
          <w:szCs w:val="26"/>
          <w:lang w:eastAsia="en-US"/>
        </w:rPr>
      </w:pPr>
      <w:r w:rsidRPr="002E5F06">
        <w:rPr>
          <w:rFonts w:ascii="Arial" w:eastAsia="Arial Unicode MS" w:hAnsi="Arial" w:cs="David" w:hint="cs"/>
          <w:color w:val="auto"/>
          <w:spacing w:val="0"/>
          <w:sz w:val="20"/>
          <w:szCs w:val="26"/>
          <w:rtl/>
          <w:lang w:eastAsia="en-US"/>
        </w:rPr>
        <w:t>ביום 22 לאפריל 2018 נכנס לתוקף תיקון לפקודה</w:t>
      </w:r>
      <w:r w:rsidRPr="002E5F06">
        <w:rPr>
          <w:rFonts w:ascii="Arial" w:eastAsia="Arial Unicode MS" w:hAnsi="Arial" w:cs="David"/>
          <w:color w:val="auto"/>
          <w:spacing w:val="0"/>
          <w:sz w:val="20"/>
          <w:szCs w:val="26"/>
          <w:rtl/>
          <w:lang w:eastAsia="en-US"/>
        </w:rPr>
        <w:t>,</w:t>
      </w:r>
      <w:r w:rsidRPr="002E5F06">
        <w:rPr>
          <w:rFonts w:ascii="Arial" w:eastAsia="Arial Unicode MS" w:hAnsi="Arial" w:cs="David" w:hint="cs"/>
          <w:color w:val="auto"/>
          <w:spacing w:val="0"/>
          <w:sz w:val="20"/>
          <w:szCs w:val="26"/>
          <w:rtl/>
          <w:lang w:eastAsia="en-US"/>
        </w:rPr>
        <w:t xml:space="preserve"> ובכלל כך לעניין רישוי של מכשירים אלחוטיים, לעניין מכשירים במסלול אישור התאמה, ולעניין פטור מהוראות הפקודה. סעיף 4ט לפקודה קובע כי שר התקשורת</w:t>
      </w:r>
      <w:r w:rsidRPr="002E5F06">
        <w:rPr>
          <w:rFonts w:ascii="Arial" w:eastAsia="Arial Unicode MS" w:hAnsi="Arial" w:cs="David"/>
          <w:color w:val="auto"/>
          <w:spacing w:val="0"/>
          <w:sz w:val="20"/>
          <w:szCs w:val="26"/>
          <w:rtl/>
          <w:lang w:eastAsia="en-US"/>
        </w:rPr>
        <w:t xml:space="preserve"> רשאי לקבוע כי ייבוא וייצור של מכשיר אלחוטי שמתקיימים לגביו או לגבי הייבוא או הייצור שלו התנאים שקבע, ובכלל זה עמידה במפרט טכני מסוים, יהיו פטורים מחובת רישוי לפי </w:t>
      </w:r>
      <w:r w:rsidRPr="002E5F06">
        <w:rPr>
          <w:rFonts w:ascii="Arial" w:eastAsia="Arial Unicode MS" w:hAnsi="Arial" w:cs="David" w:hint="cs"/>
          <w:color w:val="auto"/>
          <w:spacing w:val="0"/>
          <w:sz w:val="20"/>
          <w:szCs w:val="26"/>
          <w:rtl/>
          <w:lang w:eastAsia="en-US"/>
        </w:rPr>
        <w:t>הפקודה</w:t>
      </w:r>
      <w:r w:rsidRPr="002E5F06">
        <w:rPr>
          <w:rFonts w:ascii="Arial" w:eastAsia="Arial Unicode MS" w:hAnsi="Arial" w:cs="David"/>
          <w:color w:val="auto"/>
          <w:spacing w:val="0"/>
          <w:sz w:val="20"/>
          <w:szCs w:val="26"/>
          <w:rtl/>
          <w:lang w:eastAsia="en-US"/>
        </w:rPr>
        <w:t xml:space="preserve"> ויהיו טעונים אישור התאמה </w:t>
      </w:r>
      <w:r w:rsidRPr="002E5F06">
        <w:rPr>
          <w:rFonts w:ascii="Arial" w:eastAsia="Arial Unicode MS" w:hAnsi="Arial" w:cs="David" w:hint="cs"/>
          <w:color w:val="auto"/>
          <w:spacing w:val="0"/>
          <w:sz w:val="20"/>
          <w:szCs w:val="26"/>
          <w:rtl/>
          <w:lang w:eastAsia="en-US"/>
        </w:rPr>
        <w:t>(</w:t>
      </w:r>
      <w:r w:rsidR="00A14998" w:rsidRPr="002E5F06">
        <w:rPr>
          <w:rFonts w:ascii="Arial" w:eastAsia="Arial Unicode MS" w:hAnsi="Arial" w:cs="David" w:hint="cs"/>
          <w:color w:val="auto"/>
          <w:spacing w:val="0"/>
          <w:sz w:val="20"/>
          <w:szCs w:val="26"/>
          <w:rtl/>
          <w:lang w:eastAsia="en-US"/>
        </w:rPr>
        <w:t>לפי הפקודה</w:t>
      </w:r>
      <w:r w:rsidR="0026739B" w:rsidRPr="002E5F06">
        <w:rPr>
          <w:rFonts w:ascii="Arial" w:eastAsia="Arial Unicode MS" w:hAnsi="Arial" w:cs="David" w:hint="cs"/>
          <w:color w:val="auto"/>
          <w:spacing w:val="0"/>
          <w:sz w:val="20"/>
          <w:szCs w:val="26"/>
          <w:rtl/>
          <w:lang w:eastAsia="en-US"/>
        </w:rPr>
        <w:t xml:space="preserve"> "</w:t>
      </w:r>
      <w:r w:rsidR="00EE4249" w:rsidRPr="002E5F06">
        <w:rPr>
          <w:rFonts w:ascii="Arial" w:eastAsia="Arial Unicode MS" w:hAnsi="Arial" w:cs="David" w:hint="cs"/>
          <w:color w:val="auto"/>
          <w:spacing w:val="0"/>
          <w:sz w:val="20"/>
          <w:szCs w:val="26"/>
          <w:rtl/>
          <w:lang w:eastAsia="en-US"/>
        </w:rPr>
        <w:t>מכשיר במסלול אישור</w:t>
      </w:r>
      <w:r w:rsidR="0026739B" w:rsidRPr="002E5F06">
        <w:rPr>
          <w:rFonts w:ascii="Arial" w:eastAsia="Arial Unicode MS" w:hAnsi="Arial" w:cs="David" w:hint="cs"/>
          <w:color w:val="auto"/>
          <w:spacing w:val="0"/>
          <w:sz w:val="20"/>
          <w:szCs w:val="26"/>
          <w:rtl/>
          <w:lang w:eastAsia="en-US"/>
        </w:rPr>
        <w:t>"</w:t>
      </w:r>
      <w:r w:rsidRPr="002E5F06">
        <w:rPr>
          <w:rFonts w:ascii="Arial" w:eastAsia="Arial Unicode MS" w:hAnsi="Arial" w:cs="David"/>
          <w:color w:val="auto"/>
          <w:spacing w:val="0"/>
          <w:sz w:val="20"/>
          <w:szCs w:val="26"/>
          <w:rtl/>
          <w:lang w:eastAsia="en-US"/>
        </w:rPr>
        <w:t>)</w:t>
      </w:r>
      <w:r w:rsidRPr="002E5F06">
        <w:rPr>
          <w:rFonts w:ascii="Arial" w:eastAsia="Arial Unicode MS" w:hAnsi="Arial" w:cs="David"/>
          <w:color w:val="auto"/>
          <w:spacing w:val="0"/>
          <w:sz w:val="20"/>
          <w:szCs w:val="26"/>
          <w:lang w:eastAsia="en-US"/>
        </w:rPr>
        <w:t>.</w:t>
      </w:r>
      <w:r w:rsidRPr="002E5F06">
        <w:rPr>
          <w:rFonts w:ascii="Arial" w:eastAsia="Arial Unicode MS" w:hAnsi="Arial" w:cs="David" w:hint="cs"/>
          <w:color w:val="auto"/>
          <w:spacing w:val="0"/>
          <w:sz w:val="20"/>
          <w:szCs w:val="26"/>
          <w:rtl/>
          <w:lang w:eastAsia="en-US"/>
        </w:rPr>
        <w:t xml:space="preserve"> </w:t>
      </w:r>
      <w:r w:rsidR="00EB6FF2" w:rsidRPr="002E5F06">
        <w:rPr>
          <w:rFonts w:ascii="Arial" w:eastAsia="Arial Unicode MS" w:hAnsi="Arial" w:cs="David" w:hint="cs"/>
          <w:color w:val="auto"/>
          <w:spacing w:val="0"/>
          <w:sz w:val="20"/>
          <w:szCs w:val="26"/>
          <w:rtl/>
          <w:lang w:eastAsia="en-US"/>
        </w:rPr>
        <w:t>סמכות זהה מעיקרה הייתה קבועה בפקודה גם עובר לתיקון משנת 2018.</w:t>
      </w:r>
    </w:p>
    <w:p w14:paraId="06EDEDF7" w14:textId="17C4660F" w:rsidR="00424EE7" w:rsidRPr="002E5F06" w:rsidRDefault="00424EE7" w:rsidP="001839FA">
      <w:pPr>
        <w:autoSpaceDE/>
        <w:autoSpaceDN/>
        <w:adjustRightInd/>
        <w:snapToGrid w:val="0"/>
        <w:spacing w:before="120" w:after="120" w:line="360" w:lineRule="auto"/>
        <w:ind w:left="360" w:firstLine="0"/>
        <w:contextualSpacing/>
        <w:textAlignment w:val="auto"/>
        <w:rPr>
          <w:rFonts w:asciiTheme="minorHAnsi" w:eastAsiaTheme="minorHAnsi" w:hAnsiTheme="minorHAnsi" w:cs="David"/>
          <w:color w:val="auto"/>
          <w:spacing w:val="0"/>
          <w:sz w:val="26"/>
          <w:szCs w:val="26"/>
          <w:lang w:eastAsia="en-US"/>
        </w:rPr>
      </w:pPr>
      <w:r w:rsidRPr="002E5F06">
        <w:rPr>
          <w:rFonts w:ascii="Arial" w:eastAsia="Arial Unicode MS" w:hAnsi="Arial" w:cs="David" w:hint="cs"/>
          <w:color w:val="auto"/>
          <w:spacing w:val="0"/>
          <w:sz w:val="20"/>
          <w:szCs w:val="26"/>
          <w:rtl/>
          <w:lang w:eastAsia="en-US"/>
        </w:rPr>
        <w:t>סעיף 1 ל</w:t>
      </w:r>
      <w:r w:rsidRPr="002E5F06">
        <w:rPr>
          <w:rFonts w:ascii="Arial" w:eastAsia="Arial Unicode MS" w:hAnsi="Arial" w:cs="David"/>
          <w:color w:val="auto"/>
          <w:spacing w:val="0"/>
          <w:sz w:val="20"/>
          <w:szCs w:val="26"/>
          <w:rtl/>
          <w:lang w:eastAsia="en-US"/>
        </w:rPr>
        <w:t xml:space="preserve">צו הטלגרף האלחוטי (אי תחולת הפקודה) (מס' 2), </w:t>
      </w:r>
      <w:r w:rsidRPr="002E5F06">
        <w:rPr>
          <w:rFonts w:ascii="Arial" w:eastAsia="Arial Unicode MS" w:hAnsi="Arial" w:cs="David" w:hint="cs"/>
          <w:color w:val="auto"/>
          <w:spacing w:val="0"/>
          <w:sz w:val="20"/>
          <w:szCs w:val="26"/>
          <w:rtl/>
          <w:lang w:eastAsia="en-US"/>
        </w:rPr>
        <w:t>ה</w:t>
      </w:r>
      <w:r w:rsidRPr="002E5F06">
        <w:rPr>
          <w:rFonts w:ascii="Arial" w:eastAsia="Arial Unicode MS" w:hAnsi="Arial" w:cs="David"/>
          <w:color w:val="auto"/>
          <w:spacing w:val="0"/>
          <w:sz w:val="20"/>
          <w:szCs w:val="26"/>
          <w:rtl/>
          <w:lang w:eastAsia="en-US"/>
        </w:rPr>
        <w:t>תשמ"ב-1982</w:t>
      </w:r>
      <w:r w:rsidRPr="002E5F06">
        <w:rPr>
          <w:rFonts w:ascii="Arial" w:eastAsia="Arial Unicode MS" w:hAnsi="Arial" w:cs="David" w:hint="cs"/>
          <w:color w:val="auto"/>
          <w:spacing w:val="0"/>
          <w:sz w:val="20"/>
          <w:szCs w:val="26"/>
          <w:rtl/>
          <w:lang w:eastAsia="en-US"/>
        </w:rPr>
        <w:t xml:space="preserve"> (להלן - הצו העיקרי) מפרט את התנאים</w:t>
      </w:r>
      <w:r w:rsidRPr="002E5F06">
        <w:rPr>
          <w:rFonts w:asciiTheme="minorHAnsi" w:eastAsiaTheme="minorHAnsi" w:hAnsiTheme="minorHAnsi" w:cs="David" w:hint="cs"/>
          <w:color w:val="auto"/>
          <w:spacing w:val="0"/>
          <w:sz w:val="26"/>
          <w:szCs w:val="26"/>
          <w:rtl/>
          <w:lang w:eastAsia="en-US"/>
        </w:rPr>
        <w:t xml:space="preserve"> ש</w:t>
      </w:r>
      <w:r w:rsidR="001839FA" w:rsidRPr="002E5F06">
        <w:rPr>
          <w:rFonts w:asciiTheme="minorHAnsi" w:eastAsiaTheme="minorHAnsi" w:hAnsiTheme="minorHAnsi" w:cs="David" w:hint="cs"/>
          <w:color w:val="auto"/>
          <w:spacing w:val="0"/>
          <w:sz w:val="26"/>
          <w:szCs w:val="26"/>
          <w:rtl/>
          <w:lang w:eastAsia="en-US"/>
        </w:rPr>
        <w:t xml:space="preserve">קבע שר התקשורת אשר </w:t>
      </w:r>
      <w:r w:rsidRPr="002E5F06">
        <w:rPr>
          <w:rFonts w:asciiTheme="minorHAnsi" w:eastAsiaTheme="minorHAnsi" w:hAnsiTheme="minorHAnsi" w:cs="David" w:hint="cs"/>
          <w:color w:val="auto"/>
          <w:spacing w:val="0"/>
          <w:sz w:val="26"/>
          <w:szCs w:val="26"/>
          <w:rtl/>
          <w:lang w:eastAsia="en-US"/>
        </w:rPr>
        <w:t xml:space="preserve">מכשיר אלחוטי </w:t>
      </w:r>
      <w:r w:rsidR="001839FA" w:rsidRPr="002E5F06">
        <w:rPr>
          <w:rFonts w:asciiTheme="minorHAnsi" w:eastAsiaTheme="minorHAnsi" w:hAnsiTheme="minorHAnsi" w:cs="David" w:hint="cs"/>
          <w:color w:val="auto"/>
          <w:spacing w:val="0"/>
          <w:sz w:val="26"/>
          <w:szCs w:val="26"/>
          <w:rtl/>
          <w:lang w:eastAsia="en-US"/>
        </w:rPr>
        <w:t>ש</w:t>
      </w:r>
      <w:r w:rsidRPr="002E5F06">
        <w:rPr>
          <w:rFonts w:asciiTheme="minorHAnsi" w:eastAsiaTheme="minorHAnsi" w:hAnsiTheme="minorHAnsi" w:cs="David" w:hint="cs"/>
          <w:color w:val="auto"/>
          <w:spacing w:val="0"/>
          <w:sz w:val="26"/>
          <w:szCs w:val="26"/>
          <w:rtl/>
          <w:lang w:eastAsia="en-US"/>
        </w:rPr>
        <w:t xml:space="preserve">עומד בהם </w:t>
      </w:r>
      <w:r w:rsidR="00AF51E3" w:rsidRPr="002E5F06">
        <w:rPr>
          <w:rFonts w:asciiTheme="minorHAnsi" w:eastAsiaTheme="minorHAnsi" w:hAnsiTheme="minorHAnsi" w:cs="David" w:hint="cs"/>
          <w:color w:val="auto"/>
          <w:spacing w:val="0"/>
          <w:sz w:val="26"/>
          <w:szCs w:val="26"/>
          <w:rtl/>
          <w:lang w:eastAsia="en-US"/>
        </w:rPr>
        <w:t>טעון</w:t>
      </w:r>
      <w:r w:rsidRPr="002E5F06">
        <w:rPr>
          <w:rFonts w:asciiTheme="minorHAnsi" w:eastAsiaTheme="minorHAnsi" w:hAnsiTheme="minorHAnsi" w:cs="David" w:hint="cs"/>
          <w:color w:val="auto"/>
          <w:spacing w:val="0"/>
          <w:sz w:val="26"/>
          <w:szCs w:val="26"/>
          <w:rtl/>
          <w:lang w:eastAsia="en-US"/>
        </w:rPr>
        <w:t xml:space="preserve"> אישור התאמה, חלף </w:t>
      </w:r>
      <w:r w:rsidR="00AF51E3" w:rsidRPr="002E5F06">
        <w:rPr>
          <w:rFonts w:asciiTheme="minorHAnsi" w:eastAsiaTheme="minorHAnsi" w:hAnsiTheme="minorHAnsi" w:cs="David" w:hint="cs"/>
          <w:color w:val="auto"/>
          <w:spacing w:val="0"/>
          <w:sz w:val="26"/>
          <w:szCs w:val="26"/>
          <w:rtl/>
          <w:lang w:eastAsia="en-US"/>
        </w:rPr>
        <w:t>רישיון</w:t>
      </w:r>
      <w:r w:rsidR="00EE4249" w:rsidRPr="002E5F06">
        <w:rPr>
          <w:rFonts w:asciiTheme="minorHAnsi" w:eastAsiaTheme="minorHAnsi" w:hAnsiTheme="minorHAnsi" w:cs="David" w:hint="cs"/>
          <w:color w:val="auto"/>
          <w:spacing w:val="0"/>
          <w:sz w:val="26"/>
          <w:szCs w:val="26"/>
          <w:rtl/>
          <w:lang w:eastAsia="en-US"/>
        </w:rPr>
        <w:t>, ופטור מהקצאת תדר</w:t>
      </w:r>
      <w:r w:rsidR="00AF51E3" w:rsidRPr="002E5F06">
        <w:rPr>
          <w:rFonts w:asciiTheme="minorHAnsi" w:eastAsiaTheme="minorHAnsi" w:hAnsiTheme="minorHAnsi" w:cs="David" w:hint="cs"/>
          <w:color w:val="auto"/>
          <w:spacing w:val="0"/>
          <w:sz w:val="26"/>
          <w:szCs w:val="26"/>
          <w:rtl/>
          <w:lang w:eastAsia="en-US"/>
        </w:rPr>
        <w:t>.</w:t>
      </w:r>
    </w:p>
    <w:p w14:paraId="15704E35" w14:textId="77777777" w:rsidR="0026739B" w:rsidRPr="002E5F06" w:rsidRDefault="0026739B" w:rsidP="001839FA">
      <w:pPr>
        <w:autoSpaceDE/>
        <w:autoSpaceDN/>
        <w:adjustRightInd/>
        <w:snapToGrid w:val="0"/>
        <w:spacing w:before="120" w:after="120" w:line="360" w:lineRule="auto"/>
        <w:ind w:left="360" w:firstLine="0"/>
        <w:contextualSpacing/>
        <w:textAlignment w:val="auto"/>
        <w:rPr>
          <w:rFonts w:ascii="Arial" w:eastAsia="Arial Unicode MS" w:hAnsi="Arial" w:cs="David"/>
          <w:color w:val="auto"/>
          <w:spacing w:val="0"/>
          <w:sz w:val="20"/>
          <w:szCs w:val="26"/>
          <w:rtl/>
          <w:lang w:eastAsia="en-US"/>
        </w:rPr>
      </w:pPr>
    </w:p>
    <w:p w14:paraId="264EB6C7" w14:textId="1F2809B4" w:rsidR="0026739B" w:rsidRPr="002E5F06" w:rsidRDefault="00EE4249" w:rsidP="001839FA">
      <w:pPr>
        <w:autoSpaceDE/>
        <w:autoSpaceDN/>
        <w:adjustRightInd/>
        <w:snapToGrid w:val="0"/>
        <w:spacing w:before="120" w:after="120" w:line="360" w:lineRule="auto"/>
        <w:ind w:left="360" w:firstLine="0"/>
        <w:contextualSpacing/>
        <w:textAlignment w:val="auto"/>
        <w:rPr>
          <w:rFonts w:asciiTheme="minorHAnsi" w:eastAsiaTheme="minorHAnsi" w:hAnsiTheme="minorHAnsi" w:cs="David"/>
          <w:b/>
          <w:bCs/>
          <w:color w:val="auto"/>
          <w:spacing w:val="0"/>
          <w:sz w:val="26"/>
          <w:szCs w:val="26"/>
          <w:lang w:eastAsia="en-US"/>
        </w:rPr>
      </w:pPr>
      <w:r w:rsidRPr="002E5F06">
        <w:rPr>
          <w:rFonts w:ascii="Arial" w:eastAsia="Arial Unicode MS" w:hAnsi="Arial" w:cs="David" w:hint="cs"/>
          <w:b/>
          <w:bCs/>
          <w:color w:val="auto"/>
          <w:spacing w:val="0"/>
          <w:sz w:val="20"/>
          <w:szCs w:val="26"/>
          <w:rtl/>
          <w:lang w:eastAsia="en-US"/>
        </w:rPr>
        <w:t>לסעיף 1 לצו</w:t>
      </w:r>
    </w:p>
    <w:p w14:paraId="0EC30D21" w14:textId="3240BDF8" w:rsidR="008E6BC9" w:rsidRPr="002E5F06" w:rsidRDefault="00020F05" w:rsidP="00192D6E">
      <w:pPr>
        <w:autoSpaceDE/>
        <w:autoSpaceDN/>
        <w:adjustRightInd/>
        <w:snapToGrid w:val="0"/>
        <w:spacing w:before="120" w:after="120" w:line="360" w:lineRule="auto"/>
        <w:ind w:left="360" w:firstLine="0"/>
        <w:contextualSpacing/>
        <w:textAlignment w:val="auto"/>
        <w:rPr>
          <w:rFonts w:asciiTheme="minorHAnsi" w:eastAsiaTheme="minorHAnsi" w:hAnsiTheme="minorHAnsi" w:cs="David"/>
          <w:color w:val="auto"/>
          <w:spacing w:val="0"/>
          <w:sz w:val="26"/>
          <w:szCs w:val="26"/>
          <w:rtl/>
          <w:lang w:eastAsia="en-US"/>
        </w:rPr>
      </w:pPr>
      <w:r w:rsidRPr="002E5F06">
        <w:rPr>
          <w:rFonts w:asciiTheme="minorHAnsi" w:eastAsiaTheme="minorHAnsi" w:hAnsiTheme="minorHAnsi" w:cs="David" w:hint="cs"/>
          <w:color w:val="auto"/>
          <w:spacing w:val="0"/>
          <w:sz w:val="26"/>
          <w:szCs w:val="26"/>
          <w:rtl/>
          <w:lang w:eastAsia="en-US"/>
        </w:rPr>
        <w:t xml:space="preserve">מוצע </w:t>
      </w:r>
      <w:r w:rsidR="006E7646" w:rsidRPr="002E5F06">
        <w:rPr>
          <w:rFonts w:asciiTheme="minorHAnsi" w:eastAsiaTheme="minorHAnsi" w:hAnsiTheme="minorHAnsi" w:cs="David" w:hint="cs"/>
          <w:color w:val="auto"/>
          <w:spacing w:val="0"/>
          <w:sz w:val="26"/>
          <w:szCs w:val="26"/>
          <w:rtl/>
          <w:lang w:eastAsia="en-US"/>
        </w:rPr>
        <w:t xml:space="preserve">לתקן את הצו </w:t>
      </w:r>
      <w:r w:rsidR="00AF51E3" w:rsidRPr="002E5F06">
        <w:rPr>
          <w:rFonts w:asciiTheme="minorHAnsi" w:eastAsiaTheme="minorHAnsi" w:hAnsiTheme="minorHAnsi" w:cs="David" w:hint="cs"/>
          <w:color w:val="auto"/>
          <w:spacing w:val="0"/>
          <w:sz w:val="26"/>
          <w:szCs w:val="26"/>
          <w:rtl/>
          <w:lang w:eastAsia="en-US"/>
        </w:rPr>
        <w:t>העיקרי כך ש</w:t>
      </w:r>
      <w:r w:rsidRPr="002E5F06">
        <w:rPr>
          <w:rFonts w:asciiTheme="minorHAnsi" w:eastAsiaTheme="minorHAnsi" w:hAnsiTheme="minorHAnsi" w:cs="David" w:hint="cs"/>
          <w:color w:val="auto"/>
          <w:spacing w:val="0"/>
          <w:sz w:val="26"/>
          <w:szCs w:val="26"/>
          <w:rtl/>
          <w:lang w:eastAsia="en-US"/>
        </w:rPr>
        <w:t>עורקי נל"ן (נקודה לנקודה)</w:t>
      </w:r>
      <w:r w:rsidRPr="002E5F06">
        <w:rPr>
          <w:rFonts w:asciiTheme="minorHAnsi" w:eastAsiaTheme="minorHAnsi" w:hAnsiTheme="minorHAnsi" w:cs="David" w:hint="cs"/>
          <w:color w:val="auto"/>
          <w:spacing w:val="0"/>
          <w:sz w:val="26"/>
          <w:szCs w:val="26"/>
          <w:lang w:eastAsia="en-US"/>
        </w:rPr>
        <w:t xml:space="preserve"> </w:t>
      </w:r>
      <w:r w:rsidRPr="002E5F06">
        <w:rPr>
          <w:rFonts w:asciiTheme="minorHAnsi" w:eastAsiaTheme="minorHAnsi" w:hAnsiTheme="minorHAnsi" w:cs="David" w:hint="cs"/>
          <w:color w:val="auto"/>
          <w:spacing w:val="0"/>
          <w:sz w:val="26"/>
          <w:szCs w:val="26"/>
          <w:rtl/>
          <w:lang w:eastAsia="en-US"/>
        </w:rPr>
        <w:t xml:space="preserve">אשר פועלים בתחום התדרים 57 עד 66 גיגה הרץ, ועומדים </w:t>
      </w:r>
      <w:r w:rsidRPr="002E5F06">
        <w:rPr>
          <w:rFonts w:asciiTheme="minorHAnsi" w:eastAsiaTheme="minorHAnsi" w:hAnsiTheme="minorHAnsi" w:cs="David" w:hint="eastAsia"/>
          <w:color w:val="auto"/>
          <w:spacing w:val="0"/>
          <w:sz w:val="26"/>
          <w:szCs w:val="26"/>
          <w:rtl/>
          <w:lang w:eastAsia="en-US"/>
        </w:rPr>
        <w:t>בתנאי</w:t>
      </w:r>
      <w:r w:rsidR="00EE4249" w:rsidRPr="002E5F06">
        <w:rPr>
          <w:rFonts w:asciiTheme="minorHAnsi" w:eastAsiaTheme="minorHAnsi" w:hAnsiTheme="minorHAnsi" w:cs="David" w:hint="cs"/>
          <w:color w:val="auto"/>
          <w:spacing w:val="0"/>
          <w:sz w:val="26"/>
          <w:szCs w:val="26"/>
          <w:rtl/>
          <w:lang w:eastAsia="en-US"/>
        </w:rPr>
        <w:t>ם המפורטים בפסקה כ"ב המוצעת</w:t>
      </w:r>
      <w:r w:rsidRPr="002E5F06">
        <w:rPr>
          <w:rFonts w:asciiTheme="minorHAnsi" w:eastAsiaTheme="minorHAnsi" w:hAnsiTheme="minorHAnsi" w:cs="David" w:hint="cs"/>
          <w:color w:val="auto"/>
          <w:spacing w:val="0"/>
          <w:sz w:val="26"/>
          <w:szCs w:val="26"/>
          <w:rtl/>
          <w:lang w:eastAsia="en-US"/>
        </w:rPr>
        <w:t xml:space="preserve">, יהיו </w:t>
      </w:r>
      <w:r w:rsidR="00EA4DE2" w:rsidRPr="002E5F06">
        <w:rPr>
          <w:rFonts w:asciiTheme="minorHAnsi" w:eastAsiaTheme="minorHAnsi" w:hAnsiTheme="minorHAnsi" w:cs="David" w:hint="cs"/>
          <w:color w:val="auto"/>
          <w:spacing w:val="0"/>
          <w:sz w:val="26"/>
          <w:szCs w:val="26"/>
          <w:rtl/>
          <w:lang w:eastAsia="en-US"/>
        </w:rPr>
        <w:t>טעונ</w:t>
      </w:r>
      <w:r w:rsidR="00717C59" w:rsidRPr="002E5F06">
        <w:rPr>
          <w:rFonts w:asciiTheme="minorHAnsi" w:eastAsiaTheme="minorHAnsi" w:hAnsiTheme="minorHAnsi" w:cs="David" w:hint="cs"/>
          <w:color w:val="auto"/>
          <w:spacing w:val="0"/>
          <w:sz w:val="26"/>
          <w:szCs w:val="26"/>
          <w:rtl/>
          <w:lang w:eastAsia="en-US"/>
        </w:rPr>
        <w:t xml:space="preserve">ים </w:t>
      </w:r>
      <w:r w:rsidRPr="002E5F06">
        <w:rPr>
          <w:rFonts w:asciiTheme="minorHAnsi" w:eastAsiaTheme="minorHAnsi" w:hAnsiTheme="minorHAnsi" w:cs="David" w:hint="cs"/>
          <w:color w:val="auto"/>
          <w:spacing w:val="0"/>
          <w:sz w:val="26"/>
          <w:szCs w:val="26"/>
          <w:rtl/>
          <w:lang w:eastAsia="en-US"/>
        </w:rPr>
        <w:t xml:space="preserve">אישור התאמה. </w:t>
      </w:r>
      <w:r w:rsidR="00EA4DE2" w:rsidRPr="002E5F06">
        <w:rPr>
          <w:rFonts w:asciiTheme="minorHAnsi" w:eastAsiaTheme="minorHAnsi" w:hAnsiTheme="minorHAnsi" w:cs="David" w:hint="cs"/>
          <w:color w:val="auto"/>
          <w:spacing w:val="0"/>
          <w:sz w:val="26"/>
          <w:szCs w:val="26"/>
          <w:rtl/>
          <w:lang w:eastAsia="en-US"/>
        </w:rPr>
        <w:t>המשמעות היא ש</w:t>
      </w:r>
      <w:r w:rsidRPr="002E5F06">
        <w:rPr>
          <w:rFonts w:asciiTheme="minorHAnsi" w:eastAsiaTheme="minorHAnsi" w:hAnsiTheme="minorHAnsi" w:cs="David" w:hint="cs"/>
          <w:color w:val="auto"/>
          <w:spacing w:val="0"/>
          <w:sz w:val="26"/>
          <w:szCs w:val="26"/>
          <w:rtl/>
          <w:lang w:eastAsia="en-US"/>
        </w:rPr>
        <w:t>מי שמפעיל עורקי נל"ן לא י</w:t>
      </w:r>
      <w:r w:rsidR="001839FA" w:rsidRPr="002E5F06">
        <w:rPr>
          <w:rFonts w:asciiTheme="minorHAnsi" w:eastAsiaTheme="minorHAnsi" w:hAnsiTheme="minorHAnsi" w:cs="David" w:hint="cs"/>
          <w:color w:val="auto"/>
          <w:spacing w:val="0"/>
          <w:sz w:val="26"/>
          <w:szCs w:val="26"/>
          <w:rtl/>
          <w:lang w:eastAsia="en-US"/>
        </w:rPr>
        <w:t>י</w:t>
      </w:r>
      <w:r w:rsidRPr="002E5F06">
        <w:rPr>
          <w:rFonts w:asciiTheme="minorHAnsi" w:eastAsiaTheme="minorHAnsi" w:hAnsiTheme="minorHAnsi" w:cs="David" w:hint="cs"/>
          <w:color w:val="auto"/>
          <w:spacing w:val="0"/>
          <w:sz w:val="26"/>
          <w:szCs w:val="26"/>
          <w:rtl/>
          <w:lang w:eastAsia="en-US"/>
        </w:rPr>
        <w:t xml:space="preserve">דרש לקבל רישיון מכוח הפקודה, ולא יידרש </w:t>
      </w:r>
      <w:r w:rsidR="00EE4249" w:rsidRPr="002E5F06">
        <w:rPr>
          <w:rFonts w:asciiTheme="minorHAnsi" w:eastAsiaTheme="minorHAnsi" w:hAnsiTheme="minorHAnsi" w:cs="David" w:hint="cs"/>
          <w:color w:val="auto"/>
          <w:spacing w:val="0"/>
          <w:sz w:val="26"/>
          <w:szCs w:val="26"/>
          <w:rtl/>
          <w:lang w:eastAsia="en-US"/>
        </w:rPr>
        <w:t xml:space="preserve">להקצאת תדר אלחוטי או </w:t>
      </w:r>
      <w:r w:rsidR="001839FA" w:rsidRPr="002E5F06">
        <w:rPr>
          <w:rFonts w:asciiTheme="minorHAnsi" w:eastAsiaTheme="minorHAnsi" w:hAnsiTheme="minorHAnsi" w:cs="David" w:hint="cs"/>
          <w:color w:val="auto"/>
          <w:spacing w:val="0"/>
          <w:sz w:val="26"/>
          <w:szCs w:val="26"/>
          <w:rtl/>
          <w:lang w:eastAsia="en-US"/>
        </w:rPr>
        <w:t>ל</w:t>
      </w:r>
      <w:r w:rsidR="00EE4249" w:rsidRPr="002E5F06">
        <w:rPr>
          <w:rFonts w:asciiTheme="minorHAnsi" w:eastAsiaTheme="minorHAnsi" w:hAnsiTheme="minorHAnsi" w:cs="David" w:hint="cs"/>
          <w:color w:val="auto"/>
          <w:spacing w:val="0"/>
          <w:sz w:val="26"/>
          <w:szCs w:val="26"/>
          <w:rtl/>
          <w:lang w:eastAsia="en-US"/>
        </w:rPr>
        <w:t>תשלום</w:t>
      </w:r>
      <w:r w:rsidRPr="002E5F06">
        <w:rPr>
          <w:rFonts w:asciiTheme="minorHAnsi" w:eastAsiaTheme="minorHAnsi" w:hAnsiTheme="minorHAnsi" w:cs="David" w:hint="cs"/>
          <w:color w:val="auto"/>
          <w:spacing w:val="0"/>
          <w:sz w:val="26"/>
          <w:szCs w:val="26"/>
          <w:rtl/>
          <w:lang w:eastAsia="en-US"/>
        </w:rPr>
        <w:t xml:space="preserve"> אגרה בעד השימוש בתדרים האלחוטיים. </w:t>
      </w:r>
    </w:p>
    <w:p w14:paraId="70CEDCA4" w14:textId="5F7949AF" w:rsidR="00020F05" w:rsidRPr="002E5F06" w:rsidRDefault="00020F05" w:rsidP="001839FA">
      <w:pPr>
        <w:autoSpaceDE/>
        <w:autoSpaceDN/>
        <w:adjustRightInd/>
        <w:snapToGrid w:val="0"/>
        <w:spacing w:before="120" w:after="120" w:line="360" w:lineRule="auto"/>
        <w:ind w:left="360" w:firstLine="0"/>
        <w:contextualSpacing/>
        <w:textAlignment w:val="auto"/>
        <w:rPr>
          <w:rFonts w:asciiTheme="minorHAnsi" w:eastAsiaTheme="minorHAnsi" w:hAnsiTheme="minorHAnsi" w:cs="David"/>
          <w:color w:val="auto"/>
          <w:spacing w:val="0"/>
          <w:sz w:val="26"/>
          <w:szCs w:val="26"/>
          <w:rtl/>
          <w:lang w:eastAsia="en-US"/>
        </w:rPr>
      </w:pPr>
      <w:r w:rsidRPr="002E5F06">
        <w:rPr>
          <w:rFonts w:asciiTheme="minorHAnsi" w:eastAsiaTheme="minorHAnsi" w:hAnsiTheme="minorHAnsi" w:cs="David" w:hint="cs"/>
          <w:color w:val="auto"/>
          <w:spacing w:val="0"/>
          <w:sz w:val="26"/>
          <w:szCs w:val="26"/>
          <w:rtl/>
          <w:lang w:eastAsia="en-US"/>
        </w:rPr>
        <w:t>הוראות דומות קבועות בצו העיקרי ביחס למערכות אלחוטיות שפועלות בתחום התדרים האמור בתצורה של נקודה לריבוי נקודות, וכעת מוצע להרחיבן גם למערכות הפועלות בקווים אלחוטיים מנקודה לנקודה</w:t>
      </w:r>
      <w:r w:rsidR="00424A73" w:rsidRPr="002E5F06">
        <w:rPr>
          <w:rFonts w:asciiTheme="minorHAnsi" w:eastAsiaTheme="minorHAnsi" w:hAnsiTheme="minorHAnsi" w:cs="David" w:hint="cs"/>
          <w:color w:val="auto"/>
          <w:spacing w:val="0"/>
          <w:sz w:val="26"/>
          <w:szCs w:val="26"/>
          <w:rtl/>
          <w:lang w:eastAsia="en-US"/>
        </w:rPr>
        <w:t xml:space="preserve">, במגבלות ובתנאים הטכניים המפורטים </w:t>
      </w:r>
      <w:r w:rsidR="008E6BC9" w:rsidRPr="002E5F06">
        <w:rPr>
          <w:rFonts w:asciiTheme="minorHAnsi" w:eastAsiaTheme="minorHAnsi" w:hAnsiTheme="minorHAnsi" w:cs="David" w:hint="cs"/>
          <w:color w:val="auto"/>
          <w:spacing w:val="0"/>
          <w:sz w:val="26"/>
          <w:szCs w:val="26"/>
          <w:rtl/>
          <w:lang w:eastAsia="en-US"/>
        </w:rPr>
        <w:t xml:space="preserve">בסעיף </w:t>
      </w:r>
      <w:r w:rsidR="00424A73" w:rsidRPr="002E5F06">
        <w:rPr>
          <w:rFonts w:asciiTheme="minorHAnsi" w:eastAsiaTheme="minorHAnsi" w:hAnsiTheme="minorHAnsi" w:cs="David" w:hint="cs"/>
          <w:color w:val="auto"/>
          <w:spacing w:val="0"/>
          <w:sz w:val="26"/>
          <w:szCs w:val="26"/>
          <w:rtl/>
          <w:lang w:eastAsia="en-US"/>
        </w:rPr>
        <w:t>המוצע</w:t>
      </w:r>
      <w:r w:rsidR="00EE4249" w:rsidRPr="002E5F06">
        <w:rPr>
          <w:rFonts w:asciiTheme="minorHAnsi" w:eastAsiaTheme="minorHAnsi" w:hAnsiTheme="minorHAnsi" w:cs="David" w:hint="cs"/>
          <w:color w:val="auto"/>
          <w:spacing w:val="0"/>
          <w:sz w:val="26"/>
          <w:szCs w:val="26"/>
          <w:rtl/>
          <w:lang w:eastAsia="en-US"/>
        </w:rPr>
        <w:t xml:space="preserve">, ובכלל כך לעניין הספק שידור, רוחב פס, עמידה בתקן </w:t>
      </w:r>
      <w:r w:rsidR="00EE4249" w:rsidRPr="002E5F06">
        <w:rPr>
          <w:rFonts w:asciiTheme="majorBidi" w:hAnsiTheme="majorBidi"/>
          <w:color w:val="auto"/>
          <w:sz w:val="24"/>
          <w:szCs w:val="24"/>
        </w:rPr>
        <w:t>EN 302 217-2</w:t>
      </w:r>
      <w:r w:rsidR="00EE4249" w:rsidRPr="002E5F06">
        <w:rPr>
          <w:rFonts w:asciiTheme="majorBidi" w:hAnsiTheme="majorBidi" w:hint="cs"/>
          <w:color w:val="auto"/>
          <w:sz w:val="24"/>
          <w:szCs w:val="24"/>
          <w:rtl/>
        </w:rPr>
        <w:t xml:space="preserve">, </w:t>
      </w:r>
      <w:r w:rsidR="00EE4249" w:rsidRPr="002E5F06">
        <w:rPr>
          <w:rFonts w:asciiTheme="minorHAnsi" w:eastAsiaTheme="minorHAnsi" w:hAnsiTheme="minorHAnsi" w:cs="David" w:hint="cs"/>
          <w:color w:val="auto"/>
          <w:spacing w:val="0"/>
          <w:sz w:val="26"/>
          <w:szCs w:val="26"/>
          <w:rtl/>
          <w:lang w:eastAsia="en-US"/>
        </w:rPr>
        <w:t>ופעולה לפי המלצות ה-</w:t>
      </w:r>
      <w:r w:rsidR="00EE4249" w:rsidRPr="002E5F06">
        <w:rPr>
          <w:rFonts w:asciiTheme="minorHAnsi" w:eastAsiaTheme="minorHAnsi" w:hAnsiTheme="minorHAnsi" w:cs="David" w:hint="cs"/>
          <w:color w:val="auto"/>
          <w:spacing w:val="0"/>
          <w:sz w:val="26"/>
          <w:szCs w:val="26"/>
          <w:lang w:eastAsia="en-US"/>
        </w:rPr>
        <w:t>ITU</w:t>
      </w:r>
      <w:r w:rsidR="00EE4249" w:rsidRPr="002E5F06">
        <w:rPr>
          <w:rFonts w:asciiTheme="minorHAnsi" w:eastAsiaTheme="minorHAnsi" w:hAnsiTheme="minorHAnsi" w:cs="David" w:hint="cs"/>
          <w:color w:val="auto"/>
          <w:spacing w:val="0"/>
          <w:sz w:val="26"/>
          <w:szCs w:val="26"/>
          <w:rtl/>
          <w:lang w:eastAsia="en-US"/>
        </w:rPr>
        <w:t xml:space="preserve"> הנוגעות בדבר</w:t>
      </w:r>
      <w:r w:rsidR="001839FA" w:rsidRPr="002E5F06">
        <w:rPr>
          <w:rFonts w:asciiTheme="minorHAnsi" w:eastAsiaTheme="minorHAnsi" w:hAnsiTheme="minorHAnsi" w:cs="David" w:hint="cs"/>
          <w:color w:val="auto"/>
          <w:spacing w:val="0"/>
          <w:sz w:val="26"/>
          <w:szCs w:val="26"/>
          <w:rtl/>
          <w:lang w:eastAsia="en-US"/>
        </w:rPr>
        <w:t>.</w:t>
      </w:r>
    </w:p>
    <w:p w14:paraId="7A20D155" w14:textId="7E2AE88E" w:rsidR="00424EE7" w:rsidRPr="00424EE7" w:rsidRDefault="00F95D4F" w:rsidP="00966FE0">
      <w:pPr>
        <w:autoSpaceDE/>
        <w:autoSpaceDN/>
        <w:adjustRightInd/>
        <w:snapToGrid w:val="0"/>
        <w:spacing w:before="120" w:after="120" w:line="360" w:lineRule="auto"/>
        <w:ind w:left="360" w:firstLine="0"/>
        <w:contextualSpacing/>
        <w:textAlignment w:val="auto"/>
        <w:rPr>
          <w:rFonts w:ascii="Arial" w:eastAsia="Arial Unicode MS" w:hAnsi="Arial" w:cs="David"/>
          <w:b/>
          <w:bCs/>
          <w:sz w:val="18"/>
          <w:szCs w:val="24"/>
          <w:rtl/>
        </w:rPr>
      </w:pPr>
      <w:r w:rsidRPr="002E5F06">
        <w:rPr>
          <w:rFonts w:asciiTheme="minorHAnsi" w:eastAsiaTheme="minorHAnsi" w:hAnsiTheme="minorHAnsi" w:cs="David" w:hint="cs"/>
          <w:color w:val="auto"/>
          <w:spacing w:val="0"/>
          <w:sz w:val="26"/>
          <w:szCs w:val="26"/>
          <w:rtl/>
          <w:lang w:eastAsia="en-US"/>
        </w:rPr>
        <w:t xml:space="preserve">כחלק מיישום </w:t>
      </w:r>
      <w:r w:rsidR="00E84D66" w:rsidRPr="002E5F06">
        <w:rPr>
          <w:rFonts w:asciiTheme="minorHAnsi" w:eastAsiaTheme="minorHAnsi" w:hAnsiTheme="minorHAnsi" w:cs="David" w:hint="cs"/>
          <w:color w:val="auto"/>
          <w:spacing w:val="0"/>
          <w:sz w:val="26"/>
          <w:szCs w:val="26"/>
          <w:rtl/>
          <w:lang w:eastAsia="en-US"/>
        </w:rPr>
        <w:t xml:space="preserve">מדיניות משרד התקשורת המעודדת שימוש בטכנולוגית גלים מילימטריים בתחום התדרים 57 עד 66 גיגה הרץ, המכונה </w:t>
      </w:r>
      <w:r w:rsidR="00E84D66" w:rsidRPr="002E5F06">
        <w:rPr>
          <w:rFonts w:asciiTheme="minorHAnsi" w:eastAsiaTheme="minorHAnsi" w:hAnsiTheme="minorHAnsi" w:cs="David" w:hint="cs"/>
          <w:color w:val="auto"/>
          <w:spacing w:val="0"/>
          <w:sz w:val="26"/>
          <w:szCs w:val="26"/>
          <w:lang w:eastAsia="en-US"/>
        </w:rPr>
        <w:t>VBAND</w:t>
      </w:r>
      <w:r w:rsidR="00E84D66" w:rsidRPr="002E5F06">
        <w:rPr>
          <w:rFonts w:asciiTheme="minorHAnsi" w:eastAsiaTheme="minorHAnsi" w:hAnsiTheme="minorHAnsi" w:cs="David" w:hint="cs"/>
          <w:color w:val="auto"/>
          <w:spacing w:val="0"/>
          <w:sz w:val="26"/>
          <w:szCs w:val="26"/>
          <w:rtl/>
          <w:lang w:eastAsia="en-US"/>
        </w:rPr>
        <w:t xml:space="preserve">, מוצע לתקן </w:t>
      </w:r>
      <w:r w:rsidR="001839FA" w:rsidRPr="002E5F06">
        <w:rPr>
          <w:rFonts w:asciiTheme="minorHAnsi" w:eastAsiaTheme="minorHAnsi" w:hAnsiTheme="minorHAnsi" w:cs="David" w:hint="cs"/>
          <w:color w:val="auto"/>
          <w:spacing w:val="0"/>
          <w:sz w:val="26"/>
          <w:szCs w:val="26"/>
          <w:rtl/>
          <w:lang w:eastAsia="en-US"/>
        </w:rPr>
        <w:t>במהלך משלים</w:t>
      </w:r>
      <w:r w:rsidR="001839FA" w:rsidRPr="002E5F06">
        <w:rPr>
          <w:rStyle w:val="a7"/>
          <w:rFonts w:asciiTheme="minorHAnsi" w:eastAsiaTheme="minorHAnsi" w:hAnsiTheme="minorHAnsi" w:cs="David"/>
          <w:color w:val="auto"/>
          <w:spacing w:val="0"/>
          <w:sz w:val="26"/>
          <w:szCs w:val="26"/>
          <w:rtl/>
          <w:lang w:eastAsia="en-US"/>
        </w:rPr>
        <w:footnoteReference w:id="4"/>
      </w:r>
      <w:r w:rsidR="001839FA" w:rsidRPr="002E5F06">
        <w:rPr>
          <w:rFonts w:asciiTheme="minorHAnsi" w:eastAsiaTheme="minorHAnsi" w:hAnsiTheme="minorHAnsi" w:cs="David" w:hint="cs"/>
          <w:color w:val="auto"/>
          <w:spacing w:val="0"/>
          <w:sz w:val="26"/>
          <w:szCs w:val="26"/>
          <w:rtl/>
          <w:lang w:eastAsia="en-US"/>
        </w:rPr>
        <w:t xml:space="preserve"> </w:t>
      </w:r>
      <w:r w:rsidR="00020F05" w:rsidRPr="002E5F06">
        <w:rPr>
          <w:rFonts w:asciiTheme="minorHAnsi" w:eastAsiaTheme="minorHAnsi" w:hAnsiTheme="minorHAnsi" w:cs="David" w:hint="cs"/>
          <w:color w:val="auto"/>
          <w:spacing w:val="0"/>
          <w:sz w:val="26"/>
          <w:szCs w:val="26"/>
          <w:rtl/>
          <w:lang w:eastAsia="en-US"/>
        </w:rPr>
        <w:t xml:space="preserve">גם </w:t>
      </w:r>
      <w:r w:rsidR="00E84D66" w:rsidRPr="002E5F06">
        <w:rPr>
          <w:rFonts w:asciiTheme="minorHAnsi" w:eastAsiaTheme="minorHAnsi" w:hAnsiTheme="minorHAnsi" w:cs="David" w:hint="cs"/>
          <w:color w:val="auto"/>
          <w:spacing w:val="0"/>
          <w:sz w:val="26"/>
          <w:szCs w:val="26"/>
          <w:rtl/>
          <w:lang w:eastAsia="en-US"/>
        </w:rPr>
        <w:t xml:space="preserve">את </w:t>
      </w:r>
      <w:r w:rsidRPr="002E5F06">
        <w:rPr>
          <w:rFonts w:asciiTheme="minorHAnsi" w:eastAsiaTheme="minorHAnsi" w:hAnsiTheme="minorHAnsi" w:cs="David"/>
          <w:color w:val="auto"/>
          <w:spacing w:val="0"/>
          <w:sz w:val="26"/>
          <w:szCs w:val="26"/>
          <w:rtl/>
          <w:lang w:eastAsia="en-US"/>
        </w:rPr>
        <w:t>תקנות הטלגרף האלחוטי (ר</w:t>
      </w:r>
      <w:r w:rsidR="001839FA" w:rsidRPr="002E5F06">
        <w:rPr>
          <w:rFonts w:asciiTheme="minorHAnsi" w:eastAsiaTheme="minorHAnsi" w:hAnsiTheme="minorHAnsi" w:cs="David" w:hint="cs"/>
          <w:color w:val="auto"/>
          <w:spacing w:val="0"/>
          <w:sz w:val="26"/>
          <w:szCs w:val="26"/>
          <w:rtl/>
          <w:lang w:eastAsia="en-US"/>
        </w:rPr>
        <w:t>י</w:t>
      </w:r>
      <w:r w:rsidRPr="002E5F06">
        <w:rPr>
          <w:rFonts w:asciiTheme="minorHAnsi" w:eastAsiaTheme="minorHAnsi" w:hAnsiTheme="minorHAnsi" w:cs="David"/>
          <w:color w:val="auto"/>
          <w:spacing w:val="0"/>
          <w:sz w:val="26"/>
          <w:szCs w:val="26"/>
          <w:rtl/>
          <w:lang w:eastAsia="en-US"/>
        </w:rPr>
        <w:t xml:space="preserve">שיונות, תעודות ואגרות), </w:t>
      </w:r>
      <w:r w:rsidRPr="002E5F06">
        <w:rPr>
          <w:rFonts w:asciiTheme="minorHAnsi" w:eastAsiaTheme="minorHAnsi" w:hAnsiTheme="minorHAnsi" w:cs="David" w:hint="cs"/>
          <w:color w:val="auto"/>
          <w:spacing w:val="0"/>
          <w:sz w:val="26"/>
          <w:szCs w:val="26"/>
          <w:rtl/>
          <w:lang w:eastAsia="en-US"/>
        </w:rPr>
        <w:t>ה</w:t>
      </w:r>
      <w:r w:rsidRPr="002E5F06">
        <w:rPr>
          <w:rFonts w:asciiTheme="minorHAnsi" w:eastAsiaTheme="minorHAnsi" w:hAnsiTheme="minorHAnsi" w:cs="David"/>
          <w:color w:val="auto"/>
          <w:spacing w:val="0"/>
          <w:sz w:val="26"/>
          <w:szCs w:val="26"/>
          <w:rtl/>
          <w:lang w:eastAsia="en-US"/>
        </w:rPr>
        <w:t>תשמ"ז-1987</w:t>
      </w:r>
      <w:r w:rsidRPr="002E5F06">
        <w:rPr>
          <w:rFonts w:asciiTheme="minorHAnsi" w:eastAsiaTheme="minorHAnsi" w:hAnsiTheme="minorHAnsi" w:cs="David" w:hint="cs"/>
          <w:color w:val="auto"/>
          <w:spacing w:val="0"/>
          <w:sz w:val="26"/>
          <w:szCs w:val="26"/>
          <w:rtl/>
          <w:lang w:eastAsia="en-US"/>
        </w:rPr>
        <w:t xml:space="preserve"> </w:t>
      </w:r>
      <w:r w:rsidR="00E84D66" w:rsidRPr="002E5F06">
        <w:rPr>
          <w:rFonts w:asciiTheme="minorHAnsi" w:eastAsiaTheme="minorHAnsi" w:hAnsiTheme="minorHAnsi" w:cs="David" w:hint="cs"/>
          <w:color w:val="auto"/>
          <w:spacing w:val="0"/>
          <w:sz w:val="26"/>
          <w:szCs w:val="26"/>
          <w:rtl/>
          <w:lang w:eastAsia="en-US"/>
        </w:rPr>
        <w:t xml:space="preserve">ולמחוק </w:t>
      </w:r>
      <w:r w:rsidR="001839FA" w:rsidRPr="002E5F06">
        <w:rPr>
          <w:rFonts w:asciiTheme="minorHAnsi" w:eastAsiaTheme="minorHAnsi" w:hAnsiTheme="minorHAnsi" w:cs="David" w:hint="cs"/>
          <w:color w:val="auto"/>
          <w:spacing w:val="0"/>
          <w:sz w:val="26"/>
          <w:szCs w:val="26"/>
          <w:rtl/>
          <w:lang w:eastAsia="en-US"/>
        </w:rPr>
        <w:t xml:space="preserve">גם </w:t>
      </w:r>
      <w:r w:rsidR="00E84D66" w:rsidRPr="002E5F06">
        <w:rPr>
          <w:rFonts w:asciiTheme="minorHAnsi" w:eastAsiaTheme="minorHAnsi" w:hAnsiTheme="minorHAnsi" w:cs="David" w:hint="cs"/>
          <w:color w:val="auto"/>
          <w:spacing w:val="0"/>
          <w:sz w:val="26"/>
          <w:szCs w:val="26"/>
          <w:rtl/>
          <w:lang w:eastAsia="en-US"/>
        </w:rPr>
        <w:t>את ההוראות לעניין תחום התדרים האמור המפורטות בתוספת לתקנות האמורות</w:t>
      </w:r>
      <w:r w:rsidR="001839FA" w:rsidRPr="002E5F06">
        <w:rPr>
          <w:rFonts w:asciiTheme="minorHAnsi" w:eastAsiaTheme="minorHAnsi" w:hAnsiTheme="minorHAnsi" w:cs="David" w:hint="cs"/>
          <w:color w:val="auto"/>
          <w:spacing w:val="0"/>
          <w:sz w:val="26"/>
          <w:szCs w:val="26"/>
          <w:rtl/>
          <w:lang w:eastAsia="en-US"/>
        </w:rPr>
        <w:t>, ובכלל כך האגרה ה</w:t>
      </w:r>
      <w:r w:rsidR="00966FE0" w:rsidRPr="002E5F06">
        <w:rPr>
          <w:rFonts w:asciiTheme="minorHAnsi" w:eastAsiaTheme="minorHAnsi" w:hAnsiTheme="minorHAnsi" w:cs="David" w:hint="cs"/>
          <w:color w:val="auto"/>
          <w:spacing w:val="0"/>
          <w:sz w:val="26"/>
          <w:szCs w:val="26"/>
          <w:rtl/>
          <w:lang w:eastAsia="en-US"/>
        </w:rPr>
        <w:t>קבועה</w:t>
      </w:r>
      <w:r w:rsidR="001839FA" w:rsidRPr="002E5F06">
        <w:rPr>
          <w:rFonts w:asciiTheme="minorHAnsi" w:eastAsiaTheme="minorHAnsi" w:hAnsiTheme="minorHAnsi" w:cs="David" w:hint="cs"/>
          <w:color w:val="auto"/>
          <w:spacing w:val="0"/>
          <w:sz w:val="26"/>
          <w:szCs w:val="26"/>
          <w:rtl/>
          <w:lang w:eastAsia="en-US"/>
        </w:rPr>
        <w:t xml:space="preserve"> בעד הרישיון והקצאת התדר</w:t>
      </w:r>
      <w:r w:rsidR="00E84D66" w:rsidRPr="002E5F06">
        <w:rPr>
          <w:rFonts w:asciiTheme="minorHAnsi" w:eastAsiaTheme="minorHAnsi" w:hAnsiTheme="minorHAnsi" w:cs="David" w:hint="cs"/>
          <w:color w:val="auto"/>
          <w:spacing w:val="0"/>
          <w:sz w:val="26"/>
          <w:szCs w:val="26"/>
          <w:rtl/>
          <w:lang w:eastAsia="en-US"/>
        </w:rPr>
        <w:t>.</w:t>
      </w:r>
    </w:p>
    <w:sectPr w:rsidR="00424EE7" w:rsidRPr="00424EE7" w:rsidSect="000E1772">
      <w:footerReference w:type="default" r:id="rId8"/>
      <w:pgSz w:w="11906" w:h="16838"/>
      <w:pgMar w:top="851"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E73C2" w14:textId="77777777" w:rsidR="0067496A" w:rsidRDefault="0067496A" w:rsidP="004E219C">
      <w:pPr>
        <w:spacing w:before="0" w:line="240" w:lineRule="auto"/>
      </w:pPr>
      <w:r>
        <w:separator/>
      </w:r>
    </w:p>
  </w:endnote>
  <w:endnote w:type="continuationSeparator" w:id="0">
    <w:p w14:paraId="33ED65BE" w14:textId="77777777" w:rsidR="0067496A" w:rsidRDefault="0067496A" w:rsidP="004E219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roman"/>
    <w:notTrueType/>
    <w:pitch w:val="fixed"/>
    <w:sig w:usb0="00000001" w:usb1="08070000" w:usb2="00000010" w:usb3="00000000" w:csb0="00020000" w:csb1="00000000"/>
  </w:font>
  <w:font w:name="David">
    <w:altName w:val="Malgun Gothic Semilight"/>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93266691"/>
      <w:docPartObj>
        <w:docPartGallery w:val="Page Numbers (Bottom of Page)"/>
        <w:docPartUnique/>
      </w:docPartObj>
    </w:sdtPr>
    <w:sdtEndPr/>
    <w:sdtContent>
      <w:p w14:paraId="6A751E85" w14:textId="77777777" w:rsidR="00260AAB" w:rsidRDefault="000853F2">
        <w:pPr>
          <w:pStyle w:val="ab"/>
          <w:jc w:val="center"/>
          <w:rPr>
            <w:rtl/>
            <w:cs/>
          </w:rPr>
        </w:pPr>
        <w:r w:rsidRPr="000853F2">
          <w:rPr>
            <w:noProof/>
            <w:rtl/>
            <w:lang w:val="he-IL"/>
          </w:rPr>
          <w:t>2</w:t>
        </w:r>
      </w:p>
    </w:sdtContent>
  </w:sdt>
  <w:p w14:paraId="2A20D605" w14:textId="77777777" w:rsidR="00260AAB" w:rsidRDefault="00260AA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273A5" w14:textId="77777777" w:rsidR="0067496A" w:rsidRDefault="0067496A" w:rsidP="004E219C">
      <w:pPr>
        <w:spacing w:before="0" w:line="240" w:lineRule="auto"/>
      </w:pPr>
      <w:r>
        <w:separator/>
      </w:r>
    </w:p>
  </w:footnote>
  <w:footnote w:type="continuationSeparator" w:id="0">
    <w:p w14:paraId="5D2930B0" w14:textId="77777777" w:rsidR="0067496A" w:rsidRDefault="0067496A" w:rsidP="004E219C">
      <w:pPr>
        <w:spacing w:before="0" w:line="240" w:lineRule="auto"/>
      </w:pPr>
      <w:r>
        <w:continuationSeparator/>
      </w:r>
    </w:p>
  </w:footnote>
  <w:footnote w:id="1">
    <w:p w14:paraId="5943DAE7" w14:textId="5CAD8C1C" w:rsidR="0052277E" w:rsidRPr="00BB7017" w:rsidRDefault="0052277E" w:rsidP="0052277E">
      <w:pPr>
        <w:pStyle w:val="a5"/>
      </w:pPr>
      <w:r w:rsidRPr="00BB7017">
        <w:rPr>
          <w:rStyle w:val="a7"/>
        </w:rPr>
        <w:footnoteRef/>
      </w:r>
      <w:r w:rsidRPr="00BB7017">
        <w:rPr>
          <w:rtl/>
        </w:rPr>
        <w:t xml:space="preserve"> </w:t>
      </w:r>
      <w:r>
        <w:t xml:space="preserve"> - </w:t>
      </w:r>
      <w:r>
        <w:rPr>
          <w:rFonts w:hint="cs"/>
          <w:rtl/>
        </w:rPr>
        <w:t xml:space="preserve"> </w:t>
      </w:r>
      <w:proofErr w:type="spellStart"/>
      <w:r w:rsidRPr="0052277E">
        <w:rPr>
          <w:rFonts w:hint="cs"/>
          <w:sz w:val="16"/>
          <w:szCs w:val="16"/>
          <w:rtl/>
        </w:rPr>
        <w:t>גיגהביט</w:t>
      </w:r>
      <w:proofErr w:type="spellEnd"/>
      <w:r w:rsidRPr="0052277E">
        <w:rPr>
          <w:rFonts w:hint="cs"/>
          <w:sz w:val="16"/>
          <w:szCs w:val="16"/>
          <w:rtl/>
        </w:rPr>
        <w:t xml:space="preserve"> לשנייה</w:t>
      </w:r>
      <w:r>
        <w:rPr>
          <w:rFonts w:hint="cs"/>
          <w:rtl/>
        </w:rPr>
        <w:t xml:space="preserve"> </w:t>
      </w:r>
      <w:r w:rsidRPr="00BB7017">
        <w:t>Giga</w:t>
      </w:r>
      <w:r>
        <w:t>bit p</w:t>
      </w:r>
      <w:r w:rsidRPr="00BB7017">
        <w:t xml:space="preserve">er </w:t>
      </w:r>
      <w:r>
        <w:t>s</w:t>
      </w:r>
      <w:r w:rsidRPr="00BB7017">
        <w:t>econd (10</w:t>
      </w:r>
      <w:r w:rsidRPr="00BB7017">
        <w:rPr>
          <w:vertAlign w:val="superscript"/>
        </w:rPr>
        <w:t>9</w:t>
      </w:r>
      <w:r w:rsidRPr="00BB7017">
        <w:t>)</w:t>
      </w:r>
    </w:p>
  </w:footnote>
  <w:footnote w:id="2">
    <w:p w14:paraId="766E8E40" w14:textId="77777777" w:rsidR="00CF5358" w:rsidRPr="002E5F06" w:rsidRDefault="00CF5358" w:rsidP="0052277E">
      <w:pPr>
        <w:pStyle w:val="a5"/>
        <w:rPr>
          <w:rtl/>
        </w:rPr>
      </w:pPr>
      <w:r w:rsidRPr="002E5F06">
        <w:rPr>
          <w:rStyle w:val="a7"/>
        </w:rPr>
        <w:footnoteRef/>
      </w:r>
      <w:r w:rsidRPr="002E5F06">
        <w:rPr>
          <w:rtl/>
        </w:rPr>
        <w:t xml:space="preserve"> דיני מדינת ישראל, נוסח חדש 25, עמ' 505; ס"ח </w:t>
      </w:r>
      <w:proofErr w:type="spellStart"/>
      <w:r w:rsidRPr="002E5F06">
        <w:rPr>
          <w:rFonts w:hint="cs"/>
          <w:rtl/>
        </w:rPr>
        <w:t>התשע"ח</w:t>
      </w:r>
      <w:proofErr w:type="spellEnd"/>
      <w:r w:rsidRPr="002E5F06">
        <w:rPr>
          <w:rFonts w:hint="cs"/>
          <w:rtl/>
        </w:rPr>
        <w:t>, עמ' 459.</w:t>
      </w:r>
    </w:p>
  </w:footnote>
  <w:footnote w:id="3">
    <w:p w14:paraId="0A5425AA" w14:textId="77777777" w:rsidR="00C746B1" w:rsidRPr="002E5F06" w:rsidRDefault="00C746B1" w:rsidP="0052277E">
      <w:pPr>
        <w:pStyle w:val="a5"/>
      </w:pPr>
      <w:r w:rsidRPr="002E5F06">
        <w:rPr>
          <w:rStyle w:val="a7"/>
        </w:rPr>
        <w:footnoteRef/>
      </w:r>
      <w:r w:rsidRPr="002E5F06">
        <w:rPr>
          <w:rtl/>
        </w:rPr>
        <w:t xml:space="preserve"> </w:t>
      </w:r>
      <w:proofErr w:type="spellStart"/>
      <w:r w:rsidRPr="002E5F06">
        <w:rPr>
          <w:rFonts w:hint="cs"/>
          <w:rtl/>
        </w:rPr>
        <w:t>ק"ת</w:t>
      </w:r>
      <w:proofErr w:type="spellEnd"/>
      <w:r w:rsidRPr="002E5F06">
        <w:rPr>
          <w:rFonts w:hint="cs"/>
          <w:rtl/>
        </w:rPr>
        <w:t xml:space="preserve"> </w:t>
      </w:r>
      <w:proofErr w:type="spellStart"/>
      <w:r w:rsidRPr="002E5F06">
        <w:rPr>
          <w:rFonts w:hint="cs"/>
          <w:rtl/>
        </w:rPr>
        <w:t>התשמ"ב</w:t>
      </w:r>
      <w:proofErr w:type="spellEnd"/>
      <w:r w:rsidRPr="002E5F06">
        <w:rPr>
          <w:rFonts w:hint="cs"/>
          <w:rtl/>
        </w:rPr>
        <w:t xml:space="preserve">, עמ' 525; </w:t>
      </w:r>
      <w:proofErr w:type="spellStart"/>
      <w:r w:rsidRPr="002E5F06">
        <w:rPr>
          <w:rFonts w:hint="cs"/>
          <w:rtl/>
        </w:rPr>
        <w:t>התש</w:t>
      </w:r>
      <w:r w:rsidR="00A238E1" w:rsidRPr="002E5F06">
        <w:rPr>
          <w:rFonts w:hint="cs"/>
          <w:rtl/>
        </w:rPr>
        <w:t>"ף</w:t>
      </w:r>
      <w:proofErr w:type="spellEnd"/>
      <w:r w:rsidRPr="002E5F06">
        <w:rPr>
          <w:rFonts w:hint="cs"/>
          <w:rtl/>
        </w:rPr>
        <w:t xml:space="preserve">, עמ' </w:t>
      </w:r>
      <w:r w:rsidR="00A238E1" w:rsidRPr="002E5F06">
        <w:rPr>
          <w:rFonts w:hint="cs"/>
          <w:rtl/>
        </w:rPr>
        <w:t>1042</w:t>
      </w:r>
      <w:r w:rsidRPr="002E5F06">
        <w:rPr>
          <w:rFonts w:hint="cs"/>
          <w:rtl/>
        </w:rPr>
        <w:t>.</w:t>
      </w:r>
    </w:p>
  </w:footnote>
  <w:footnote w:id="4">
    <w:p w14:paraId="1D842AF7" w14:textId="24F577C4" w:rsidR="001839FA" w:rsidRDefault="001839FA" w:rsidP="0052277E">
      <w:pPr>
        <w:pStyle w:val="a5"/>
        <w:rPr>
          <w:rtl/>
        </w:rPr>
      </w:pPr>
      <w:r w:rsidRPr="002E5F06">
        <w:rPr>
          <w:rStyle w:val="a7"/>
        </w:rPr>
        <w:footnoteRef/>
      </w:r>
      <w:r w:rsidRPr="002E5F06">
        <w:rPr>
          <w:rtl/>
        </w:rPr>
        <w:t xml:space="preserve"> </w:t>
      </w:r>
      <w:r w:rsidRPr="002E5F06">
        <w:rPr>
          <w:rFonts w:hint="cs"/>
          <w:rtl/>
        </w:rPr>
        <w:t>טיוטת תקנות הטלגרף האלחוטי (רישיונות, תעודות ואגרות</w:t>
      </w:r>
      <w:r w:rsidR="00966FE0" w:rsidRPr="002E5F06">
        <w:rPr>
          <w:rFonts w:hint="cs"/>
          <w:rtl/>
        </w:rPr>
        <w:t>)(תיקון)</w:t>
      </w:r>
      <w:r w:rsidRPr="002E5F06">
        <w:rPr>
          <w:rFonts w:hint="cs"/>
          <w:rtl/>
        </w:rPr>
        <w:t>, התש"ף-2020 אשר מתפרסמת כתזכיר באתר החקיקה הממשלתי לצד טיוטת צו זה.</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679D0"/>
    <w:multiLevelType w:val="hybridMultilevel"/>
    <w:tmpl w:val="6E5C558C"/>
    <w:lvl w:ilvl="0" w:tplc="C9E29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406B8"/>
    <w:multiLevelType w:val="hybridMultilevel"/>
    <w:tmpl w:val="6E5C558C"/>
    <w:lvl w:ilvl="0" w:tplc="C9E29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82097"/>
    <w:multiLevelType w:val="hybridMultilevel"/>
    <w:tmpl w:val="3EFA74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D70823"/>
    <w:multiLevelType w:val="hybridMultilevel"/>
    <w:tmpl w:val="2FC4D3D2"/>
    <w:lvl w:ilvl="0" w:tplc="F95A8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A4BEB"/>
    <w:multiLevelType w:val="hybridMultilevel"/>
    <w:tmpl w:val="0CE0515A"/>
    <w:lvl w:ilvl="0" w:tplc="5CA244FE">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460A9"/>
    <w:multiLevelType w:val="hybridMultilevel"/>
    <w:tmpl w:val="0CE0515A"/>
    <w:lvl w:ilvl="0" w:tplc="5CA244FE">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125B0"/>
    <w:multiLevelType w:val="hybridMultilevel"/>
    <w:tmpl w:val="8CFC298A"/>
    <w:lvl w:ilvl="0" w:tplc="C9E29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C6AED"/>
    <w:multiLevelType w:val="hybridMultilevel"/>
    <w:tmpl w:val="8CFC298A"/>
    <w:lvl w:ilvl="0" w:tplc="C9E29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22F69"/>
    <w:multiLevelType w:val="hybridMultilevel"/>
    <w:tmpl w:val="6E5C558C"/>
    <w:lvl w:ilvl="0" w:tplc="C9E29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36D12"/>
    <w:multiLevelType w:val="hybridMultilevel"/>
    <w:tmpl w:val="5CE646EE"/>
    <w:lvl w:ilvl="0" w:tplc="4612A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436908"/>
    <w:multiLevelType w:val="hybridMultilevel"/>
    <w:tmpl w:val="6E5C558C"/>
    <w:lvl w:ilvl="0" w:tplc="C9E29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A7CE9"/>
    <w:multiLevelType w:val="hybridMultilevel"/>
    <w:tmpl w:val="6E5C558C"/>
    <w:lvl w:ilvl="0" w:tplc="C9E29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37AD0"/>
    <w:multiLevelType w:val="hybridMultilevel"/>
    <w:tmpl w:val="8238282E"/>
    <w:lvl w:ilvl="0" w:tplc="D3D4E8B2">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046E9"/>
    <w:multiLevelType w:val="hybridMultilevel"/>
    <w:tmpl w:val="6E5C558C"/>
    <w:lvl w:ilvl="0" w:tplc="C9E29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794E84"/>
    <w:multiLevelType w:val="hybridMultilevel"/>
    <w:tmpl w:val="2800D72E"/>
    <w:lvl w:ilvl="0" w:tplc="A9164CB8">
      <w:start w:val="1"/>
      <w:numFmt w:val="hebrew1"/>
      <w:lvlText w:val="%1."/>
      <w:lvlJc w:val="left"/>
      <w:pPr>
        <w:ind w:left="700" w:hanging="360"/>
      </w:pPr>
      <w:rPr>
        <w:rFonts w:hint="default"/>
        <w:b w:val="0"/>
        <w:bCs w:val="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4641612E"/>
    <w:multiLevelType w:val="hybridMultilevel"/>
    <w:tmpl w:val="6E5C558C"/>
    <w:lvl w:ilvl="0" w:tplc="C9E29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63DD4"/>
    <w:multiLevelType w:val="hybridMultilevel"/>
    <w:tmpl w:val="2FC4D3D2"/>
    <w:lvl w:ilvl="0" w:tplc="F95A8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B78DE"/>
    <w:multiLevelType w:val="hybridMultilevel"/>
    <w:tmpl w:val="D736E4C2"/>
    <w:lvl w:ilvl="0" w:tplc="CA7A2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24046"/>
    <w:multiLevelType w:val="hybridMultilevel"/>
    <w:tmpl w:val="2FC4D3D2"/>
    <w:lvl w:ilvl="0" w:tplc="F95A8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E97E68"/>
    <w:multiLevelType w:val="hybridMultilevel"/>
    <w:tmpl w:val="F62A6AD6"/>
    <w:lvl w:ilvl="0" w:tplc="0F3A6C04">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453756"/>
    <w:multiLevelType w:val="hybridMultilevel"/>
    <w:tmpl w:val="6E5C558C"/>
    <w:lvl w:ilvl="0" w:tplc="C9E29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C2FCE"/>
    <w:multiLevelType w:val="hybridMultilevel"/>
    <w:tmpl w:val="2FC4D3D2"/>
    <w:lvl w:ilvl="0" w:tplc="F95A8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360CB9"/>
    <w:multiLevelType w:val="hybridMultilevel"/>
    <w:tmpl w:val="6E5C558C"/>
    <w:lvl w:ilvl="0" w:tplc="C9E29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2A594C"/>
    <w:multiLevelType w:val="hybridMultilevel"/>
    <w:tmpl w:val="1F00AE90"/>
    <w:lvl w:ilvl="0" w:tplc="D3D4E8B2">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FF62D9"/>
    <w:multiLevelType w:val="hybridMultilevel"/>
    <w:tmpl w:val="6E5C558C"/>
    <w:lvl w:ilvl="0" w:tplc="C9E29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D421BD"/>
    <w:multiLevelType w:val="hybridMultilevel"/>
    <w:tmpl w:val="6E5C558C"/>
    <w:lvl w:ilvl="0" w:tplc="C9E29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A1182B"/>
    <w:multiLevelType w:val="hybridMultilevel"/>
    <w:tmpl w:val="FD46144C"/>
    <w:lvl w:ilvl="0" w:tplc="F95A8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F6115D"/>
    <w:multiLevelType w:val="hybridMultilevel"/>
    <w:tmpl w:val="1F00AE90"/>
    <w:lvl w:ilvl="0" w:tplc="D3D4E8B2">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A7A6C46"/>
    <w:multiLevelType w:val="hybridMultilevel"/>
    <w:tmpl w:val="3250AF54"/>
    <w:lvl w:ilvl="0" w:tplc="C248D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964250"/>
    <w:multiLevelType w:val="hybridMultilevel"/>
    <w:tmpl w:val="6E5C558C"/>
    <w:lvl w:ilvl="0" w:tplc="C9E29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F879EE"/>
    <w:multiLevelType w:val="hybridMultilevel"/>
    <w:tmpl w:val="3EFA74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23"/>
  </w:num>
  <w:num w:numId="3">
    <w:abstractNumId w:val="25"/>
  </w:num>
  <w:num w:numId="4">
    <w:abstractNumId w:val="18"/>
  </w:num>
  <w:num w:numId="5">
    <w:abstractNumId w:val="21"/>
  </w:num>
  <w:num w:numId="6">
    <w:abstractNumId w:val="26"/>
  </w:num>
  <w:num w:numId="7">
    <w:abstractNumId w:val="3"/>
  </w:num>
  <w:num w:numId="8">
    <w:abstractNumId w:val="7"/>
  </w:num>
  <w:num w:numId="9">
    <w:abstractNumId w:val="8"/>
  </w:num>
  <w:num w:numId="10">
    <w:abstractNumId w:val="15"/>
  </w:num>
  <w:num w:numId="11">
    <w:abstractNumId w:val="5"/>
  </w:num>
  <w:num w:numId="12">
    <w:abstractNumId w:val="4"/>
  </w:num>
  <w:num w:numId="13">
    <w:abstractNumId w:val="29"/>
  </w:num>
  <w:num w:numId="14">
    <w:abstractNumId w:val="17"/>
  </w:num>
  <w:num w:numId="15">
    <w:abstractNumId w:val="19"/>
  </w:num>
  <w:num w:numId="16">
    <w:abstractNumId w:val="27"/>
  </w:num>
  <w:num w:numId="17">
    <w:abstractNumId w:val="6"/>
  </w:num>
  <w:num w:numId="18">
    <w:abstractNumId w:val="12"/>
  </w:num>
  <w:num w:numId="19">
    <w:abstractNumId w:val="0"/>
  </w:num>
  <w:num w:numId="20">
    <w:abstractNumId w:val="13"/>
  </w:num>
  <w:num w:numId="21">
    <w:abstractNumId w:val="11"/>
  </w:num>
  <w:num w:numId="22">
    <w:abstractNumId w:val="20"/>
  </w:num>
  <w:num w:numId="23">
    <w:abstractNumId w:val="22"/>
  </w:num>
  <w:num w:numId="24">
    <w:abstractNumId w:val="16"/>
  </w:num>
  <w:num w:numId="25">
    <w:abstractNumId w:val="1"/>
  </w:num>
  <w:num w:numId="26">
    <w:abstractNumId w:val="30"/>
  </w:num>
  <w:num w:numId="27">
    <w:abstractNumId w:val="10"/>
  </w:num>
  <w:num w:numId="28">
    <w:abstractNumId w:val="24"/>
  </w:num>
  <w:num w:numId="29">
    <w:abstractNumId w:val="9"/>
  </w:num>
  <w:num w:numId="30">
    <w:abstractNumId w:val="2"/>
  </w:num>
  <w:num w:numId="31">
    <w:abstractNumId w:val="31"/>
  </w:num>
  <w:num w:numId="3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F9"/>
    <w:rsid w:val="000022F3"/>
    <w:rsid w:val="00003518"/>
    <w:rsid w:val="000145C4"/>
    <w:rsid w:val="0002024D"/>
    <w:rsid w:val="00020591"/>
    <w:rsid w:val="00020F05"/>
    <w:rsid w:val="0002279E"/>
    <w:rsid w:val="00023615"/>
    <w:rsid w:val="000241A0"/>
    <w:rsid w:val="000248DE"/>
    <w:rsid w:val="00026C75"/>
    <w:rsid w:val="00027D6C"/>
    <w:rsid w:val="00027E63"/>
    <w:rsid w:val="00030B05"/>
    <w:rsid w:val="00031A85"/>
    <w:rsid w:val="0003376B"/>
    <w:rsid w:val="0003558F"/>
    <w:rsid w:val="000362B2"/>
    <w:rsid w:val="00037DEB"/>
    <w:rsid w:val="00042092"/>
    <w:rsid w:val="000505C0"/>
    <w:rsid w:val="00053FB9"/>
    <w:rsid w:val="000561A5"/>
    <w:rsid w:val="000567FF"/>
    <w:rsid w:val="0005732D"/>
    <w:rsid w:val="00060AF6"/>
    <w:rsid w:val="000629DE"/>
    <w:rsid w:val="00063125"/>
    <w:rsid w:val="0006624A"/>
    <w:rsid w:val="0007002C"/>
    <w:rsid w:val="000703F6"/>
    <w:rsid w:val="0007049D"/>
    <w:rsid w:val="00070C34"/>
    <w:rsid w:val="00073C08"/>
    <w:rsid w:val="00074879"/>
    <w:rsid w:val="00074A2A"/>
    <w:rsid w:val="00082794"/>
    <w:rsid w:val="000853F2"/>
    <w:rsid w:val="00090D2C"/>
    <w:rsid w:val="0009239C"/>
    <w:rsid w:val="00097AE6"/>
    <w:rsid w:val="000A43BF"/>
    <w:rsid w:val="000A6E85"/>
    <w:rsid w:val="000B0917"/>
    <w:rsid w:val="000B1F11"/>
    <w:rsid w:val="000B4FEC"/>
    <w:rsid w:val="000B567F"/>
    <w:rsid w:val="000B66E7"/>
    <w:rsid w:val="000B6D23"/>
    <w:rsid w:val="000B7160"/>
    <w:rsid w:val="000C0718"/>
    <w:rsid w:val="000D1FFA"/>
    <w:rsid w:val="000D3DA4"/>
    <w:rsid w:val="000D741E"/>
    <w:rsid w:val="000E1772"/>
    <w:rsid w:val="000F2C59"/>
    <w:rsid w:val="000F71A4"/>
    <w:rsid w:val="001037FF"/>
    <w:rsid w:val="001068EF"/>
    <w:rsid w:val="00114240"/>
    <w:rsid w:val="00114E68"/>
    <w:rsid w:val="0012210D"/>
    <w:rsid w:val="0012395D"/>
    <w:rsid w:val="0012483B"/>
    <w:rsid w:val="00124DBF"/>
    <w:rsid w:val="00130231"/>
    <w:rsid w:val="00130E5E"/>
    <w:rsid w:val="0013563C"/>
    <w:rsid w:val="00135E8C"/>
    <w:rsid w:val="0014067B"/>
    <w:rsid w:val="001421B5"/>
    <w:rsid w:val="00142CC4"/>
    <w:rsid w:val="00143A10"/>
    <w:rsid w:val="00144060"/>
    <w:rsid w:val="00147223"/>
    <w:rsid w:val="0015392E"/>
    <w:rsid w:val="00154846"/>
    <w:rsid w:val="0015553B"/>
    <w:rsid w:val="00155954"/>
    <w:rsid w:val="00156444"/>
    <w:rsid w:val="00156728"/>
    <w:rsid w:val="00157597"/>
    <w:rsid w:val="00160A00"/>
    <w:rsid w:val="001613D7"/>
    <w:rsid w:val="001617E3"/>
    <w:rsid w:val="00161853"/>
    <w:rsid w:val="001625AC"/>
    <w:rsid w:val="001625EC"/>
    <w:rsid w:val="001632E9"/>
    <w:rsid w:val="0016358D"/>
    <w:rsid w:val="00164986"/>
    <w:rsid w:val="00164D70"/>
    <w:rsid w:val="00173A70"/>
    <w:rsid w:val="00181752"/>
    <w:rsid w:val="00181765"/>
    <w:rsid w:val="001837DB"/>
    <w:rsid w:val="001839FA"/>
    <w:rsid w:val="00184D94"/>
    <w:rsid w:val="00187B88"/>
    <w:rsid w:val="00191EC8"/>
    <w:rsid w:val="001925A0"/>
    <w:rsid w:val="00192D6E"/>
    <w:rsid w:val="001940DD"/>
    <w:rsid w:val="0019584F"/>
    <w:rsid w:val="00195BA5"/>
    <w:rsid w:val="001974AE"/>
    <w:rsid w:val="001A428F"/>
    <w:rsid w:val="001A4F4B"/>
    <w:rsid w:val="001A5363"/>
    <w:rsid w:val="001A5959"/>
    <w:rsid w:val="001A724B"/>
    <w:rsid w:val="001A7D2C"/>
    <w:rsid w:val="001A7F60"/>
    <w:rsid w:val="001B754D"/>
    <w:rsid w:val="001C0612"/>
    <w:rsid w:val="001C228D"/>
    <w:rsid w:val="001C311D"/>
    <w:rsid w:val="001C5973"/>
    <w:rsid w:val="001C59B3"/>
    <w:rsid w:val="001C748C"/>
    <w:rsid w:val="001D0309"/>
    <w:rsid w:val="001D1B2D"/>
    <w:rsid w:val="001D4E46"/>
    <w:rsid w:val="001D6F9B"/>
    <w:rsid w:val="001E4CBD"/>
    <w:rsid w:val="001E539E"/>
    <w:rsid w:val="001E5A5C"/>
    <w:rsid w:val="001E6263"/>
    <w:rsid w:val="001E6CD2"/>
    <w:rsid w:val="001E7422"/>
    <w:rsid w:val="001E7C6B"/>
    <w:rsid w:val="001F2453"/>
    <w:rsid w:val="001F3060"/>
    <w:rsid w:val="001F4CFE"/>
    <w:rsid w:val="00200421"/>
    <w:rsid w:val="00200C99"/>
    <w:rsid w:val="00200CE4"/>
    <w:rsid w:val="00203F27"/>
    <w:rsid w:val="00204747"/>
    <w:rsid w:val="00211738"/>
    <w:rsid w:val="00212A62"/>
    <w:rsid w:val="00217DD2"/>
    <w:rsid w:val="00220738"/>
    <w:rsid w:val="00221AFA"/>
    <w:rsid w:val="002236D0"/>
    <w:rsid w:val="00224339"/>
    <w:rsid w:val="00225747"/>
    <w:rsid w:val="002314DC"/>
    <w:rsid w:val="002357DF"/>
    <w:rsid w:val="002361D1"/>
    <w:rsid w:val="00236338"/>
    <w:rsid w:val="00236FB2"/>
    <w:rsid w:val="00240F77"/>
    <w:rsid w:val="00244C18"/>
    <w:rsid w:val="00255FF0"/>
    <w:rsid w:val="00260AAB"/>
    <w:rsid w:val="0026112C"/>
    <w:rsid w:val="00261860"/>
    <w:rsid w:val="00263D2D"/>
    <w:rsid w:val="0026739B"/>
    <w:rsid w:val="00267CE5"/>
    <w:rsid w:val="00274CBB"/>
    <w:rsid w:val="00280DC3"/>
    <w:rsid w:val="00281155"/>
    <w:rsid w:val="0028253E"/>
    <w:rsid w:val="0028302F"/>
    <w:rsid w:val="00284121"/>
    <w:rsid w:val="0029398B"/>
    <w:rsid w:val="00293D0D"/>
    <w:rsid w:val="00297C8D"/>
    <w:rsid w:val="002A22BD"/>
    <w:rsid w:val="002A54F2"/>
    <w:rsid w:val="002A651D"/>
    <w:rsid w:val="002A7F14"/>
    <w:rsid w:val="002B2682"/>
    <w:rsid w:val="002B33F4"/>
    <w:rsid w:val="002B5113"/>
    <w:rsid w:val="002B71D0"/>
    <w:rsid w:val="002C2C6A"/>
    <w:rsid w:val="002C3A7D"/>
    <w:rsid w:val="002C43D0"/>
    <w:rsid w:val="002C5393"/>
    <w:rsid w:val="002C5931"/>
    <w:rsid w:val="002C76B5"/>
    <w:rsid w:val="002D0492"/>
    <w:rsid w:val="002D0C3E"/>
    <w:rsid w:val="002D1623"/>
    <w:rsid w:val="002D2323"/>
    <w:rsid w:val="002D43A4"/>
    <w:rsid w:val="002D6229"/>
    <w:rsid w:val="002E3425"/>
    <w:rsid w:val="002E5F06"/>
    <w:rsid w:val="002F01C8"/>
    <w:rsid w:val="002F1447"/>
    <w:rsid w:val="002F37A5"/>
    <w:rsid w:val="00300A77"/>
    <w:rsid w:val="00303875"/>
    <w:rsid w:val="00306453"/>
    <w:rsid w:val="00327210"/>
    <w:rsid w:val="00327919"/>
    <w:rsid w:val="0033066B"/>
    <w:rsid w:val="00332EA8"/>
    <w:rsid w:val="003366C7"/>
    <w:rsid w:val="00341902"/>
    <w:rsid w:val="0034353C"/>
    <w:rsid w:val="0034410E"/>
    <w:rsid w:val="00344D97"/>
    <w:rsid w:val="00345C4A"/>
    <w:rsid w:val="003474AD"/>
    <w:rsid w:val="00354D6D"/>
    <w:rsid w:val="003561D7"/>
    <w:rsid w:val="00356879"/>
    <w:rsid w:val="00364602"/>
    <w:rsid w:val="00366FBE"/>
    <w:rsid w:val="00367B03"/>
    <w:rsid w:val="00371FA8"/>
    <w:rsid w:val="00372496"/>
    <w:rsid w:val="00372BDB"/>
    <w:rsid w:val="0037328B"/>
    <w:rsid w:val="00373DDB"/>
    <w:rsid w:val="0037667D"/>
    <w:rsid w:val="00376E63"/>
    <w:rsid w:val="00380A0F"/>
    <w:rsid w:val="00380E7A"/>
    <w:rsid w:val="00387A9E"/>
    <w:rsid w:val="0039180E"/>
    <w:rsid w:val="003974D5"/>
    <w:rsid w:val="003A27DB"/>
    <w:rsid w:val="003A67D7"/>
    <w:rsid w:val="003B09A9"/>
    <w:rsid w:val="003C126F"/>
    <w:rsid w:val="003D0826"/>
    <w:rsid w:val="003D5CD9"/>
    <w:rsid w:val="003D6834"/>
    <w:rsid w:val="003D7CBE"/>
    <w:rsid w:val="003D7F4F"/>
    <w:rsid w:val="003E0FE1"/>
    <w:rsid w:val="003E11DB"/>
    <w:rsid w:val="003E239D"/>
    <w:rsid w:val="003E24DF"/>
    <w:rsid w:val="003E2BD5"/>
    <w:rsid w:val="003E45DF"/>
    <w:rsid w:val="003E67BA"/>
    <w:rsid w:val="003F0239"/>
    <w:rsid w:val="003F0801"/>
    <w:rsid w:val="003F1141"/>
    <w:rsid w:val="003F3DC7"/>
    <w:rsid w:val="003F77F9"/>
    <w:rsid w:val="004009DF"/>
    <w:rsid w:val="00402A6B"/>
    <w:rsid w:val="00403D45"/>
    <w:rsid w:val="00416863"/>
    <w:rsid w:val="00422224"/>
    <w:rsid w:val="0042472D"/>
    <w:rsid w:val="00424950"/>
    <w:rsid w:val="00424A73"/>
    <w:rsid w:val="00424EE7"/>
    <w:rsid w:val="004255D9"/>
    <w:rsid w:val="00425D72"/>
    <w:rsid w:val="00426439"/>
    <w:rsid w:val="0043102E"/>
    <w:rsid w:val="0043128A"/>
    <w:rsid w:val="004322CF"/>
    <w:rsid w:val="0043240E"/>
    <w:rsid w:val="0043293A"/>
    <w:rsid w:val="00433FF3"/>
    <w:rsid w:val="004343D1"/>
    <w:rsid w:val="00442347"/>
    <w:rsid w:val="004431B7"/>
    <w:rsid w:val="00454C94"/>
    <w:rsid w:val="00454E78"/>
    <w:rsid w:val="00457369"/>
    <w:rsid w:val="00460A0A"/>
    <w:rsid w:val="00460DC2"/>
    <w:rsid w:val="00463C78"/>
    <w:rsid w:val="00463FAE"/>
    <w:rsid w:val="00464483"/>
    <w:rsid w:val="0047307E"/>
    <w:rsid w:val="0047595B"/>
    <w:rsid w:val="004768BE"/>
    <w:rsid w:val="004779F6"/>
    <w:rsid w:val="004818A5"/>
    <w:rsid w:val="00481DA7"/>
    <w:rsid w:val="004860E1"/>
    <w:rsid w:val="00490901"/>
    <w:rsid w:val="004915F2"/>
    <w:rsid w:val="00495921"/>
    <w:rsid w:val="00495A31"/>
    <w:rsid w:val="00496059"/>
    <w:rsid w:val="004A2AE1"/>
    <w:rsid w:val="004A3A7E"/>
    <w:rsid w:val="004A4BD5"/>
    <w:rsid w:val="004A51E3"/>
    <w:rsid w:val="004B0CD5"/>
    <w:rsid w:val="004B12DD"/>
    <w:rsid w:val="004B1C3F"/>
    <w:rsid w:val="004B3031"/>
    <w:rsid w:val="004B3DAC"/>
    <w:rsid w:val="004C045D"/>
    <w:rsid w:val="004C473A"/>
    <w:rsid w:val="004C4A5F"/>
    <w:rsid w:val="004D18E2"/>
    <w:rsid w:val="004D3EF4"/>
    <w:rsid w:val="004D4A6E"/>
    <w:rsid w:val="004D6575"/>
    <w:rsid w:val="004D66F6"/>
    <w:rsid w:val="004D69C2"/>
    <w:rsid w:val="004D79B9"/>
    <w:rsid w:val="004E219C"/>
    <w:rsid w:val="004E2A94"/>
    <w:rsid w:val="004E3491"/>
    <w:rsid w:val="004E4A7B"/>
    <w:rsid w:val="004E4DB8"/>
    <w:rsid w:val="004E58C9"/>
    <w:rsid w:val="004E602F"/>
    <w:rsid w:val="004F2DFA"/>
    <w:rsid w:val="00504888"/>
    <w:rsid w:val="00504902"/>
    <w:rsid w:val="00506E5D"/>
    <w:rsid w:val="005076B7"/>
    <w:rsid w:val="005133BB"/>
    <w:rsid w:val="00517101"/>
    <w:rsid w:val="00521BD2"/>
    <w:rsid w:val="0052277E"/>
    <w:rsid w:val="00522869"/>
    <w:rsid w:val="0052690F"/>
    <w:rsid w:val="00527255"/>
    <w:rsid w:val="00527484"/>
    <w:rsid w:val="005276A9"/>
    <w:rsid w:val="00534B62"/>
    <w:rsid w:val="005356C0"/>
    <w:rsid w:val="00535AC7"/>
    <w:rsid w:val="0054146B"/>
    <w:rsid w:val="00542663"/>
    <w:rsid w:val="005505F7"/>
    <w:rsid w:val="005507CD"/>
    <w:rsid w:val="00550AAD"/>
    <w:rsid w:val="00564532"/>
    <w:rsid w:val="0056548B"/>
    <w:rsid w:val="0057386F"/>
    <w:rsid w:val="00573CB9"/>
    <w:rsid w:val="00574497"/>
    <w:rsid w:val="005748F1"/>
    <w:rsid w:val="0057633A"/>
    <w:rsid w:val="00582E5B"/>
    <w:rsid w:val="005841EC"/>
    <w:rsid w:val="0058447A"/>
    <w:rsid w:val="00586384"/>
    <w:rsid w:val="0058643B"/>
    <w:rsid w:val="005871B4"/>
    <w:rsid w:val="00593F2F"/>
    <w:rsid w:val="005955B9"/>
    <w:rsid w:val="00595B8D"/>
    <w:rsid w:val="00597376"/>
    <w:rsid w:val="00597637"/>
    <w:rsid w:val="00597ED7"/>
    <w:rsid w:val="005A06BF"/>
    <w:rsid w:val="005A1CE4"/>
    <w:rsid w:val="005A34D3"/>
    <w:rsid w:val="005A43CA"/>
    <w:rsid w:val="005A6656"/>
    <w:rsid w:val="005B6CB6"/>
    <w:rsid w:val="005B6D1E"/>
    <w:rsid w:val="005C1F12"/>
    <w:rsid w:val="005C2C36"/>
    <w:rsid w:val="005D19CC"/>
    <w:rsid w:val="005E07BD"/>
    <w:rsid w:val="005E0E61"/>
    <w:rsid w:val="005E1258"/>
    <w:rsid w:val="005E1F4B"/>
    <w:rsid w:val="005E1F54"/>
    <w:rsid w:val="005E225B"/>
    <w:rsid w:val="005E329F"/>
    <w:rsid w:val="005E6F4A"/>
    <w:rsid w:val="005E7E0A"/>
    <w:rsid w:val="005F0778"/>
    <w:rsid w:val="005F2A80"/>
    <w:rsid w:val="005F403B"/>
    <w:rsid w:val="005F789A"/>
    <w:rsid w:val="006126C4"/>
    <w:rsid w:val="006144E1"/>
    <w:rsid w:val="0061647A"/>
    <w:rsid w:val="00616EF5"/>
    <w:rsid w:val="00620950"/>
    <w:rsid w:val="0062129E"/>
    <w:rsid w:val="006233B7"/>
    <w:rsid w:val="006264AF"/>
    <w:rsid w:val="00630C7C"/>
    <w:rsid w:val="0063508A"/>
    <w:rsid w:val="00636294"/>
    <w:rsid w:val="00636738"/>
    <w:rsid w:val="00640EDB"/>
    <w:rsid w:val="006432C9"/>
    <w:rsid w:val="0064344B"/>
    <w:rsid w:val="00650799"/>
    <w:rsid w:val="006540E4"/>
    <w:rsid w:val="00655A8F"/>
    <w:rsid w:val="00663732"/>
    <w:rsid w:val="006644BB"/>
    <w:rsid w:val="00664F51"/>
    <w:rsid w:val="00666570"/>
    <w:rsid w:val="00666F16"/>
    <w:rsid w:val="00667F56"/>
    <w:rsid w:val="00670044"/>
    <w:rsid w:val="006728BC"/>
    <w:rsid w:val="0067496A"/>
    <w:rsid w:val="00675E7E"/>
    <w:rsid w:val="00682918"/>
    <w:rsid w:val="006918D3"/>
    <w:rsid w:val="00691B64"/>
    <w:rsid w:val="00696247"/>
    <w:rsid w:val="00696E8E"/>
    <w:rsid w:val="006A074E"/>
    <w:rsid w:val="006A73C8"/>
    <w:rsid w:val="006B06F9"/>
    <w:rsid w:val="006B2203"/>
    <w:rsid w:val="006B34A8"/>
    <w:rsid w:val="006B3942"/>
    <w:rsid w:val="006B532A"/>
    <w:rsid w:val="006C1797"/>
    <w:rsid w:val="006C32E2"/>
    <w:rsid w:val="006D00BF"/>
    <w:rsid w:val="006D7568"/>
    <w:rsid w:val="006D7E6F"/>
    <w:rsid w:val="006E0023"/>
    <w:rsid w:val="006E0345"/>
    <w:rsid w:val="006E0A96"/>
    <w:rsid w:val="006E14B5"/>
    <w:rsid w:val="006E1656"/>
    <w:rsid w:val="006E1808"/>
    <w:rsid w:val="006E246E"/>
    <w:rsid w:val="006E3BB2"/>
    <w:rsid w:val="006E7646"/>
    <w:rsid w:val="006F416F"/>
    <w:rsid w:val="00705915"/>
    <w:rsid w:val="00710860"/>
    <w:rsid w:val="007126F1"/>
    <w:rsid w:val="00714D05"/>
    <w:rsid w:val="00716363"/>
    <w:rsid w:val="00717C59"/>
    <w:rsid w:val="007211AD"/>
    <w:rsid w:val="0072336E"/>
    <w:rsid w:val="00724B8E"/>
    <w:rsid w:val="007258B5"/>
    <w:rsid w:val="00725AE1"/>
    <w:rsid w:val="00725F11"/>
    <w:rsid w:val="00730FB5"/>
    <w:rsid w:val="0073467D"/>
    <w:rsid w:val="007367C8"/>
    <w:rsid w:val="00737DA7"/>
    <w:rsid w:val="00740632"/>
    <w:rsid w:val="00744BDF"/>
    <w:rsid w:val="00751FFD"/>
    <w:rsid w:val="0075278A"/>
    <w:rsid w:val="00753187"/>
    <w:rsid w:val="00753498"/>
    <w:rsid w:val="0075389E"/>
    <w:rsid w:val="007545CF"/>
    <w:rsid w:val="0075502E"/>
    <w:rsid w:val="00755B0D"/>
    <w:rsid w:val="007567DE"/>
    <w:rsid w:val="00756A4F"/>
    <w:rsid w:val="00756E71"/>
    <w:rsid w:val="00757008"/>
    <w:rsid w:val="00757303"/>
    <w:rsid w:val="00760C46"/>
    <w:rsid w:val="00761EB3"/>
    <w:rsid w:val="007652AF"/>
    <w:rsid w:val="00765F35"/>
    <w:rsid w:val="0076607A"/>
    <w:rsid w:val="007675E1"/>
    <w:rsid w:val="00771022"/>
    <w:rsid w:val="00772F1E"/>
    <w:rsid w:val="00777DF9"/>
    <w:rsid w:val="00783C8A"/>
    <w:rsid w:val="007858FE"/>
    <w:rsid w:val="00791631"/>
    <w:rsid w:val="00793CFA"/>
    <w:rsid w:val="00795DEC"/>
    <w:rsid w:val="007963F9"/>
    <w:rsid w:val="007A088B"/>
    <w:rsid w:val="007A34CE"/>
    <w:rsid w:val="007A41DA"/>
    <w:rsid w:val="007A459F"/>
    <w:rsid w:val="007A4A62"/>
    <w:rsid w:val="007A6942"/>
    <w:rsid w:val="007B16E1"/>
    <w:rsid w:val="007B1EDD"/>
    <w:rsid w:val="007B320E"/>
    <w:rsid w:val="007B3447"/>
    <w:rsid w:val="007B4617"/>
    <w:rsid w:val="007B5AE2"/>
    <w:rsid w:val="007B7557"/>
    <w:rsid w:val="007B7B1E"/>
    <w:rsid w:val="007C2F39"/>
    <w:rsid w:val="007C41AD"/>
    <w:rsid w:val="007C73D6"/>
    <w:rsid w:val="007C7990"/>
    <w:rsid w:val="007C7FE6"/>
    <w:rsid w:val="007D0593"/>
    <w:rsid w:val="007D0C2F"/>
    <w:rsid w:val="007D12C7"/>
    <w:rsid w:val="007E1BE3"/>
    <w:rsid w:val="007E3460"/>
    <w:rsid w:val="007E615A"/>
    <w:rsid w:val="007E708E"/>
    <w:rsid w:val="007F0B37"/>
    <w:rsid w:val="007F3DCA"/>
    <w:rsid w:val="007F69DE"/>
    <w:rsid w:val="008020C6"/>
    <w:rsid w:val="00802D85"/>
    <w:rsid w:val="00803BB5"/>
    <w:rsid w:val="008047DE"/>
    <w:rsid w:val="0081039F"/>
    <w:rsid w:val="0081101A"/>
    <w:rsid w:val="008113D1"/>
    <w:rsid w:val="00812BCE"/>
    <w:rsid w:val="00813BE4"/>
    <w:rsid w:val="00817125"/>
    <w:rsid w:val="0081712E"/>
    <w:rsid w:val="008171A3"/>
    <w:rsid w:val="00820B85"/>
    <w:rsid w:val="008213B4"/>
    <w:rsid w:val="00825545"/>
    <w:rsid w:val="008269AB"/>
    <w:rsid w:val="0083092D"/>
    <w:rsid w:val="00831579"/>
    <w:rsid w:val="00832595"/>
    <w:rsid w:val="00832BA2"/>
    <w:rsid w:val="0083405F"/>
    <w:rsid w:val="00834C4A"/>
    <w:rsid w:val="00836D34"/>
    <w:rsid w:val="00841F6D"/>
    <w:rsid w:val="0084358B"/>
    <w:rsid w:val="008435FB"/>
    <w:rsid w:val="00843915"/>
    <w:rsid w:val="00846C5D"/>
    <w:rsid w:val="0085046B"/>
    <w:rsid w:val="00852B94"/>
    <w:rsid w:val="00852E01"/>
    <w:rsid w:val="00853D79"/>
    <w:rsid w:val="00853E1A"/>
    <w:rsid w:val="008545FD"/>
    <w:rsid w:val="00855242"/>
    <w:rsid w:val="00856E1F"/>
    <w:rsid w:val="008611B3"/>
    <w:rsid w:val="00867D90"/>
    <w:rsid w:val="00872A4E"/>
    <w:rsid w:val="00872EC2"/>
    <w:rsid w:val="008775FE"/>
    <w:rsid w:val="00880323"/>
    <w:rsid w:val="0088450E"/>
    <w:rsid w:val="00887B04"/>
    <w:rsid w:val="008912FE"/>
    <w:rsid w:val="00891A01"/>
    <w:rsid w:val="00893CB0"/>
    <w:rsid w:val="008946F8"/>
    <w:rsid w:val="0089508D"/>
    <w:rsid w:val="00895A63"/>
    <w:rsid w:val="00896136"/>
    <w:rsid w:val="008A1917"/>
    <w:rsid w:val="008A1F9A"/>
    <w:rsid w:val="008A46B7"/>
    <w:rsid w:val="008A4EB2"/>
    <w:rsid w:val="008B0E47"/>
    <w:rsid w:val="008B196D"/>
    <w:rsid w:val="008B1E86"/>
    <w:rsid w:val="008B1E9A"/>
    <w:rsid w:val="008C45C4"/>
    <w:rsid w:val="008D1CD8"/>
    <w:rsid w:val="008D270B"/>
    <w:rsid w:val="008D5835"/>
    <w:rsid w:val="008D58D0"/>
    <w:rsid w:val="008E1703"/>
    <w:rsid w:val="008E3427"/>
    <w:rsid w:val="008E3B9A"/>
    <w:rsid w:val="008E51CC"/>
    <w:rsid w:val="008E6BC9"/>
    <w:rsid w:val="008E7376"/>
    <w:rsid w:val="00911AED"/>
    <w:rsid w:val="00911D91"/>
    <w:rsid w:val="00913007"/>
    <w:rsid w:val="00913154"/>
    <w:rsid w:val="009200B9"/>
    <w:rsid w:val="0092257D"/>
    <w:rsid w:val="009240AF"/>
    <w:rsid w:val="00932F74"/>
    <w:rsid w:val="00933C8D"/>
    <w:rsid w:val="00946293"/>
    <w:rsid w:val="00950BE1"/>
    <w:rsid w:val="00950E61"/>
    <w:rsid w:val="009528D9"/>
    <w:rsid w:val="00956C20"/>
    <w:rsid w:val="0096015D"/>
    <w:rsid w:val="00962027"/>
    <w:rsid w:val="00966DF8"/>
    <w:rsid w:val="00966FE0"/>
    <w:rsid w:val="009672FC"/>
    <w:rsid w:val="00973242"/>
    <w:rsid w:val="00977983"/>
    <w:rsid w:val="00980A0E"/>
    <w:rsid w:val="00981C89"/>
    <w:rsid w:val="00986FB2"/>
    <w:rsid w:val="0098772D"/>
    <w:rsid w:val="009940BD"/>
    <w:rsid w:val="0099502A"/>
    <w:rsid w:val="00995761"/>
    <w:rsid w:val="009A63C5"/>
    <w:rsid w:val="009B3486"/>
    <w:rsid w:val="009B3BC5"/>
    <w:rsid w:val="009B53B6"/>
    <w:rsid w:val="009B77BA"/>
    <w:rsid w:val="009C6C17"/>
    <w:rsid w:val="009D1748"/>
    <w:rsid w:val="009D5EE1"/>
    <w:rsid w:val="009D66AD"/>
    <w:rsid w:val="009D7C95"/>
    <w:rsid w:val="009E0D70"/>
    <w:rsid w:val="009F299C"/>
    <w:rsid w:val="009F65F5"/>
    <w:rsid w:val="00A00501"/>
    <w:rsid w:val="00A044BD"/>
    <w:rsid w:val="00A05642"/>
    <w:rsid w:val="00A073F5"/>
    <w:rsid w:val="00A07D44"/>
    <w:rsid w:val="00A13E36"/>
    <w:rsid w:val="00A14998"/>
    <w:rsid w:val="00A162F8"/>
    <w:rsid w:val="00A16D04"/>
    <w:rsid w:val="00A205F3"/>
    <w:rsid w:val="00A207F9"/>
    <w:rsid w:val="00A238E1"/>
    <w:rsid w:val="00A23ADF"/>
    <w:rsid w:val="00A31BF4"/>
    <w:rsid w:val="00A32A6C"/>
    <w:rsid w:val="00A33E58"/>
    <w:rsid w:val="00A345A4"/>
    <w:rsid w:val="00A415C2"/>
    <w:rsid w:val="00A4217F"/>
    <w:rsid w:val="00A50A9D"/>
    <w:rsid w:val="00A52C62"/>
    <w:rsid w:val="00A57E66"/>
    <w:rsid w:val="00A617E0"/>
    <w:rsid w:val="00A64DCC"/>
    <w:rsid w:val="00A74057"/>
    <w:rsid w:val="00A7463B"/>
    <w:rsid w:val="00A75608"/>
    <w:rsid w:val="00A92C82"/>
    <w:rsid w:val="00A93AC5"/>
    <w:rsid w:val="00A95A66"/>
    <w:rsid w:val="00A96113"/>
    <w:rsid w:val="00A964D8"/>
    <w:rsid w:val="00A9676D"/>
    <w:rsid w:val="00AA0CA5"/>
    <w:rsid w:val="00AA47B4"/>
    <w:rsid w:val="00AA7E16"/>
    <w:rsid w:val="00AB104A"/>
    <w:rsid w:val="00AB1E2B"/>
    <w:rsid w:val="00AB3B91"/>
    <w:rsid w:val="00AB42C8"/>
    <w:rsid w:val="00AB5BB2"/>
    <w:rsid w:val="00AB6598"/>
    <w:rsid w:val="00AC16D1"/>
    <w:rsid w:val="00AC170B"/>
    <w:rsid w:val="00AC2C9C"/>
    <w:rsid w:val="00AC3F90"/>
    <w:rsid w:val="00AD006A"/>
    <w:rsid w:val="00AD20F6"/>
    <w:rsid w:val="00AD26A3"/>
    <w:rsid w:val="00AD3874"/>
    <w:rsid w:val="00AD7574"/>
    <w:rsid w:val="00AE5B09"/>
    <w:rsid w:val="00AE781E"/>
    <w:rsid w:val="00AF3176"/>
    <w:rsid w:val="00AF3533"/>
    <w:rsid w:val="00AF51E3"/>
    <w:rsid w:val="00AF69EE"/>
    <w:rsid w:val="00AF6FA1"/>
    <w:rsid w:val="00B05F43"/>
    <w:rsid w:val="00B0617C"/>
    <w:rsid w:val="00B12409"/>
    <w:rsid w:val="00B153B4"/>
    <w:rsid w:val="00B16A85"/>
    <w:rsid w:val="00B179A5"/>
    <w:rsid w:val="00B20C07"/>
    <w:rsid w:val="00B22127"/>
    <w:rsid w:val="00B23F67"/>
    <w:rsid w:val="00B2608B"/>
    <w:rsid w:val="00B30C6B"/>
    <w:rsid w:val="00B33979"/>
    <w:rsid w:val="00B339D9"/>
    <w:rsid w:val="00B341EA"/>
    <w:rsid w:val="00B36A81"/>
    <w:rsid w:val="00B37613"/>
    <w:rsid w:val="00B37DFE"/>
    <w:rsid w:val="00B40DBA"/>
    <w:rsid w:val="00B471FB"/>
    <w:rsid w:val="00B533AA"/>
    <w:rsid w:val="00B552E6"/>
    <w:rsid w:val="00B55ACE"/>
    <w:rsid w:val="00B55EEF"/>
    <w:rsid w:val="00B5667F"/>
    <w:rsid w:val="00B56CF3"/>
    <w:rsid w:val="00B607B7"/>
    <w:rsid w:val="00B637D6"/>
    <w:rsid w:val="00B6790D"/>
    <w:rsid w:val="00B704AF"/>
    <w:rsid w:val="00B70631"/>
    <w:rsid w:val="00B74719"/>
    <w:rsid w:val="00B81488"/>
    <w:rsid w:val="00B877BD"/>
    <w:rsid w:val="00B92FC7"/>
    <w:rsid w:val="00B931B7"/>
    <w:rsid w:val="00B96C1C"/>
    <w:rsid w:val="00B96FE4"/>
    <w:rsid w:val="00BA565F"/>
    <w:rsid w:val="00BB0B88"/>
    <w:rsid w:val="00BB2E38"/>
    <w:rsid w:val="00BB5DCC"/>
    <w:rsid w:val="00BC049B"/>
    <w:rsid w:val="00BC12AB"/>
    <w:rsid w:val="00BC42BB"/>
    <w:rsid w:val="00BC58C5"/>
    <w:rsid w:val="00BC661F"/>
    <w:rsid w:val="00BD339A"/>
    <w:rsid w:val="00BD3B97"/>
    <w:rsid w:val="00BD421C"/>
    <w:rsid w:val="00BE281C"/>
    <w:rsid w:val="00BE407F"/>
    <w:rsid w:val="00BF1D5D"/>
    <w:rsid w:val="00BF292D"/>
    <w:rsid w:val="00BF5608"/>
    <w:rsid w:val="00BF6125"/>
    <w:rsid w:val="00BF62C8"/>
    <w:rsid w:val="00BF7EAF"/>
    <w:rsid w:val="00C0046A"/>
    <w:rsid w:val="00C06DD8"/>
    <w:rsid w:val="00C10046"/>
    <w:rsid w:val="00C10480"/>
    <w:rsid w:val="00C164D1"/>
    <w:rsid w:val="00C1776D"/>
    <w:rsid w:val="00C2530E"/>
    <w:rsid w:val="00C25ACE"/>
    <w:rsid w:val="00C275AB"/>
    <w:rsid w:val="00C32D48"/>
    <w:rsid w:val="00C33F6F"/>
    <w:rsid w:val="00C3411F"/>
    <w:rsid w:val="00C37E26"/>
    <w:rsid w:val="00C426B6"/>
    <w:rsid w:val="00C456F8"/>
    <w:rsid w:val="00C46F65"/>
    <w:rsid w:val="00C52AAA"/>
    <w:rsid w:val="00C52C52"/>
    <w:rsid w:val="00C56AAB"/>
    <w:rsid w:val="00C61372"/>
    <w:rsid w:val="00C62A6C"/>
    <w:rsid w:val="00C633F2"/>
    <w:rsid w:val="00C644DC"/>
    <w:rsid w:val="00C66C3C"/>
    <w:rsid w:val="00C67A50"/>
    <w:rsid w:val="00C746B1"/>
    <w:rsid w:val="00C74FF1"/>
    <w:rsid w:val="00C76DCC"/>
    <w:rsid w:val="00C77EC1"/>
    <w:rsid w:val="00C80AFE"/>
    <w:rsid w:val="00C81025"/>
    <w:rsid w:val="00C81D69"/>
    <w:rsid w:val="00C83124"/>
    <w:rsid w:val="00C859D2"/>
    <w:rsid w:val="00C8604C"/>
    <w:rsid w:val="00C93299"/>
    <w:rsid w:val="00C93FCD"/>
    <w:rsid w:val="00C95502"/>
    <w:rsid w:val="00CA1C14"/>
    <w:rsid w:val="00CA7EC4"/>
    <w:rsid w:val="00CB516A"/>
    <w:rsid w:val="00CB5519"/>
    <w:rsid w:val="00CC3641"/>
    <w:rsid w:val="00CC44D7"/>
    <w:rsid w:val="00CC4E58"/>
    <w:rsid w:val="00CC5A11"/>
    <w:rsid w:val="00CC6664"/>
    <w:rsid w:val="00CC67C9"/>
    <w:rsid w:val="00CD0DB5"/>
    <w:rsid w:val="00CD1758"/>
    <w:rsid w:val="00CD2D3E"/>
    <w:rsid w:val="00CD499A"/>
    <w:rsid w:val="00CD4DD9"/>
    <w:rsid w:val="00CD5DE0"/>
    <w:rsid w:val="00CD7F7B"/>
    <w:rsid w:val="00CE26B9"/>
    <w:rsid w:val="00CE437E"/>
    <w:rsid w:val="00CE5BFB"/>
    <w:rsid w:val="00CE7B57"/>
    <w:rsid w:val="00CF37EB"/>
    <w:rsid w:val="00CF4CBB"/>
    <w:rsid w:val="00CF5358"/>
    <w:rsid w:val="00CF7FF9"/>
    <w:rsid w:val="00D00117"/>
    <w:rsid w:val="00D02CFC"/>
    <w:rsid w:val="00D057AF"/>
    <w:rsid w:val="00D057D2"/>
    <w:rsid w:val="00D1051F"/>
    <w:rsid w:val="00D10F68"/>
    <w:rsid w:val="00D1385C"/>
    <w:rsid w:val="00D14E32"/>
    <w:rsid w:val="00D1594E"/>
    <w:rsid w:val="00D174DD"/>
    <w:rsid w:val="00D21AE6"/>
    <w:rsid w:val="00D249B6"/>
    <w:rsid w:val="00D308DC"/>
    <w:rsid w:val="00D30C9A"/>
    <w:rsid w:val="00D31E54"/>
    <w:rsid w:val="00D33A7F"/>
    <w:rsid w:val="00D34104"/>
    <w:rsid w:val="00D34EAE"/>
    <w:rsid w:val="00D3604F"/>
    <w:rsid w:val="00D40D18"/>
    <w:rsid w:val="00D4247B"/>
    <w:rsid w:val="00D44824"/>
    <w:rsid w:val="00D512BD"/>
    <w:rsid w:val="00D60512"/>
    <w:rsid w:val="00D64F37"/>
    <w:rsid w:val="00D654AD"/>
    <w:rsid w:val="00D65578"/>
    <w:rsid w:val="00D661D6"/>
    <w:rsid w:val="00D669AA"/>
    <w:rsid w:val="00D70A11"/>
    <w:rsid w:val="00D7690F"/>
    <w:rsid w:val="00D8252A"/>
    <w:rsid w:val="00D874A2"/>
    <w:rsid w:val="00D92C71"/>
    <w:rsid w:val="00D92EDF"/>
    <w:rsid w:val="00D92FD5"/>
    <w:rsid w:val="00D93F36"/>
    <w:rsid w:val="00D960ED"/>
    <w:rsid w:val="00D975B0"/>
    <w:rsid w:val="00DA1D66"/>
    <w:rsid w:val="00DA3C46"/>
    <w:rsid w:val="00DA7F44"/>
    <w:rsid w:val="00DB0B91"/>
    <w:rsid w:val="00DB0F12"/>
    <w:rsid w:val="00DB441E"/>
    <w:rsid w:val="00DB5802"/>
    <w:rsid w:val="00DC7703"/>
    <w:rsid w:val="00DC7E0F"/>
    <w:rsid w:val="00DD1650"/>
    <w:rsid w:val="00DD2F6E"/>
    <w:rsid w:val="00DD3E05"/>
    <w:rsid w:val="00DD4328"/>
    <w:rsid w:val="00DD56FA"/>
    <w:rsid w:val="00DD5F25"/>
    <w:rsid w:val="00DD7516"/>
    <w:rsid w:val="00DE04C0"/>
    <w:rsid w:val="00DE0D00"/>
    <w:rsid w:val="00DE2031"/>
    <w:rsid w:val="00DE43ED"/>
    <w:rsid w:val="00DF35C6"/>
    <w:rsid w:val="00DF7FF4"/>
    <w:rsid w:val="00E00AE1"/>
    <w:rsid w:val="00E01EDB"/>
    <w:rsid w:val="00E020BD"/>
    <w:rsid w:val="00E06FAA"/>
    <w:rsid w:val="00E071A8"/>
    <w:rsid w:val="00E0778D"/>
    <w:rsid w:val="00E13752"/>
    <w:rsid w:val="00E17CFC"/>
    <w:rsid w:val="00E20F6D"/>
    <w:rsid w:val="00E236EC"/>
    <w:rsid w:val="00E24E13"/>
    <w:rsid w:val="00E27ABE"/>
    <w:rsid w:val="00E305AA"/>
    <w:rsid w:val="00E30C85"/>
    <w:rsid w:val="00E33270"/>
    <w:rsid w:val="00E33BF4"/>
    <w:rsid w:val="00E33ED9"/>
    <w:rsid w:val="00E379C5"/>
    <w:rsid w:val="00E401F1"/>
    <w:rsid w:val="00E40F01"/>
    <w:rsid w:val="00E4119E"/>
    <w:rsid w:val="00E4303D"/>
    <w:rsid w:val="00E4550B"/>
    <w:rsid w:val="00E470A1"/>
    <w:rsid w:val="00E47201"/>
    <w:rsid w:val="00E47BCB"/>
    <w:rsid w:val="00E53250"/>
    <w:rsid w:val="00E537A3"/>
    <w:rsid w:val="00E55183"/>
    <w:rsid w:val="00E66DEE"/>
    <w:rsid w:val="00E71209"/>
    <w:rsid w:val="00E729D6"/>
    <w:rsid w:val="00E72E58"/>
    <w:rsid w:val="00E73B90"/>
    <w:rsid w:val="00E751A5"/>
    <w:rsid w:val="00E80281"/>
    <w:rsid w:val="00E802D0"/>
    <w:rsid w:val="00E84D66"/>
    <w:rsid w:val="00E869F6"/>
    <w:rsid w:val="00E90045"/>
    <w:rsid w:val="00E90A87"/>
    <w:rsid w:val="00E91D94"/>
    <w:rsid w:val="00E9206C"/>
    <w:rsid w:val="00E949A8"/>
    <w:rsid w:val="00E94B11"/>
    <w:rsid w:val="00E95DD4"/>
    <w:rsid w:val="00EA099E"/>
    <w:rsid w:val="00EA0BD8"/>
    <w:rsid w:val="00EA3AEA"/>
    <w:rsid w:val="00EA4DE2"/>
    <w:rsid w:val="00EA5731"/>
    <w:rsid w:val="00EA5C84"/>
    <w:rsid w:val="00EA795E"/>
    <w:rsid w:val="00EA7FDB"/>
    <w:rsid w:val="00EB05AB"/>
    <w:rsid w:val="00EB4C8D"/>
    <w:rsid w:val="00EB5B0B"/>
    <w:rsid w:val="00EB6566"/>
    <w:rsid w:val="00EB6FF2"/>
    <w:rsid w:val="00EC1361"/>
    <w:rsid w:val="00EC22D6"/>
    <w:rsid w:val="00EC449B"/>
    <w:rsid w:val="00EC66B4"/>
    <w:rsid w:val="00ED4791"/>
    <w:rsid w:val="00ED51F4"/>
    <w:rsid w:val="00ED6708"/>
    <w:rsid w:val="00EE1016"/>
    <w:rsid w:val="00EE4249"/>
    <w:rsid w:val="00EE4932"/>
    <w:rsid w:val="00EE4AD9"/>
    <w:rsid w:val="00EE4EFB"/>
    <w:rsid w:val="00EE75E9"/>
    <w:rsid w:val="00EF25F3"/>
    <w:rsid w:val="00EF302F"/>
    <w:rsid w:val="00EF7D4C"/>
    <w:rsid w:val="00EF7F7E"/>
    <w:rsid w:val="00F079C9"/>
    <w:rsid w:val="00F14A42"/>
    <w:rsid w:val="00F23E15"/>
    <w:rsid w:val="00F26A47"/>
    <w:rsid w:val="00F27842"/>
    <w:rsid w:val="00F36061"/>
    <w:rsid w:val="00F416F7"/>
    <w:rsid w:val="00F41F74"/>
    <w:rsid w:val="00F42661"/>
    <w:rsid w:val="00F43A8D"/>
    <w:rsid w:val="00F44B77"/>
    <w:rsid w:val="00F44BE9"/>
    <w:rsid w:val="00F54793"/>
    <w:rsid w:val="00F55BBC"/>
    <w:rsid w:val="00F61931"/>
    <w:rsid w:val="00F676EB"/>
    <w:rsid w:val="00F70D84"/>
    <w:rsid w:val="00F7177D"/>
    <w:rsid w:val="00F75C60"/>
    <w:rsid w:val="00F83D54"/>
    <w:rsid w:val="00F83DDB"/>
    <w:rsid w:val="00F8422F"/>
    <w:rsid w:val="00F844DA"/>
    <w:rsid w:val="00F84C18"/>
    <w:rsid w:val="00F84F43"/>
    <w:rsid w:val="00F85F11"/>
    <w:rsid w:val="00F86AAD"/>
    <w:rsid w:val="00F86EFE"/>
    <w:rsid w:val="00F90C8A"/>
    <w:rsid w:val="00F929D9"/>
    <w:rsid w:val="00F94DC7"/>
    <w:rsid w:val="00F95D4F"/>
    <w:rsid w:val="00F965BE"/>
    <w:rsid w:val="00F96C84"/>
    <w:rsid w:val="00F9731A"/>
    <w:rsid w:val="00FB27DE"/>
    <w:rsid w:val="00FB4C24"/>
    <w:rsid w:val="00FB5995"/>
    <w:rsid w:val="00FB64DF"/>
    <w:rsid w:val="00FB6C85"/>
    <w:rsid w:val="00FB7F65"/>
    <w:rsid w:val="00FC0F55"/>
    <w:rsid w:val="00FC1BCA"/>
    <w:rsid w:val="00FC7558"/>
    <w:rsid w:val="00FC75CB"/>
    <w:rsid w:val="00FD286E"/>
    <w:rsid w:val="00FD611C"/>
    <w:rsid w:val="00FD6264"/>
    <w:rsid w:val="00FE7705"/>
    <w:rsid w:val="00FE7BC4"/>
    <w:rsid w:val="00FE7F45"/>
    <w:rsid w:val="00FF04BF"/>
    <w:rsid w:val="00FF177D"/>
    <w:rsid w:val="00FF1DE3"/>
    <w:rsid w:val="00FF2A66"/>
    <w:rsid w:val="00FF49B5"/>
    <w:rsid w:val="00FF5424"/>
    <w:rsid w:val="00FF5496"/>
    <w:rsid w:val="00FF5B70"/>
    <w:rsid w:val="00FF5F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693AB"/>
  <w15:docId w15:val="{4F6ABB51-B0DA-4CCB-B96B-0CC3B4D3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6F9"/>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paragraph" w:styleId="1">
    <w:name w:val="heading 1"/>
    <w:basedOn w:val="a"/>
    <w:next w:val="a"/>
    <w:link w:val="10"/>
    <w:qFormat/>
    <w:rsid w:val="001B754D"/>
    <w:pPr>
      <w:keepNext/>
      <w:widowControl/>
      <w:autoSpaceDE/>
      <w:autoSpaceDN/>
      <w:adjustRightInd/>
      <w:spacing w:before="0" w:line="240" w:lineRule="auto"/>
      <w:ind w:firstLine="0"/>
      <w:jc w:val="center"/>
      <w:textAlignment w:val="auto"/>
      <w:outlineLvl w:val="0"/>
    </w:pPr>
    <w:rPr>
      <w:rFonts w:ascii="Times New Roman" w:eastAsia="Times New Roman" w:hAnsi="Times New Roman" w:cs="David"/>
      <w:b/>
      <w:bCs/>
      <w:color w:val="auto"/>
      <w:spacing w:val="0"/>
      <w:sz w:val="24"/>
      <w:szCs w:val="24"/>
      <w:lang w:eastAsia="en-US"/>
    </w:rPr>
  </w:style>
  <w:style w:type="paragraph" w:styleId="2">
    <w:name w:val="heading 2"/>
    <w:basedOn w:val="a"/>
    <w:next w:val="a"/>
    <w:link w:val="20"/>
    <w:uiPriority w:val="9"/>
    <w:semiHidden/>
    <w:unhideWhenUsed/>
    <w:qFormat/>
    <w:rsid w:val="008E17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1B754D"/>
    <w:pPr>
      <w:keepNext/>
      <w:keepLines/>
      <w:widowControl/>
      <w:autoSpaceDE/>
      <w:autoSpaceDN/>
      <w:adjustRightInd/>
      <w:spacing w:before="200" w:line="276" w:lineRule="auto"/>
      <w:ind w:firstLine="0"/>
      <w:jc w:val="left"/>
      <w:textAlignment w:val="auto"/>
      <w:outlineLvl w:val="3"/>
    </w:pPr>
    <w:rPr>
      <w:rFonts w:asciiTheme="majorHAnsi" w:eastAsiaTheme="majorEastAsia" w:hAnsiTheme="majorHAnsi" w:cstheme="majorBidi"/>
      <w:b/>
      <w:bCs/>
      <w:i/>
      <w:iCs/>
      <w:color w:val="4F81BD" w:themeColor="accent1"/>
      <w:spacing w:val="0"/>
      <w:sz w:val="22"/>
      <w:szCs w:val="22"/>
      <w:lang w:eastAsia="en-US"/>
    </w:rPr>
  </w:style>
  <w:style w:type="paragraph" w:styleId="5">
    <w:name w:val="heading 5"/>
    <w:basedOn w:val="a"/>
    <w:next w:val="a"/>
    <w:link w:val="50"/>
    <w:unhideWhenUsed/>
    <w:qFormat/>
    <w:rsid w:val="001B754D"/>
    <w:pPr>
      <w:keepNext/>
      <w:keepLines/>
      <w:widowControl/>
      <w:autoSpaceDE/>
      <w:autoSpaceDN/>
      <w:adjustRightInd/>
      <w:spacing w:before="200" w:line="276" w:lineRule="auto"/>
      <w:ind w:firstLine="0"/>
      <w:jc w:val="left"/>
      <w:textAlignment w:val="auto"/>
      <w:outlineLvl w:val="4"/>
    </w:pPr>
    <w:rPr>
      <w:rFonts w:asciiTheme="majorHAnsi" w:eastAsiaTheme="majorEastAsia" w:hAnsiTheme="majorHAnsi" w:cstheme="majorBidi"/>
      <w:color w:val="243F60" w:themeColor="accent1" w:themeShade="7F"/>
      <w:spacing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Text">
    <w:name w:val="Table Text"/>
    <w:basedOn w:val="a"/>
    <w:rsid w:val="006B06F9"/>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6B06F9"/>
  </w:style>
  <w:style w:type="paragraph" w:customStyle="1" w:styleId="TableBlock">
    <w:name w:val="Table Block"/>
    <w:basedOn w:val="TableText"/>
    <w:rsid w:val="006B06F9"/>
    <w:pPr>
      <w:ind w:right="0"/>
      <w:jc w:val="both"/>
    </w:pPr>
  </w:style>
  <w:style w:type="paragraph" w:customStyle="1" w:styleId="TableHead">
    <w:name w:val="Table Head"/>
    <w:basedOn w:val="TableText"/>
    <w:rsid w:val="006B06F9"/>
    <w:pPr>
      <w:ind w:right="0"/>
      <w:jc w:val="center"/>
    </w:pPr>
    <w:rPr>
      <w:b/>
      <w:bCs/>
    </w:rPr>
  </w:style>
  <w:style w:type="paragraph" w:customStyle="1" w:styleId="HeadMitparsemetBaze">
    <w:name w:val="Head MitparsemetBaze"/>
    <w:basedOn w:val="a"/>
    <w:rsid w:val="006B06F9"/>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6B06F9"/>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sberWriters">
    <w:name w:val="Hesber Writers"/>
    <w:basedOn w:val="Hesber"/>
    <w:rsid w:val="006B06F9"/>
    <w:pPr>
      <w:spacing w:before="120" w:after="6000"/>
      <w:ind w:left="1418" w:firstLine="0"/>
      <w:jc w:val="right"/>
    </w:pPr>
    <w:rPr>
      <w:b/>
      <w:bCs/>
    </w:rPr>
  </w:style>
  <w:style w:type="paragraph" w:customStyle="1" w:styleId="Hesber1st">
    <w:name w:val="Hesber 1st"/>
    <w:basedOn w:val="Hesber"/>
    <w:rsid w:val="006B06F9"/>
    <w:pPr>
      <w:tabs>
        <w:tab w:val="left" w:pos="680"/>
        <w:tab w:val="left" w:pos="1020"/>
      </w:tabs>
      <w:ind w:firstLine="0"/>
    </w:pPr>
  </w:style>
  <w:style w:type="paragraph" w:customStyle="1" w:styleId="HeadDivreiHesber">
    <w:name w:val="Head DivreiHesber"/>
    <w:basedOn w:val="a"/>
    <w:rsid w:val="006B06F9"/>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HeadHatzaotHok4Futer">
    <w:name w:val="Head HatzaotHok4Futer"/>
    <w:basedOn w:val="HeadHatzaotHok"/>
    <w:rsid w:val="006B06F9"/>
    <w:pPr>
      <w:spacing w:before="120" w:after="120"/>
    </w:pPr>
    <w:rPr>
      <w:color w:val="FF0000"/>
      <w:w w:val="80"/>
    </w:rPr>
  </w:style>
  <w:style w:type="paragraph" w:styleId="a3">
    <w:name w:val="endnote text"/>
    <w:basedOn w:val="a"/>
    <w:link w:val="a4"/>
    <w:semiHidden/>
    <w:rsid w:val="006B06F9"/>
    <w:pPr>
      <w:ind w:left="227" w:hanging="227"/>
    </w:pPr>
    <w:rPr>
      <w:sz w:val="14"/>
      <w:szCs w:val="22"/>
    </w:rPr>
  </w:style>
  <w:style w:type="character" w:customStyle="1" w:styleId="a4">
    <w:name w:val="טקסט הערת סיום תו"/>
    <w:basedOn w:val="a0"/>
    <w:link w:val="a3"/>
    <w:semiHidden/>
    <w:rsid w:val="006B06F9"/>
    <w:rPr>
      <w:rFonts w:ascii="Hadasa Roso SL" w:eastAsia="MS Mincho" w:hAnsi="Hadasa Roso SL" w:cs="Hadasa Roso SL"/>
      <w:color w:val="000000"/>
      <w:spacing w:val="1"/>
      <w:sz w:val="14"/>
      <w:lang w:eastAsia="ja-JP"/>
    </w:rPr>
  </w:style>
  <w:style w:type="paragraph" w:customStyle="1" w:styleId="TableInnerSideHeading">
    <w:name w:val="Table InnerSideHeading"/>
    <w:basedOn w:val="TableSideHeading"/>
    <w:rsid w:val="006B06F9"/>
  </w:style>
  <w:style w:type="paragraph" w:customStyle="1" w:styleId="Hesber">
    <w:name w:val="Hesber"/>
    <w:basedOn w:val="a"/>
    <w:rsid w:val="006B06F9"/>
    <w:pPr>
      <w:snapToGrid w:val="0"/>
      <w:spacing w:before="0" w:line="360" w:lineRule="auto"/>
    </w:pPr>
    <w:rPr>
      <w:rFonts w:ascii="Arial" w:eastAsia="Arial Unicode MS" w:hAnsi="Arial" w:cs="David"/>
      <w:snapToGrid w:val="0"/>
      <w:spacing w:val="0"/>
      <w:sz w:val="20"/>
      <w:szCs w:val="26"/>
    </w:rPr>
  </w:style>
  <w:style w:type="paragraph" w:styleId="a5">
    <w:name w:val="footnote text"/>
    <w:basedOn w:val="a"/>
    <w:link w:val="a6"/>
    <w:autoRedefine/>
    <w:semiHidden/>
    <w:rsid w:val="0052277E"/>
    <w:pPr>
      <w:snapToGrid w:val="0"/>
      <w:spacing w:before="0" w:line="240" w:lineRule="auto"/>
      <w:ind w:left="227" w:hanging="227"/>
      <w:jc w:val="left"/>
    </w:pPr>
    <w:rPr>
      <w:rFonts w:ascii="Arial" w:eastAsia="Arial Unicode MS" w:hAnsi="Arial" w:cs="David"/>
      <w:snapToGrid w:val="0"/>
      <w:spacing w:val="0"/>
      <w:sz w:val="14"/>
      <w:szCs w:val="20"/>
    </w:rPr>
  </w:style>
  <w:style w:type="character" w:customStyle="1" w:styleId="a6">
    <w:name w:val="טקסט הערת שוליים תו"/>
    <w:basedOn w:val="a0"/>
    <w:link w:val="a5"/>
    <w:semiHidden/>
    <w:rsid w:val="0052277E"/>
    <w:rPr>
      <w:rFonts w:ascii="Arial" w:eastAsia="Arial Unicode MS" w:hAnsi="Arial" w:cs="David"/>
      <w:snapToGrid w:val="0"/>
      <w:color w:val="000000"/>
      <w:sz w:val="14"/>
      <w:szCs w:val="20"/>
      <w:lang w:eastAsia="ja-JP"/>
    </w:rPr>
  </w:style>
  <w:style w:type="character" w:styleId="a7">
    <w:name w:val="footnote reference"/>
    <w:aliases w:val="Footnote Reference"/>
    <w:basedOn w:val="a0"/>
    <w:uiPriority w:val="99"/>
    <w:rsid w:val="006B06F9"/>
    <w:rPr>
      <w:vertAlign w:val="superscript"/>
    </w:rPr>
  </w:style>
  <w:style w:type="paragraph" w:customStyle="1" w:styleId="HesberHeading">
    <w:name w:val="Hesber Heading"/>
    <w:basedOn w:val="Hesber"/>
    <w:rsid w:val="006B06F9"/>
    <w:pPr>
      <w:tabs>
        <w:tab w:val="left" w:pos="624"/>
        <w:tab w:val="left" w:pos="1247"/>
      </w:tabs>
      <w:ind w:firstLine="0"/>
    </w:pPr>
    <w:rPr>
      <w:b/>
      <w:bCs/>
    </w:rPr>
  </w:style>
  <w:style w:type="character" w:styleId="a8">
    <w:name w:val="endnote reference"/>
    <w:basedOn w:val="a0"/>
    <w:semiHidden/>
    <w:rsid w:val="006B06F9"/>
    <w:rPr>
      <w:vertAlign w:val="superscript"/>
    </w:rPr>
  </w:style>
  <w:style w:type="paragraph" w:customStyle="1" w:styleId="TableBlockOutdent">
    <w:name w:val="Table BlockOutdent"/>
    <w:basedOn w:val="TableBlock"/>
    <w:rsid w:val="006B06F9"/>
    <w:pPr>
      <w:ind w:left="624" w:hanging="624"/>
    </w:pPr>
  </w:style>
  <w:style w:type="paragraph" w:styleId="a9">
    <w:name w:val="header"/>
    <w:basedOn w:val="a"/>
    <w:link w:val="aa"/>
    <w:rsid w:val="006B06F9"/>
    <w:pPr>
      <w:tabs>
        <w:tab w:val="center" w:pos="4153"/>
        <w:tab w:val="right" w:pos="8306"/>
      </w:tabs>
    </w:pPr>
  </w:style>
  <w:style w:type="character" w:customStyle="1" w:styleId="aa">
    <w:name w:val="כותרת עליונה תו"/>
    <w:basedOn w:val="a0"/>
    <w:link w:val="a9"/>
    <w:rsid w:val="006B06F9"/>
    <w:rPr>
      <w:rFonts w:ascii="Hadasa Roso SL" w:eastAsia="MS Mincho" w:hAnsi="Hadasa Roso SL" w:cs="Hadasa Roso SL"/>
      <w:color w:val="000000"/>
      <w:spacing w:val="1"/>
      <w:sz w:val="17"/>
      <w:szCs w:val="17"/>
      <w:lang w:eastAsia="ja-JP"/>
    </w:rPr>
  </w:style>
  <w:style w:type="paragraph" w:styleId="ab">
    <w:name w:val="footer"/>
    <w:basedOn w:val="a"/>
    <w:link w:val="ac"/>
    <w:uiPriority w:val="99"/>
    <w:rsid w:val="006B06F9"/>
    <w:pPr>
      <w:tabs>
        <w:tab w:val="center" w:pos="4153"/>
        <w:tab w:val="right" w:pos="8306"/>
      </w:tabs>
    </w:pPr>
  </w:style>
  <w:style w:type="character" w:customStyle="1" w:styleId="ac">
    <w:name w:val="כותרת תחתונה תו"/>
    <w:basedOn w:val="a0"/>
    <w:link w:val="ab"/>
    <w:uiPriority w:val="99"/>
    <w:rsid w:val="006B06F9"/>
    <w:rPr>
      <w:rFonts w:ascii="Hadasa Roso SL" w:eastAsia="MS Mincho" w:hAnsi="Hadasa Roso SL" w:cs="Hadasa Roso SL"/>
      <w:color w:val="000000"/>
      <w:spacing w:val="1"/>
      <w:sz w:val="17"/>
      <w:szCs w:val="17"/>
      <w:lang w:eastAsia="ja-JP"/>
    </w:rPr>
  </w:style>
  <w:style w:type="character" w:styleId="ad">
    <w:name w:val="page number"/>
    <w:basedOn w:val="a0"/>
    <w:rsid w:val="006B06F9"/>
  </w:style>
  <w:style w:type="paragraph" w:customStyle="1" w:styleId="Cover1-Reshumot">
    <w:name w:val="Cover 1-Reshumot"/>
    <w:basedOn w:val="a"/>
    <w:rsid w:val="006B06F9"/>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6B06F9"/>
    <w:rPr>
      <w:sz w:val="36"/>
      <w:szCs w:val="52"/>
    </w:rPr>
  </w:style>
  <w:style w:type="paragraph" w:customStyle="1" w:styleId="Cover3-Haknesset">
    <w:name w:val="Cover 3-Haknesset"/>
    <w:basedOn w:val="Cover1-Reshumot"/>
    <w:rsid w:val="006B06F9"/>
    <w:rPr>
      <w:b/>
      <w:bCs/>
      <w:spacing w:val="60"/>
    </w:rPr>
  </w:style>
  <w:style w:type="paragraph" w:customStyle="1" w:styleId="Cover4-Date">
    <w:name w:val="Cover 4-Date"/>
    <w:basedOn w:val="a"/>
    <w:rsid w:val="006B06F9"/>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6B06F9"/>
    <w:pPr>
      <w:snapToGrid w:val="0"/>
      <w:spacing w:before="0" w:line="360" w:lineRule="auto"/>
      <w:jc w:val="left"/>
    </w:pPr>
    <w:rPr>
      <w:rFonts w:ascii="Arial" w:eastAsia="Arial Unicode MS" w:hAnsi="Arial" w:cs="David"/>
      <w:snapToGrid w:val="0"/>
      <w:spacing w:val="0"/>
      <w:sz w:val="20"/>
      <w:szCs w:val="26"/>
    </w:rPr>
  </w:style>
  <w:style w:type="character" w:customStyle="1" w:styleId="default">
    <w:name w:val="default"/>
    <w:rsid w:val="000B567F"/>
    <w:rPr>
      <w:rFonts w:ascii="Times New Roman" w:hAnsi="Times New Roman" w:cs="Times New Roman"/>
      <w:sz w:val="26"/>
      <w:szCs w:val="26"/>
    </w:rPr>
  </w:style>
  <w:style w:type="paragraph" w:customStyle="1" w:styleId="P00">
    <w:name w:val="P00"/>
    <w:rsid w:val="000B567F"/>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styleId="21">
    <w:name w:val="Body Text 2"/>
    <w:basedOn w:val="a"/>
    <w:link w:val="22"/>
    <w:rsid w:val="000B567F"/>
    <w:pPr>
      <w:widowControl/>
      <w:autoSpaceDE/>
      <w:autoSpaceDN/>
      <w:adjustRightInd/>
      <w:spacing w:before="0" w:line="240" w:lineRule="auto"/>
      <w:ind w:firstLine="0"/>
      <w:textAlignment w:val="auto"/>
    </w:pPr>
    <w:rPr>
      <w:rFonts w:ascii="Times New Roman" w:eastAsia="Times New Roman" w:hAnsi="Times New Roman" w:cs="David"/>
      <w:color w:val="auto"/>
      <w:spacing w:val="0"/>
      <w:sz w:val="24"/>
      <w:szCs w:val="24"/>
      <w:lang w:eastAsia="en-US"/>
    </w:rPr>
  </w:style>
  <w:style w:type="character" w:customStyle="1" w:styleId="22">
    <w:name w:val="גוף טקסט 2 תו"/>
    <w:basedOn w:val="a0"/>
    <w:link w:val="21"/>
    <w:rsid w:val="000B567F"/>
    <w:rPr>
      <w:rFonts w:ascii="Times New Roman" w:eastAsia="Times New Roman" w:hAnsi="Times New Roman" w:cs="David"/>
      <w:sz w:val="24"/>
      <w:szCs w:val="24"/>
    </w:rPr>
  </w:style>
  <w:style w:type="character" w:customStyle="1" w:styleId="10">
    <w:name w:val="כותרת 1 תו"/>
    <w:basedOn w:val="a0"/>
    <w:link w:val="1"/>
    <w:rsid w:val="001B754D"/>
    <w:rPr>
      <w:rFonts w:ascii="Times New Roman" w:eastAsia="Times New Roman" w:hAnsi="Times New Roman" w:cs="David"/>
      <w:b/>
      <w:bCs/>
      <w:sz w:val="24"/>
      <w:szCs w:val="24"/>
    </w:rPr>
  </w:style>
  <w:style w:type="character" w:customStyle="1" w:styleId="40">
    <w:name w:val="כותרת 4 תו"/>
    <w:basedOn w:val="a0"/>
    <w:link w:val="4"/>
    <w:uiPriority w:val="9"/>
    <w:semiHidden/>
    <w:rsid w:val="001B754D"/>
    <w:rPr>
      <w:rFonts w:asciiTheme="majorHAnsi" w:eastAsiaTheme="majorEastAsia" w:hAnsiTheme="majorHAnsi" w:cstheme="majorBidi"/>
      <w:b/>
      <w:bCs/>
      <w:i/>
      <w:iCs/>
      <w:color w:val="4F81BD" w:themeColor="accent1"/>
    </w:rPr>
  </w:style>
  <w:style w:type="character" w:customStyle="1" w:styleId="50">
    <w:name w:val="כותרת 5 תו"/>
    <w:basedOn w:val="a0"/>
    <w:link w:val="5"/>
    <w:uiPriority w:val="9"/>
    <w:semiHidden/>
    <w:rsid w:val="001B754D"/>
    <w:rPr>
      <w:rFonts w:asciiTheme="majorHAnsi" w:eastAsiaTheme="majorEastAsia" w:hAnsiTheme="majorHAnsi" w:cstheme="majorBidi"/>
      <w:color w:val="243F60" w:themeColor="accent1" w:themeShade="7F"/>
    </w:rPr>
  </w:style>
  <w:style w:type="paragraph" w:styleId="ae">
    <w:name w:val="List Paragraph"/>
    <w:basedOn w:val="a"/>
    <w:uiPriority w:val="34"/>
    <w:qFormat/>
    <w:rsid w:val="001B754D"/>
    <w:pPr>
      <w:widowControl/>
      <w:autoSpaceDE/>
      <w:autoSpaceDN/>
      <w:adjustRightInd/>
      <w:spacing w:before="0" w:after="200" w:line="276" w:lineRule="auto"/>
      <w:ind w:left="720" w:firstLine="0"/>
      <w:contextualSpacing/>
      <w:jc w:val="left"/>
      <w:textAlignment w:val="auto"/>
    </w:pPr>
    <w:rPr>
      <w:rFonts w:asciiTheme="minorHAnsi" w:eastAsiaTheme="minorHAnsi" w:hAnsiTheme="minorHAnsi" w:cstheme="minorBidi"/>
      <w:color w:val="auto"/>
      <w:spacing w:val="0"/>
      <w:sz w:val="22"/>
      <w:szCs w:val="22"/>
      <w:lang w:eastAsia="en-US"/>
    </w:rPr>
  </w:style>
  <w:style w:type="paragraph" w:customStyle="1" w:styleId="P22">
    <w:name w:val="P22"/>
    <w:basedOn w:val="P00"/>
    <w:rsid w:val="001B754D"/>
    <w:pPr>
      <w:tabs>
        <w:tab w:val="clear" w:pos="624"/>
        <w:tab w:val="clear" w:pos="1021"/>
      </w:tabs>
      <w:ind w:right="1021"/>
    </w:pPr>
  </w:style>
  <w:style w:type="paragraph" w:styleId="af">
    <w:name w:val="Balloon Text"/>
    <w:basedOn w:val="a"/>
    <w:link w:val="af0"/>
    <w:uiPriority w:val="99"/>
    <w:semiHidden/>
    <w:unhideWhenUsed/>
    <w:rsid w:val="00EC449B"/>
    <w:pPr>
      <w:spacing w:before="0" w:line="240" w:lineRule="auto"/>
    </w:pPr>
    <w:rPr>
      <w:rFonts w:ascii="Tahoma" w:hAnsi="Tahoma" w:cs="Tahoma"/>
      <w:sz w:val="16"/>
      <w:szCs w:val="16"/>
    </w:rPr>
  </w:style>
  <w:style w:type="character" w:customStyle="1" w:styleId="af0">
    <w:name w:val="טקסט בלונים תו"/>
    <w:basedOn w:val="a0"/>
    <w:link w:val="af"/>
    <w:uiPriority w:val="99"/>
    <w:semiHidden/>
    <w:rsid w:val="00EC449B"/>
    <w:rPr>
      <w:rFonts w:ascii="Tahoma" w:eastAsia="MS Mincho" w:hAnsi="Tahoma" w:cs="Tahoma"/>
      <w:color w:val="000000"/>
      <w:spacing w:val="1"/>
      <w:sz w:val="16"/>
      <w:szCs w:val="16"/>
      <w:lang w:eastAsia="ja-JP"/>
    </w:rPr>
  </w:style>
  <w:style w:type="character" w:customStyle="1" w:styleId="apple-converted-space">
    <w:name w:val="apple-converted-space"/>
    <w:basedOn w:val="a0"/>
    <w:rsid w:val="00E33ED9"/>
  </w:style>
  <w:style w:type="character" w:styleId="af1">
    <w:name w:val="annotation reference"/>
    <w:basedOn w:val="a0"/>
    <w:uiPriority w:val="99"/>
    <w:unhideWhenUsed/>
    <w:rsid w:val="00A162F8"/>
    <w:rPr>
      <w:sz w:val="16"/>
      <w:szCs w:val="16"/>
    </w:rPr>
  </w:style>
  <w:style w:type="paragraph" w:styleId="af2">
    <w:name w:val="annotation text"/>
    <w:basedOn w:val="a"/>
    <w:link w:val="af3"/>
    <w:uiPriority w:val="99"/>
    <w:unhideWhenUsed/>
    <w:rsid w:val="00A162F8"/>
    <w:pPr>
      <w:spacing w:line="240" w:lineRule="auto"/>
    </w:pPr>
    <w:rPr>
      <w:sz w:val="20"/>
      <w:szCs w:val="20"/>
    </w:rPr>
  </w:style>
  <w:style w:type="character" w:customStyle="1" w:styleId="af3">
    <w:name w:val="טקסט הערה תו"/>
    <w:basedOn w:val="a0"/>
    <w:link w:val="af2"/>
    <w:uiPriority w:val="99"/>
    <w:rsid w:val="00A162F8"/>
    <w:rPr>
      <w:rFonts w:ascii="Hadasa Roso SL" w:eastAsia="MS Mincho" w:hAnsi="Hadasa Roso SL" w:cs="Hadasa Roso SL"/>
      <w:color w:val="000000"/>
      <w:spacing w:val="1"/>
      <w:sz w:val="20"/>
      <w:szCs w:val="20"/>
      <w:lang w:eastAsia="ja-JP"/>
    </w:rPr>
  </w:style>
  <w:style w:type="paragraph" w:styleId="af4">
    <w:name w:val="annotation subject"/>
    <w:basedOn w:val="af2"/>
    <w:next w:val="af2"/>
    <w:link w:val="af5"/>
    <w:uiPriority w:val="99"/>
    <w:semiHidden/>
    <w:unhideWhenUsed/>
    <w:rsid w:val="00A162F8"/>
    <w:rPr>
      <w:b/>
      <w:bCs/>
    </w:rPr>
  </w:style>
  <w:style w:type="character" w:customStyle="1" w:styleId="af5">
    <w:name w:val="נושא הערה תו"/>
    <w:basedOn w:val="af3"/>
    <w:link w:val="af4"/>
    <w:uiPriority w:val="99"/>
    <w:semiHidden/>
    <w:rsid w:val="00A162F8"/>
    <w:rPr>
      <w:rFonts w:ascii="Hadasa Roso SL" w:eastAsia="MS Mincho" w:hAnsi="Hadasa Roso SL" w:cs="Hadasa Roso SL"/>
      <w:b/>
      <w:bCs/>
      <w:color w:val="000000"/>
      <w:spacing w:val="1"/>
      <w:sz w:val="20"/>
      <w:szCs w:val="20"/>
      <w:lang w:eastAsia="ja-JP"/>
    </w:rPr>
  </w:style>
  <w:style w:type="paragraph" w:styleId="af6">
    <w:name w:val="Revision"/>
    <w:hidden/>
    <w:uiPriority w:val="99"/>
    <w:semiHidden/>
    <w:rsid w:val="00A162F8"/>
    <w:pPr>
      <w:spacing w:after="0" w:line="240" w:lineRule="auto"/>
    </w:pPr>
    <w:rPr>
      <w:rFonts w:ascii="Hadasa Roso SL" w:eastAsia="MS Mincho" w:hAnsi="Hadasa Roso SL" w:cs="Hadasa Roso SL"/>
      <w:color w:val="000000"/>
      <w:spacing w:val="1"/>
      <w:sz w:val="17"/>
      <w:szCs w:val="17"/>
      <w:lang w:eastAsia="ja-JP"/>
    </w:rPr>
  </w:style>
  <w:style w:type="paragraph" w:customStyle="1" w:styleId="big-header">
    <w:name w:val="big-header"/>
    <w:basedOn w:val="a"/>
    <w:rsid w:val="006F416F"/>
    <w:pPr>
      <w:keepNext/>
      <w:keepLines/>
      <w:tabs>
        <w:tab w:val="left" w:pos="624"/>
        <w:tab w:val="left" w:pos="1021"/>
        <w:tab w:val="left" w:pos="1474"/>
        <w:tab w:val="left" w:pos="1928"/>
        <w:tab w:val="left" w:pos="2381"/>
        <w:tab w:val="left" w:pos="2835"/>
      </w:tabs>
      <w:suppressAutoHyphens/>
      <w:adjustRightInd/>
      <w:spacing w:before="440" w:after="120" w:line="240" w:lineRule="auto"/>
      <w:ind w:left="2835" w:firstLine="0"/>
      <w:jc w:val="center"/>
      <w:textAlignment w:val="auto"/>
    </w:pPr>
    <w:rPr>
      <w:rFonts w:ascii="Times New Roman" w:eastAsia="Times New Roman" w:hAnsi="Times New Roman" w:cs="Times New Roman"/>
      <w:noProof/>
      <w:color w:val="auto"/>
      <w:spacing w:val="0"/>
      <w:sz w:val="20"/>
      <w:szCs w:val="32"/>
      <w:lang w:eastAsia="he-IL"/>
    </w:rPr>
  </w:style>
  <w:style w:type="character" w:customStyle="1" w:styleId="20">
    <w:name w:val="כותרת 2 תו"/>
    <w:basedOn w:val="a0"/>
    <w:link w:val="2"/>
    <w:uiPriority w:val="9"/>
    <w:semiHidden/>
    <w:rsid w:val="008E1703"/>
    <w:rPr>
      <w:rFonts w:asciiTheme="majorHAnsi" w:eastAsiaTheme="majorEastAsia" w:hAnsiTheme="majorHAnsi" w:cstheme="majorBidi"/>
      <w:color w:val="365F91" w:themeColor="accent1" w:themeShade="BF"/>
      <w:spacing w:val="1"/>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0393">
      <w:bodyDiv w:val="1"/>
      <w:marLeft w:val="0"/>
      <w:marRight w:val="0"/>
      <w:marTop w:val="0"/>
      <w:marBottom w:val="0"/>
      <w:divBdr>
        <w:top w:val="none" w:sz="0" w:space="0" w:color="auto"/>
        <w:left w:val="none" w:sz="0" w:space="0" w:color="auto"/>
        <w:bottom w:val="none" w:sz="0" w:space="0" w:color="auto"/>
        <w:right w:val="none" w:sz="0" w:space="0" w:color="auto"/>
      </w:divBdr>
    </w:div>
    <w:div w:id="235215464">
      <w:bodyDiv w:val="1"/>
      <w:marLeft w:val="0"/>
      <w:marRight w:val="0"/>
      <w:marTop w:val="0"/>
      <w:marBottom w:val="0"/>
      <w:divBdr>
        <w:top w:val="none" w:sz="0" w:space="0" w:color="auto"/>
        <w:left w:val="none" w:sz="0" w:space="0" w:color="auto"/>
        <w:bottom w:val="none" w:sz="0" w:space="0" w:color="auto"/>
        <w:right w:val="none" w:sz="0" w:space="0" w:color="auto"/>
      </w:divBdr>
    </w:div>
    <w:div w:id="325326444">
      <w:bodyDiv w:val="1"/>
      <w:marLeft w:val="0"/>
      <w:marRight w:val="0"/>
      <w:marTop w:val="0"/>
      <w:marBottom w:val="0"/>
      <w:divBdr>
        <w:top w:val="none" w:sz="0" w:space="0" w:color="auto"/>
        <w:left w:val="none" w:sz="0" w:space="0" w:color="auto"/>
        <w:bottom w:val="none" w:sz="0" w:space="0" w:color="auto"/>
        <w:right w:val="none" w:sz="0" w:space="0" w:color="auto"/>
      </w:divBdr>
    </w:div>
    <w:div w:id="410011942">
      <w:bodyDiv w:val="1"/>
      <w:marLeft w:val="0"/>
      <w:marRight w:val="0"/>
      <w:marTop w:val="0"/>
      <w:marBottom w:val="0"/>
      <w:divBdr>
        <w:top w:val="none" w:sz="0" w:space="0" w:color="auto"/>
        <w:left w:val="none" w:sz="0" w:space="0" w:color="auto"/>
        <w:bottom w:val="none" w:sz="0" w:space="0" w:color="auto"/>
        <w:right w:val="none" w:sz="0" w:space="0" w:color="auto"/>
      </w:divBdr>
    </w:div>
    <w:div w:id="488208369">
      <w:bodyDiv w:val="1"/>
      <w:marLeft w:val="0"/>
      <w:marRight w:val="0"/>
      <w:marTop w:val="0"/>
      <w:marBottom w:val="0"/>
      <w:divBdr>
        <w:top w:val="none" w:sz="0" w:space="0" w:color="auto"/>
        <w:left w:val="none" w:sz="0" w:space="0" w:color="auto"/>
        <w:bottom w:val="none" w:sz="0" w:space="0" w:color="auto"/>
        <w:right w:val="none" w:sz="0" w:space="0" w:color="auto"/>
      </w:divBdr>
    </w:div>
    <w:div w:id="952713315">
      <w:bodyDiv w:val="1"/>
      <w:marLeft w:val="0"/>
      <w:marRight w:val="0"/>
      <w:marTop w:val="0"/>
      <w:marBottom w:val="0"/>
      <w:divBdr>
        <w:top w:val="none" w:sz="0" w:space="0" w:color="auto"/>
        <w:left w:val="none" w:sz="0" w:space="0" w:color="auto"/>
        <w:bottom w:val="none" w:sz="0" w:space="0" w:color="auto"/>
        <w:right w:val="none" w:sz="0" w:space="0" w:color="auto"/>
      </w:divBdr>
    </w:div>
    <w:div w:id="1055348058">
      <w:bodyDiv w:val="1"/>
      <w:marLeft w:val="0"/>
      <w:marRight w:val="0"/>
      <w:marTop w:val="0"/>
      <w:marBottom w:val="0"/>
      <w:divBdr>
        <w:top w:val="none" w:sz="0" w:space="0" w:color="auto"/>
        <w:left w:val="none" w:sz="0" w:space="0" w:color="auto"/>
        <w:bottom w:val="none" w:sz="0" w:space="0" w:color="auto"/>
        <w:right w:val="none" w:sz="0" w:space="0" w:color="auto"/>
      </w:divBdr>
    </w:div>
    <w:div w:id="1103262490">
      <w:bodyDiv w:val="1"/>
      <w:marLeft w:val="0"/>
      <w:marRight w:val="0"/>
      <w:marTop w:val="0"/>
      <w:marBottom w:val="0"/>
      <w:divBdr>
        <w:top w:val="none" w:sz="0" w:space="0" w:color="auto"/>
        <w:left w:val="none" w:sz="0" w:space="0" w:color="auto"/>
        <w:bottom w:val="none" w:sz="0" w:space="0" w:color="auto"/>
        <w:right w:val="none" w:sz="0" w:space="0" w:color="auto"/>
      </w:divBdr>
    </w:div>
    <w:div w:id="1189218887">
      <w:bodyDiv w:val="1"/>
      <w:marLeft w:val="0"/>
      <w:marRight w:val="0"/>
      <w:marTop w:val="0"/>
      <w:marBottom w:val="0"/>
      <w:divBdr>
        <w:top w:val="none" w:sz="0" w:space="0" w:color="auto"/>
        <w:left w:val="none" w:sz="0" w:space="0" w:color="auto"/>
        <w:bottom w:val="none" w:sz="0" w:space="0" w:color="auto"/>
        <w:right w:val="none" w:sz="0" w:space="0" w:color="auto"/>
      </w:divBdr>
    </w:div>
    <w:div w:id="1247960102">
      <w:bodyDiv w:val="1"/>
      <w:marLeft w:val="0"/>
      <w:marRight w:val="0"/>
      <w:marTop w:val="0"/>
      <w:marBottom w:val="0"/>
      <w:divBdr>
        <w:top w:val="none" w:sz="0" w:space="0" w:color="auto"/>
        <w:left w:val="none" w:sz="0" w:space="0" w:color="auto"/>
        <w:bottom w:val="none" w:sz="0" w:space="0" w:color="auto"/>
        <w:right w:val="none" w:sz="0" w:space="0" w:color="auto"/>
      </w:divBdr>
    </w:div>
    <w:div w:id="1448501972">
      <w:bodyDiv w:val="1"/>
      <w:marLeft w:val="0"/>
      <w:marRight w:val="0"/>
      <w:marTop w:val="0"/>
      <w:marBottom w:val="0"/>
      <w:divBdr>
        <w:top w:val="none" w:sz="0" w:space="0" w:color="auto"/>
        <w:left w:val="none" w:sz="0" w:space="0" w:color="auto"/>
        <w:bottom w:val="none" w:sz="0" w:space="0" w:color="auto"/>
        <w:right w:val="none" w:sz="0" w:space="0" w:color="auto"/>
      </w:divBdr>
    </w:div>
    <w:div w:id="1479372964">
      <w:bodyDiv w:val="1"/>
      <w:marLeft w:val="0"/>
      <w:marRight w:val="0"/>
      <w:marTop w:val="0"/>
      <w:marBottom w:val="0"/>
      <w:divBdr>
        <w:top w:val="none" w:sz="0" w:space="0" w:color="auto"/>
        <w:left w:val="none" w:sz="0" w:space="0" w:color="auto"/>
        <w:bottom w:val="none" w:sz="0" w:space="0" w:color="auto"/>
        <w:right w:val="none" w:sz="0" w:space="0" w:color="auto"/>
      </w:divBdr>
    </w:div>
    <w:div w:id="1574270232">
      <w:bodyDiv w:val="1"/>
      <w:marLeft w:val="0"/>
      <w:marRight w:val="0"/>
      <w:marTop w:val="0"/>
      <w:marBottom w:val="0"/>
      <w:divBdr>
        <w:top w:val="none" w:sz="0" w:space="0" w:color="auto"/>
        <w:left w:val="none" w:sz="0" w:space="0" w:color="auto"/>
        <w:bottom w:val="none" w:sz="0" w:space="0" w:color="auto"/>
        <w:right w:val="none" w:sz="0" w:space="0" w:color="auto"/>
      </w:divBdr>
    </w:div>
    <w:div w:id="1626081258">
      <w:bodyDiv w:val="1"/>
      <w:marLeft w:val="0"/>
      <w:marRight w:val="0"/>
      <w:marTop w:val="0"/>
      <w:marBottom w:val="0"/>
      <w:divBdr>
        <w:top w:val="none" w:sz="0" w:space="0" w:color="auto"/>
        <w:left w:val="none" w:sz="0" w:space="0" w:color="auto"/>
        <w:bottom w:val="none" w:sz="0" w:space="0" w:color="auto"/>
        <w:right w:val="none" w:sz="0" w:space="0" w:color="auto"/>
      </w:divBdr>
    </w:div>
    <w:div w:id="19176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91CE65-9174-45A2-8A68-A7DEB336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3859</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MOJ</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xadmin</dc:creator>
  <cp:keywords/>
  <dc:description/>
  <cp:lastModifiedBy>Merav Kaplan - Chamber Of Commerce</cp:lastModifiedBy>
  <cp:revision>2</cp:revision>
  <cp:lastPrinted>2020-03-01T12:16:00Z</cp:lastPrinted>
  <dcterms:created xsi:type="dcterms:W3CDTF">2020-10-22T13:24:00Z</dcterms:created>
  <dcterms:modified xsi:type="dcterms:W3CDTF">2020-10-22T13:24:00Z</dcterms:modified>
</cp:coreProperties>
</file>