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AD" w:rsidRPr="00D475AD" w:rsidRDefault="008431AE" w:rsidP="00D475AD">
      <w:r w:rsidRPr="00D475AD">
        <w:rPr>
          <w:rFonts w:hint="cs"/>
          <w:rtl/>
        </w:rPr>
        <w:t xml:space="preserve"> </w:t>
      </w:r>
    </w:p>
    <w:tbl>
      <w:tblPr>
        <w:tblStyle w:val="a9"/>
        <w:bidiVisual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3275"/>
        <w:gridCol w:w="2689"/>
      </w:tblGrid>
      <w:tr w:rsidR="00D475AD" w:rsidTr="00837162">
        <w:trPr>
          <w:jc w:val="center"/>
        </w:trPr>
        <w:tc>
          <w:tcPr>
            <w:tcW w:w="2381" w:type="dxa"/>
          </w:tcPr>
          <w:p w:rsidR="00D475AD" w:rsidRDefault="00D475AD" w:rsidP="00837162">
            <w:pPr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3D679C17" wp14:editId="4ADBE264">
                  <wp:extent cx="1516663" cy="760284"/>
                  <wp:effectExtent l="0" t="0" r="7620" b="1905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175" cy="80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</w:tcPr>
          <w:p w:rsidR="00D475AD" w:rsidRDefault="00D475AD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63360" behindDoc="1" locked="0" layoutInCell="1" allowOverlap="1" wp14:anchorId="7088ED78" wp14:editId="500AF7F3">
                  <wp:simplePos x="0" y="0"/>
                  <wp:positionH relativeFrom="column">
                    <wp:posOffset>-68351</wp:posOffset>
                  </wp:positionH>
                  <wp:positionV relativeFrom="paragraph">
                    <wp:posOffset>0</wp:posOffset>
                  </wp:positionV>
                  <wp:extent cx="1858060" cy="824040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1260" y="20984"/>
                      <wp:lineTo x="21260" y="0"/>
                      <wp:lineTo x="0" y="0"/>
                    </wp:wrapPolygon>
                  </wp:wrapTight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איגוד-עברית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50" cy="82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5" w:type="dxa"/>
          </w:tcPr>
          <w:p w:rsidR="00D475AD" w:rsidRDefault="00D475AD" w:rsidP="00837162">
            <w:pPr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FD6F9B9" wp14:editId="0536FCE3">
                  <wp:simplePos x="0" y="0"/>
                  <wp:positionH relativeFrom="column">
                    <wp:posOffset>273024</wp:posOffset>
                  </wp:positionH>
                  <wp:positionV relativeFrom="paragraph">
                    <wp:posOffset>138989</wp:posOffset>
                  </wp:positionV>
                  <wp:extent cx="1133856" cy="596277"/>
                  <wp:effectExtent l="0" t="0" r="9525" b="0"/>
                  <wp:wrapTight wrapText="bothSides">
                    <wp:wrapPolygon edited="0">
                      <wp:start x="0" y="0"/>
                      <wp:lineTo x="0" y="20703"/>
                      <wp:lineTo x="21418" y="20703"/>
                      <wp:lineTo x="21418" y="0"/>
                      <wp:lineTo x="0" y="0"/>
                    </wp:wrapPolygon>
                  </wp:wrapTight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6" cy="596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75AD" w:rsidRPr="008431AE" w:rsidRDefault="00D475AD" w:rsidP="00D475AD">
      <w:pPr>
        <w:jc w:val="right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5 מרץ 2020</w:t>
      </w:r>
    </w:p>
    <w:p w:rsidR="00D475AD" w:rsidRPr="008431AE" w:rsidRDefault="00D475AD" w:rsidP="00D475AD">
      <w:pPr>
        <w:jc w:val="right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1242949</w:t>
      </w:r>
    </w:p>
    <w:p w:rsidR="00D475AD" w:rsidRPr="008431AE" w:rsidRDefault="00D475AD" w:rsidP="00D475AD">
      <w:pPr>
        <w:jc w:val="right"/>
        <w:rPr>
          <w:sz w:val="32"/>
          <w:szCs w:val="32"/>
          <w:rtl/>
        </w:rPr>
      </w:pPr>
    </w:p>
    <w:p w:rsidR="00D475AD" w:rsidRPr="008431AE" w:rsidRDefault="00D475AD" w:rsidP="00D475AD">
      <w:pPr>
        <w:jc w:val="right"/>
        <w:rPr>
          <w:sz w:val="32"/>
          <w:szCs w:val="32"/>
          <w:rtl/>
        </w:rPr>
      </w:pPr>
    </w:p>
    <w:p w:rsidR="00D475AD" w:rsidRDefault="00D475AD" w:rsidP="00D475AD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דחוף ביותר</w:t>
      </w:r>
    </w:p>
    <w:p w:rsidR="00D475AD" w:rsidRPr="008431AE" w:rsidRDefault="00D475AD" w:rsidP="00D475AD">
      <w:pPr>
        <w:jc w:val="center"/>
        <w:rPr>
          <w:sz w:val="32"/>
          <w:szCs w:val="32"/>
          <w:u w:val="single"/>
          <w:rtl/>
        </w:rPr>
      </w:pPr>
      <w:r w:rsidRPr="008431AE">
        <w:rPr>
          <w:rFonts w:hint="cs"/>
          <w:sz w:val="32"/>
          <w:szCs w:val="32"/>
          <w:u w:val="single"/>
          <w:rtl/>
        </w:rPr>
        <w:t>לתשומת לב אישית</w:t>
      </w: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 xml:space="preserve">לכבוד </w:t>
      </w: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 xml:space="preserve">מר משה כחלון </w:t>
      </w: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 xml:space="preserve">שר האוצר </w:t>
      </w: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 xml:space="preserve">משרד האוצר </w:t>
      </w:r>
    </w:p>
    <w:p w:rsidR="00D475AD" w:rsidRPr="008431AE" w:rsidRDefault="00D475AD" w:rsidP="00D475AD">
      <w:pPr>
        <w:rPr>
          <w:sz w:val="32"/>
          <w:szCs w:val="32"/>
          <w:u w:val="single"/>
          <w:rtl/>
        </w:rPr>
      </w:pPr>
      <w:r w:rsidRPr="008431AE">
        <w:rPr>
          <w:rFonts w:hint="cs"/>
          <w:sz w:val="32"/>
          <w:szCs w:val="32"/>
          <w:u w:val="single"/>
          <w:rtl/>
        </w:rPr>
        <w:t xml:space="preserve">ירושלים </w:t>
      </w: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כבודו,</w:t>
      </w: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35796B" w:rsidP="0035796B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הזמ</w:t>
      </w:r>
      <w:r w:rsidR="00D475AD" w:rsidRPr="008431AE">
        <w:rPr>
          <w:rFonts w:hint="cs"/>
          <w:sz w:val="32"/>
          <w:szCs w:val="32"/>
          <w:rtl/>
        </w:rPr>
        <w:t>נו מספק מקומי באון ליין תוסף תזונה.</w:t>
      </w:r>
      <w:r>
        <w:rPr>
          <w:rFonts w:hint="cs"/>
          <w:sz w:val="32"/>
          <w:szCs w:val="32"/>
          <w:rtl/>
        </w:rPr>
        <w:t xml:space="preserve"> </w:t>
      </w:r>
      <w:r w:rsidR="00D475AD" w:rsidRPr="008431AE">
        <w:rPr>
          <w:rFonts w:hint="cs"/>
          <w:sz w:val="32"/>
          <w:szCs w:val="32"/>
          <w:rtl/>
        </w:rPr>
        <w:t>הוא דרש שנשלם גם מע"מ של 17%.</w:t>
      </w:r>
      <w:r>
        <w:rPr>
          <w:rFonts w:hint="cs"/>
          <w:sz w:val="32"/>
          <w:szCs w:val="32"/>
          <w:rtl/>
        </w:rPr>
        <w:t xml:space="preserve"> </w:t>
      </w:r>
      <w:r w:rsidR="00D475AD" w:rsidRPr="008431AE">
        <w:rPr>
          <w:rFonts w:hint="cs"/>
          <w:sz w:val="32"/>
          <w:szCs w:val="32"/>
          <w:rtl/>
        </w:rPr>
        <w:t>זה היה קצת יקר.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אז הזמינו ממש אותו מוצר מספק בצרפת ביבוא אישי ונוכחנו כי אנו פטורים מלשלם מע"מ.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הזמנו קבוצת מוצרים נוספת בערך של 150 דולר, פיצלנו לשניים וגם אז היינו פטורים מלשלם מע"מ.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למה??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מדוע אתה ממשיך להציב את המגזר המקומי בתנאי נחיתות מול הספקים הזרים?</w:t>
      </w:r>
    </w:p>
    <w:p w:rsidR="00D475AD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זה פוגע קשות בכל אותם עסקים בישראל המייצרים או מוכרים מוצרי צריכה שאינם מזון.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וזה</w:t>
      </w:r>
      <w:r>
        <w:rPr>
          <w:rFonts w:hint="cs"/>
          <w:sz w:val="32"/>
          <w:szCs w:val="32"/>
          <w:rtl/>
        </w:rPr>
        <w:t xml:space="preserve"> כולל 80,000 עסקים, זע</w:t>
      </w:r>
      <w:r w:rsidRPr="008431AE">
        <w:rPr>
          <w:rFonts w:hint="cs"/>
          <w:sz w:val="32"/>
          <w:szCs w:val="32"/>
          <w:rtl/>
        </w:rPr>
        <w:t>ירים, קטנים, בינוניים וגדולים.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חצי</w:t>
      </w:r>
      <w:r>
        <w:rPr>
          <w:rFonts w:hint="cs"/>
          <w:sz w:val="32"/>
          <w:szCs w:val="32"/>
          <w:rtl/>
        </w:rPr>
        <w:t xml:space="preserve"> מיליון עסקים המפרנסים אוכלוסייה</w:t>
      </w:r>
      <w:r w:rsidRPr="008431AE">
        <w:rPr>
          <w:rFonts w:hint="cs"/>
          <w:sz w:val="32"/>
          <w:szCs w:val="32"/>
          <w:rtl/>
        </w:rPr>
        <w:t xml:space="preserve"> של 2 מיליון.</w:t>
      </w: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35796B" w:rsidRDefault="0035796B" w:rsidP="0035796B">
      <w:pPr>
        <w:jc w:val="both"/>
        <w:rPr>
          <w:sz w:val="32"/>
          <w:szCs w:val="32"/>
          <w:rtl/>
        </w:rPr>
      </w:pPr>
    </w:p>
    <w:p w:rsidR="00D475AD" w:rsidRPr="008431AE" w:rsidRDefault="00D475AD" w:rsidP="0035796B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 xml:space="preserve">כל אלה צריכים להתמודד כיום גם אם ירידה חדה במכירות וגם </w:t>
      </w:r>
      <w:r w:rsidR="0035796B">
        <w:rPr>
          <w:rFonts w:hint="cs"/>
          <w:sz w:val="32"/>
          <w:szCs w:val="32"/>
          <w:rtl/>
        </w:rPr>
        <w:t>ע</w:t>
      </w:r>
      <w:r w:rsidRPr="008431AE">
        <w:rPr>
          <w:rFonts w:hint="cs"/>
          <w:sz w:val="32"/>
          <w:szCs w:val="32"/>
          <w:rtl/>
        </w:rPr>
        <w:t>ם אפלייתם החמורה לרעה מול ספקי חוץ.</w:t>
      </w:r>
      <w:r w:rsidR="0035796B">
        <w:rPr>
          <w:rFonts w:hint="cs"/>
          <w:sz w:val="32"/>
          <w:szCs w:val="32"/>
          <w:rtl/>
        </w:rPr>
        <w:t xml:space="preserve"> וזו </w:t>
      </w:r>
      <w:r>
        <w:rPr>
          <w:rFonts w:hint="cs"/>
          <w:sz w:val="32"/>
          <w:szCs w:val="32"/>
          <w:rtl/>
        </w:rPr>
        <w:t>א</w:t>
      </w:r>
      <w:r w:rsidRPr="008431AE">
        <w:rPr>
          <w:rFonts w:hint="cs"/>
          <w:sz w:val="32"/>
          <w:szCs w:val="32"/>
          <w:rtl/>
        </w:rPr>
        <w:t>פל</w:t>
      </w:r>
      <w:r>
        <w:rPr>
          <w:rFonts w:hint="cs"/>
          <w:sz w:val="32"/>
          <w:szCs w:val="32"/>
          <w:rtl/>
        </w:rPr>
        <w:t>יי</w:t>
      </w:r>
      <w:r w:rsidRPr="008431AE">
        <w:rPr>
          <w:rFonts w:hint="cs"/>
          <w:sz w:val="32"/>
          <w:szCs w:val="32"/>
          <w:rtl/>
        </w:rPr>
        <w:t>ה חמורה מאוד. פער של 17%.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למה?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למה צריך לפגוע במגזר העסקי שלנו ובהרבה עסקים הנאבקים על הישרדות.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כ</w:t>
      </w:r>
      <w:r>
        <w:rPr>
          <w:rFonts w:hint="cs"/>
          <w:sz w:val="32"/>
          <w:szCs w:val="32"/>
          <w:rtl/>
        </w:rPr>
        <w:t xml:space="preserve">ל אחד זכאי להמשיך ולקנות </w:t>
      </w:r>
      <w:r w:rsidRPr="008431A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"</w:t>
      </w:r>
      <w:r w:rsidRPr="008431AE">
        <w:rPr>
          <w:rFonts w:hint="cs"/>
          <w:sz w:val="32"/>
          <w:szCs w:val="32"/>
          <w:rtl/>
        </w:rPr>
        <w:t>און ליין</w:t>
      </w:r>
      <w:r>
        <w:rPr>
          <w:rFonts w:hint="cs"/>
          <w:sz w:val="32"/>
          <w:szCs w:val="32"/>
          <w:rtl/>
        </w:rPr>
        <w:t>"</w:t>
      </w:r>
      <w:r w:rsidRPr="008431AE">
        <w:rPr>
          <w:rFonts w:hint="cs"/>
          <w:sz w:val="32"/>
          <w:szCs w:val="32"/>
          <w:rtl/>
        </w:rPr>
        <w:t xml:space="preserve"> ביבוא אישי.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אין שום מניעה, </w:t>
      </w:r>
      <w:r w:rsidRPr="008431AE">
        <w:rPr>
          <w:rFonts w:hint="cs"/>
          <w:sz w:val="32"/>
          <w:szCs w:val="32"/>
          <w:rtl/>
        </w:rPr>
        <w:t>שימשיכו ויקנו כאוות נפשם, אבל שישלמו מע"מ כמו כל אדם אחר העושה קניותיו בישראל.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מזמן אין כבר צורך לעודד אוכלוסייה לרכוש מוצרים ביבוא אישי, ומזמן זהו חלק ממבנה הקניות.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ממשלות לפעמ</w:t>
      </w:r>
      <w:r>
        <w:rPr>
          <w:rFonts w:hint="cs"/>
          <w:sz w:val="32"/>
          <w:szCs w:val="32"/>
          <w:rtl/>
        </w:rPr>
        <w:t xml:space="preserve">ים עוזרות למגזר העסקי של מדינתם, </w:t>
      </w:r>
      <w:r w:rsidRPr="008431AE">
        <w:rPr>
          <w:rFonts w:hint="cs"/>
          <w:sz w:val="32"/>
          <w:szCs w:val="32"/>
          <w:rtl/>
        </w:rPr>
        <w:t>אבל איפה נשמע שמדינה במודע תפגע במגזר העסקי שלה במשך שנים רבות ולא תחדל?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המע"מ בישראל הוא אוניברסלי, חוץ משלושה חריגים.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הוא מוטל על כל מוצר או שירות, </w:t>
      </w:r>
      <w:r w:rsidRPr="008431AE">
        <w:rPr>
          <w:rFonts w:hint="cs"/>
          <w:sz w:val="32"/>
          <w:szCs w:val="32"/>
          <w:rtl/>
        </w:rPr>
        <w:t>גם על מזון, תרופות ושירותי רפואה.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מול זאת ביבוא אישי אפשר לייבא מגוון מוצרים לא חיוניים ולהיות פטורים ממע"מ היש בכך יסוד של היגיון ?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540438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 xml:space="preserve">מדינות הבינו פרי ניסיון </w:t>
      </w:r>
      <w:r>
        <w:rPr>
          <w:rFonts w:hint="cs"/>
          <w:sz w:val="32"/>
          <w:szCs w:val="32"/>
          <w:rtl/>
        </w:rPr>
        <w:t xml:space="preserve">את חומרת הבעיה. </w:t>
      </w:r>
      <w:r w:rsidRPr="008431AE">
        <w:rPr>
          <w:rFonts w:hint="cs"/>
          <w:sz w:val="32"/>
          <w:szCs w:val="32"/>
          <w:rtl/>
        </w:rPr>
        <w:t>אוסטרליה ביטלה את הפטור.</w:t>
      </w:r>
      <w:r>
        <w:rPr>
          <w:rFonts w:hint="cs"/>
          <w:sz w:val="32"/>
          <w:szCs w:val="32"/>
          <w:rtl/>
        </w:rPr>
        <w:t xml:space="preserve"> </w:t>
      </w:r>
      <w:r w:rsidRPr="008431AE">
        <w:rPr>
          <w:rFonts w:hint="cs"/>
          <w:sz w:val="32"/>
          <w:szCs w:val="32"/>
          <w:rtl/>
        </w:rPr>
        <w:t xml:space="preserve">האיחוד האירופאי </w:t>
      </w:r>
      <w:r w:rsidR="0035796B">
        <w:rPr>
          <w:rFonts w:hint="cs"/>
          <w:sz w:val="32"/>
          <w:szCs w:val="32"/>
          <w:rtl/>
        </w:rPr>
        <w:t>קבע</w:t>
      </w:r>
      <w:r>
        <w:rPr>
          <w:rFonts w:hint="cs"/>
          <w:sz w:val="32"/>
          <w:szCs w:val="32"/>
          <w:rtl/>
        </w:rPr>
        <w:t xml:space="preserve"> </w:t>
      </w:r>
      <w:r w:rsidRPr="008431AE">
        <w:rPr>
          <w:rFonts w:hint="cs"/>
          <w:sz w:val="32"/>
          <w:szCs w:val="32"/>
          <w:rtl/>
        </w:rPr>
        <w:t xml:space="preserve">בתחילה פטור </w:t>
      </w:r>
      <w:r w:rsidR="0035796B">
        <w:rPr>
          <w:rFonts w:hint="cs"/>
          <w:sz w:val="32"/>
          <w:szCs w:val="32"/>
          <w:rtl/>
        </w:rPr>
        <w:t>ב</w:t>
      </w:r>
      <w:r w:rsidRPr="008431AE">
        <w:rPr>
          <w:rFonts w:hint="cs"/>
          <w:sz w:val="32"/>
          <w:szCs w:val="32"/>
          <w:rtl/>
        </w:rPr>
        <w:t xml:space="preserve">רמה של 22 יורו, </w:t>
      </w:r>
      <w:r>
        <w:rPr>
          <w:rFonts w:hint="cs"/>
          <w:sz w:val="32"/>
          <w:szCs w:val="32"/>
          <w:rtl/>
        </w:rPr>
        <w:t xml:space="preserve">ובסוף </w:t>
      </w:r>
      <w:r w:rsidRPr="008431AE">
        <w:rPr>
          <w:rFonts w:hint="cs"/>
          <w:sz w:val="32"/>
          <w:szCs w:val="32"/>
          <w:rtl/>
        </w:rPr>
        <w:t>החליט לבטלו כליל</w:t>
      </w:r>
      <w:r>
        <w:rPr>
          <w:rFonts w:hint="cs"/>
          <w:sz w:val="32"/>
          <w:szCs w:val="32"/>
          <w:rtl/>
        </w:rPr>
        <w:t>.</w:t>
      </w:r>
      <w:r w:rsidRPr="008431AE">
        <w:rPr>
          <w:rFonts w:hint="cs"/>
          <w:sz w:val="32"/>
          <w:szCs w:val="32"/>
          <w:rtl/>
        </w:rPr>
        <w:t xml:space="preserve"> הם הבינו את הפגיעה הקשה במגזר העסקי שלהם.</w:t>
      </w: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איבדנו את האיזון בין המדינות.</w:t>
      </w:r>
    </w:p>
    <w:p w:rsidR="00D475AD" w:rsidRDefault="00D475AD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יצואן מישראל המייצא לאי</w:t>
      </w:r>
      <w:r>
        <w:rPr>
          <w:rFonts w:hint="cs"/>
          <w:sz w:val="32"/>
          <w:szCs w:val="32"/>
          <w:rtl/>
        </w:rPr>
        <w:t xml:space="preserve">חוד האירופאי ישלם את מלוא המע"מ. </w:t>
      </w:r>
      <w:r w:rsidR="0035796B">
        <w:rPr>
          <w:rFonts w:hint="cs"/>
          <w:sz w:val="32"/>
          <w:szCs w:val="32"/>
          <w:rtl/>
        </w:rPr>
        <w:t>יצואן מ</w:t>
      </w:r>
      <w:r w:rsidRPr="008431AE">
        <w:rPr>
          <w:rFonts w:hint="cs"/>
          <w:sz w:val="32"/>
          <w:szCs w:val="32"/>
          <w:rtl/>
        </w:rPr>
        <w:t>צרפת המספק לנו מוצרים ביבוא אישי פטור ממע"מ</w:t>
      </w:r>
      <w:r w:rsidR="00540438">
        <w:rPr>
          <w:rFonts w:hint="cs"/>
          <w:sz w:val="32"/>
          <w:szCs w:val="32"/>
          <w:rtl/>
        </w:rPr>
        <w:t>.</w:t>
      </w:r>
      <w:r w:rsidRPr="008431AE">
        <w:rPr>
          <w:rFonts w:hint="cs"/>
          <w:sz w:val="32"/>
          <w:szCs w:val="32"/>
          <w:rtl/>
        </w:rPr>
        <w:t xml:space="preserve"> כך אנו פוגעים </w:t>
      </w:r>
      <w:r w:rsidR="0035796B">
        <w:rPr>
          <w:rFonts w:hint="cs"/>
          <w:sz w:val="32"/>
          <w:szCs w:val="32"/>
          <w:rtl/>
        </w:rPr>
        <w:t xml:space="preserve">גם </w:t>
      </w:r>
      <w:r w:rsidRPr="008431AE">
        <w:rPr>
          <w:rFonts w:hint="cs"/>
          <w:sz w:val="32"/>
          <w:szCs w:val="32"/>
          <w:rtl/>
        </w:rPr>
        <w:t>ביצוא.</w:t>
      </w:r>
    </w:p>
    <w:p w:rsidR="00D475AD" w:rsidRDefault="00D475AD" w:rsidP="00D475AD">
      <w:pPr>
        <w:jc w:val="both"/>
        <w:rPr>
          <w:sz w:val="32"/>
          <w:szCs w:val="32"/>
          <w:rtl/>
        </w:rPr>
      </w:pPr>
    </w:p>
    <w:p w:rsidR="00D475AD" w:rsidRDefault="00D475AD" w:rsidP="00D475AD">
      <w:pPr>
        <w:jc w:val="both"/>
        <w:rPr>
          <w:sz w:val="32"/>
          <w:szCs w:val="32"/>
          <w:rtl/>
        </w:rPr>
      </w:pPr>
    </w:p>
    <w:p w:rsidR="00D475AD" w:rsidRDefault="00D475AD" w:rsidP="00D475AD">
      <w:pPr>
        <w:jc w:val="both"/>
        <w:rPr>
          <w:sz w:val="32"/>
          <w:szCs w:val="32"/>
          <w:rtl/>
        </w:rPr>
      </w:pPr>
    </w:p>
    <w:p w:rsidR="00D475AD" w:rsidRDefault="00D475AD" w:rsidP="00D475AD">
      <w:pPr>
        <w:jc w:val="both"/>
        <w:rPr>
          <w:sz w:val="32"/>
          <w:szCs w:val="32"/>
          <w:rtl/>
        </w:rPr>
      </w:pPr>
    </w:p>
    <w:p w:rsidR="0035796B" w:rsidRDefault="0035796B" w:rsidP="00D475AD">
      <w:pPr>
        <w:jc w:val="both"/>
        <w:rPr>
          <w:sz w:val="32"/>
          <w:szCs w:val="32"/>
          <w:rtl/>
        </w:rPr>
      </w:pPr>
    </w:p>
    <w:p w:rsidR="0035796B" w:rsidRDefault="0035796B" w:rsidP="00D475AD">
      <w:pPr>
        <w:jc w:val="both"/>
        <w:rPr>
          <w:sz w:val="32"/>
          <w:szCs w:val="32"/>
          <w:rtl/>
        </w:rPr>
      </w:pPr>
    </w:p>
    <w:p w:rsidR="0035796B" w:rsidRDefault="0035796B" w:rsidP="00D475AD">
      <w:pPr>
        <w:jc w:val="both"/>
        <w:rPr>
          <w:sz w:val="32"/>
          <w:szCs w:val="32"/>
          <w:rtl/>
        </w:rPr>
      </w:pPr>
    </w:p>
    <w:p w:rsidR="00D475AD" w:rsidRPr="008431AE" w:rsidRDefault="00D475AD" w:rsidP="00D475AD">
      <w:pPr>
        <w:jc w:val="both"/>
        <w:rPr>
          <w:sz w:val="32"/>
          <w:szCs w:val="32"/>
          <w:rtl/>
        </w:rPr>
      </w:pPr>
    </w:p>
    <w:p w:rsidR="00D475AD" w:rsidRPr="00DA762F" w:rsidRDefault="00D475AD" w:rsidP="00D475AD">
      <w:pPr>
        <w:jc w:val="both"/>
        <w:rPr>
          <w:sz w:val="36"/>
          <w:szCs w:val="36"/>
          <w:rtl/>
        </w:rPr>
      </w:pPr>
      <w:r w:rsidRPr="00DA762F">
        <w:rPr>
          <w:rFonts w:hint="cs"/>
          <w:sz w:val="36"/>
          <w:szCs w:val="36"/>
          <w:rtl/>
        </w:rPr>
        <w:t>משה היקר.</w:t>
      </w:r>
    </w:p>
    <w:p w:rsidR="00D475AD" w:rsidRPr="00DA762F" w:rsidRDefault="00D475AD" w:rsidP="00D475AD">
      <w:pPr>
        <w:jc w:val="both"/>
        <w:rPr>
          <w:sz w:val="36"/>
          <w:szCs w:val="36"/>
          <w:rtl/>
        </w:rPr>
      </w:pPr>
    </w:p>
    <w:p w:rsidR="00D475AD" w:rsidRPr="00DA762F" w:rsidRDefault="00D475AD" w:rsidP="00D475AD">
      <w:pPr>
        <w:jc w:val="both"/>
        <w:rPr>
          <w:sz w:val="36"/>
          <w:szCs w:val="36"/>
          <w:rtl/>
        </w:rPr>
      </w:pPr>
    </w:p>
    <w:p w:rsidR="00D475AD" w:rsidRPr="00DA762F" w:rsidRDefault="00D475AD" w:rsidP="0035796B">
      <w:pPr>
        <w:jc w:val="both"/>
        <w:rPr>
          <w:sz w:val="36"/>
          <w:szCs w:val="36"/>
          <w:rtl/>
        </w:rPr>
      </w:pPr>
      <w:r w:rsidRPr="00DA762F">
        <w:rPr>
          <w:rFonts w:hint="cs"/>
          <w:sz w:val="36"/>
          <w:szCs w:val="36"/>
          <w:rtl/>
        </w:rPr>
        <w:t>הגיע הזמן לבטל פטור זה</w:t>
      </w:r>
      <w:r>
        <w:rPr>
          <w:rFonts w:hint="cs"/>
          <w:sz w:val="36"/>
          <w:szCs w:val="36"/>
          <w:rtl/>
        </w:rPr>
        <w:t>,</w:t>
      </w:r>
      <w:r w:rsidRPr="00DA762F">
        <w:rPr>
          <w:rFonts w:hint="cs"/>
          <w:sz w:val="36"/>
          <w:szCs w:val="36"/>
          <w:rtl/>
        </w:rPr>
        <w:t xml:space="preserve"> הוא גם גורם להפסד הכנסות של קרוב ל 2 מיליארד שקלים. אנו זקוקים לכל המקורות לסיוע לעסקים. צו השעה אינו העלאת מיסים, אלא ביטול פטורים ממס המייצר</w:t>
      </w:r>
      <w:r w:rsidR="0035796B">
        <w:rPr>
          <w:rFonts w:hint="cs"/>
          <w:sz w:val="36"/>
          <w:szCs w:val="36"/>
          <w:rtl/>
        </w:rPr>
        <w:t>ים</w:t>
      </w:r>
      <w:r w:rsidRPr="00DA762F">
        <w:rPr>
          <w:rFonts w:hint="cs"/>
          <w:sz w:val="36"/>
          <w:szCs w:val="36"/>
          <w:rtl/>
        </w:rPr>
        <w:t xml:space="preserve"> אי שוויון. כיום בתוקף תפקידך, מוטלת </w:t>
      </w:r>
      <w:r w:rsidR="0035796B">
        <w:rPr>
          <w:rFonts w:hint="cs"/>
          <w:sz w:val="36"/>
          <w:szCs w:val="36"/>
          <w:rtl/>
        </w:rPr>
        <w:t xml:space="preserve">עליך </w:t>
      </w:r>
      <w:r w:rsidRPr="00DA762F">
        <w:rPr>
          <w:rFonts w:hint="cs"/>
          <w:sz w:val="36"/>
          <w:szCs w:val="36"/>
          <w:rtl/>
        </w:rPr>
        <w:t>החובה לפעול לביטולו של פטור זה.</w:t>
      </w: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Default="00D475AD" w:rsidP="00D475AD">
      <w:pPr>
        <w:rPr>
          <w:sz w:val="32"/>
          <w:szCs w:val="32"/>
          <w:rtl/>
        </w:rPr>
      </w:pPr>
    </w:p>
    <w:p w:rsidR="00D475AD" w:rsidRDefault="00D475AD" w:rsidP="00D475AD">
      <w:pPr>
        <w:rPr>
          <w:sz w:val="32"/>
          <w:szCs w:val="32"/>
          <w:rtl/>
        </w:rPr>
      </w:pPr>
    </w:p>
    <w:p w:rsidR="00D475AD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jc w:val="center"/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בברכה,</w:t>
      </w: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Default="00D475AD" w:rsidP="00D475AD">
      <w:pPr>
        <w:rPr>
          <w:sz w:val="32"/>
          <w:szCs w:val="32"/>
          <w:rtl/>
        </w:rPr>
      </w:pPr>
    </w:p>
    <w:p w:rsidR="00D475AD" w:rsidRDefault="00D475AD" w:rsidP="00D475AD">
      <w:pPr>
        <w:rPr>
          <w:sz w:val="32"/>
          <w:szCs w:val="32"/>
          <w:rtl/>
        </w:rPr>
      </w:pP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475AD" w:rsidTr="00837162">
        <w:tc>
          <w:tcPr>
            <w:tcW w:w="2765" w:type="dxa"/>
          </w:tcPr>
          <w:p w:rsidR="00D475AD" w:rsidRDefault="00D475AD" w:rsidP="00837162">
            <w:pPr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90394D" wp14:editId="1CF31897">
                  <wp:simplePos x="0" y="0"/>
                  <wp:positionH relativeFrom="column">
                    <wp:posOffset>316408</wp:posOffset>
                  </wp:positionH>
                  <wp:positionV relativeFrom="paragraph">
                    <wp:posOffset>14630</wp:posOffset>
                  </wp:positionV>
                  <wp:extent cx="855244" cy="727753"/>
                  <wp:effectExtent l="0" t="0" r="2540" b="0"/>
                  <wp:wrapTight wrapText="bothSides">
                    <wp:wrapPolygon edited="0">
                      <wp:start x="0" y="0"/>
                      <wp:lineTo x="0" y="20921"/>
                      <wp:lineTo x="21183" y="20921"/>
                      <wp:lineTo x="21183" y="0"/>
                      <wp:lineTo x="0" y="0"/>
                    </wp:wrapPolygon>
                  </wp:wrapTight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244" cy="72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</w:tcPr>
          <w:p w:rsidR="00D475AD" w:rsidRDefault="00D475AD" w:rsidP="0083716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0" locked="0" layoutInCell="1" allowOverlap="1" wp14:anchorId="350315A0" wp14:editId="52615A83">
                  <wp:simplePos x="0" y="0"/>
                  <wp:positionH relativeFrom="column">
                    <wp:posOffset>103963</wp:posOffset>
                  </wp:positionH>
                  <wp:positionV relativeFrom="paragraph">
                    <wp:posOffset>270663</wp:posOffset>
                  </wp:positionV>
                  <wp:extent cx="1403604" cy="342900"/>
                  <wp:effectExtent l="0" t="0" r="6350" b="0"/>
                  <wp:wrapSquare wrapText="bothSides"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אוריאל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604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6" w:type="dxa"/>
          </w:tcPr>
          <w:p w:rsidR="00D475AD" w:rsidRDefault="00D475AD" w:rsidP="00837162">
            <w:pPr>
              <w:rPr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BDA470D" wp14:editId="7FE4BA66">
                  <wp:simplePos x="0" y="0"/>
                  <wp:positionH relativeFrom="column">
                    <wp:posOffset>258776</wp:posOffset>
                  </wp:positionH>
                  <wp:positionV relativeFrom="paragraph">
                    <wp:posOffset>245720</wp:posOffset>
                  </wp:positionV>
                  <wp:extent cx="1096010" cy="504190"/>
                  <wp:effectExtent l="0" t="0" r="8890" b="0"/>
                  <wp:wrapTight wrapText="bothSides">
                    <wp:wrapPolygon edited="0">
                      <wp:start x="0" y="0"/>
                      <wp:lineTo x="0" y="20403"/>
                      <wp:lineTo x="21400" y="20403"/>
                      <wp:lineTo x="21400" y="0"/>
                      <wp:lineTo x="0" y="0"/>
                    </wp:wrapPolygon>
                  </wp:wrapTight>
                  <wp:docPr id="5" name="תמונה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5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75AD" w:rsidTr="00837162">
        <w:tc>
          <w:tcPr>
            <w:tcW w:w="2765" w:type="dxa"/>
          </w:tcPr>
          <w:p w:rsidR="00D475AD" w:rsidRDefault="00D475AD" w:rsidP="00837162">
            <w:pPr>
              <w:jc w:val="center"/>
              <w:rPr>
                <w:sz w:val="32"/>
                <w:szCs w:val="32"/>
                <w:rtl/>
              </w:rPr>
            </w:pPr>
            <w:r w:rsidRPr="008431AE">
              <w:rPr>
                <w:rFonts w:hint="cs"/>
                <w:sz w:val="32"/>
                <w:szCs w:val="32"/>
                <w:rtl/>
              </w:rPr>
              <w:t>יוסי אלקובי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נשיא התאחדות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בעלי מלאכה 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ותעשייה </w:t>
            </w:r>
          </w:p>
        </w:tc>
        <w:tc>
          <w:tcPr>
            <w:tcW w:w="2765" w:type="dxa"/>
          </w:tcPr>
          <w:p w:rsidR="00D475AD" w:rsidRDefault="00D475AD" w:rsidP="00837162">
            <w:pPr>
              <w:jc w:val="center"/>
              <w:rPr>
                <w:sz w:val="32"/>
                <w:szCs w:val="32"/>
                <w:rtl/>
              </w:rPr>
            </w:pPr>
            <w:r w:rsidRPr="008431AE">
              <w:rPr>
                <w:rFonts w:hint="cs"/>
                <w:sz w:val="32"/>
                <w:szCs w:val="32"/>
                <w:rtl/>
              </w:rPr>
              <w:t>אוריאל לין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נשיא איגוד 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לשכות המסחר </w:t>
            </w:r>
          </w:p>
        </w:tc>
        <w:tc>
          <w:tcPr>
            <w:tcW w:w="2766" w:type="dxa"/>
          </w:tcPr>
          <w:p w:rsidR="00D475AD" w:rsidRDefault="00D475AD" w:rsidP="00837162">
            <w:pPr>
              <w:jc w:val="center"/>
              <w:rPr>
                <w:sz w:val="32"/>
                <w:szCs w:val="32"/>
                <w:rtl/>
              </w:rPr>
            </w:pPr>
            <w:r w:rsidRPr="008431AE">
              <w:rPr>
                <w:rFonts w:hint="cs"/>
                <w:sz w:val="32"/>
                <w:szCs w:val="32"/>
                <w:rtl/>
              </w:rPr>
              <w:t>רועי כהן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נשיא לה"ב </w:t>
            </w:r>
          </w:p>
          <w:p w:rsidR="0035796B" w:rsidRDefault="0035796B" w:rsidP="00837162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ארגון העצמאים</w:t>
            </w:r>
          </w:p>
          <w:p w:rsidR="0035796B" w:rsidRDefault="0035796B" w:rsidP="0035796B">
            <w:pPr>
              <w:jc w:val="both"/>
              <w:rPr>
                <w:sz w:val="32"/>
                <w:szCs w:val="32"/>
                <w:rtl/>
              </w:rPr>
            </w:pPr>
          </w:p>
        </w:tc>
      </w:tr>
    </w:tbl>
    <w:p w:rsidR="00D475AD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העתקים:</w:t>
      </w: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שי באב"ד</w:t>
      </w:r>
      <w:r>
        <w:rPr>
          <w:rFonts w:hint="cs"/>
          <w:sz w:val="32"/>
          <w:szCs w:val="32"/>
          <w:rtl/>
        </w:rPr>
        <w:t>,</w:t>
      </w:r>
      <w:r w:rsidRPr="008431AE">
        <w:rPr>
          <w:rFonts w:hint="cs"/>
          <w:sz w:val="32"/>
          <w:szCs w:val="32"/>
          <w:rtl/>
        </w:rPr>
        <w:t xml:space="preserve"> מנכ"ל משרד האוצר </w:t>
      </w: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ערן יעקב</w:t>
      </w:r>
      <w:r>
        <w:rPr>
          <w:rFonts w:hint="cs"/>
          <w:sz w:val="32"/>
          <w:szCs w:val="32"/>
          <w:rtl/>
        </w:rPr>
        <w:t>,</w:t>
      </w:r>
      <w:r w:rsidRPr="008431AE">
        <w:rPr>
          <w:rFonts w:hint="cs"/>
          <w:sz w:val="32"/>
          <w:szCs w:val="32"/>
          <w:rtl/>
        </w:rPr>
        <w:t xml:space="preserve"> מנהל רשות המיסים </w:t>
      </w:r>
    </w:p>
    <w:p w:rsidR="00D475AD" w:rsidRPr="008431AE" w:rsidRDefault="00D475AD" w:rsidP="00D475AD">
      <w:pPr>
        <w:rPr>
          <w:sz w:val="32"/>
          <w:szCs w:val="32"/>
          <w:rtl/>
        </w:rPr>
      </w:pPr>
      <w:r w:rsidRPr="008431AE">
        <w:rPr>
          <w:rFonts w:hint="cs"/>
          <w:sz w:val="32"/>
          <w:szCs w:val="32"/>
          <w:rtl/>
        </w:rPr>
        <w:t>שאול מרידור</w:t>
      </w:r>
      <w:r>
        <w:rPr>
          <w:rFonts w:hint="cs"/>
          <w:sz w:val="32"/>
          <w:szCs w:val="32"/>
          <w:rtl/>
        </w:rPr>
        <w:t>,</w:t>
      </w:r>
      <w:r w:rsidRPr="008431AE">
        <w:rPr>
          <w:rFonts w:hint="cs"/>
          <w:sz w:val="32"/>
          <w:szCs w:val="32"/>
          <w:rtl/>
        </w:rPr>
        <w:t xml:space="preserve"> הממונה על התקציבים משרד האוצר </w:t>
      </w:r>
    </w:p>
    <w:p w:rsidR="00D475AD" w:rsidRPr="008431AE" w:rsidRDefault="00D475AD" w:rsidP="00D475AD">
      <w:pPr>
        <w:rPr>
          <w:sz w:val="32"/>
          <w:szCs w:val="32"/>
        </w:rPr>
      </w:pPr>
      <w:r w:rsidRPr="008431AE">
        <w:rPr>
          <w:rFonts w:hint="cs"/>
          <w:sz w:val="32"/>
          <w:szCs w:val="32"/>
          <w:rtl/>
        </w:rPr>
        <w:t>רוני חזקיהו</w:t>
      </w:r>
      <w:r>
        <w:rPr>
          <w:rFonts w:hint="cs"/>
          <w:sz w:val="32"/>
          <w:szCs w:val="32"/>
          <w:rtl/>
        </w:rPr>
        <w:t>,</w:t>
      </w:r>
      <w:r w:rsidRPr="008431AE">
        <w:rPr>
          <w:rFonts w:hint="cs"/>
          <w:sz w:val="32"/>
          <w:szCs w:val="32"/>
          <w:rtl/>
        </w:rPr>
        <w:t xml:space="preserve"> החשב הכללי משרד האוצר </w:t>
      </w:r>
    </w:p>
    <w:p w:rsidR="008431AE" w:rsidRPr="00D475AD" w:rsidRDefault="008431AE" w:rsidP="00D475AD"/>
    <w:sectPr w:rsidR="008431AE" w:rsidRPr="00D475AD" w:rsidSect="00D475AD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52" w:rsidRDefault="00C36D52" w:rsidP="00C21184">
      <w:r>
        <w:separator/>
      </w:r>
    </w:p>
  </w:endnote>
  <w:endnote w:type="continuationSeparator" w:id="0">
    <w:p w:rsidR="00C36D52" w:rsidRDefault="00C36D52" w:rsidP="00C2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52" w:rsidRDefault="00C36D52" w:rsidP="00C21184">
      <w:r>
        <w:separator/>
      </w:r>
    </w:p>
  </w:footnote>
  <w:footnote w:type="continuationSeparator" w:id="0">
    <w:p w:rsidR="00C36D52" w:rsidRDefault="00C36D52" w:rsidP="00C2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6"/>
    <w:rsid w:val="001F6955"/>
    <w:rsid w:val="0035796B"/>
    <w:rsid w:val="003F11DA"/>
    <w:rsid w:val="004F4537"/>
    <w:rsid w:val="00540438"/>
    <w:rsid w:val="005B5428"/>
    <w:rsid w:val="005D355C"/>
    <w:rsid w:val="006C4F15"/>
    <w:rsid w:val="008431AE"/>
    <w:rsid w:val="00AC6064"/>
    <w:rsid w:val="00AE5D56"/>
    <w:rsid w:val="00BD7782"/>
    <w:rsid w:val="00C21184"/>
    <w:rsid w:val="00C36D52"/>
    <w:rsid w:val="00C717FC"/>
    <w:rsid w:val="00C915BE"/>
    <w:rsid w:val="00CC3276"/>
    <w:rsid w:val="00CD31D0"/>
    <w:rsid w:val="00D475AD"/>
    <w:rsid w:val="00DA762F"/>
    <w:rsid w:val="00FB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C6AD2-BCF8-4B84-83AC-627340AC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b/>
        <w:bCs/>
        <w:sz w:val="28"/>
        <w:szCs w:val="28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18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21184"/>
  </w:style>
  <w:style w:type="paragraph" w:styleId="a5">
    <w:name w:val="footer"/>
    <w:basedOn w:val="a"/>
    <w:link w:val="a6"/>
    <w:uiPriority w:val="99"/>
    <w:unhideWhenUsed/>
    <w:rsid w:val="00C2118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21184"/>
  </w:style>
  <w:style w:type="paragraph" w:styleId="a7">
    <w:name w:val="Balloon Text"/>
    <w:basedOn w:val="a"/>
    <w:link w:val="a8"/>
    <w:uiPriority w:val="99"/>
    <w:semiHidden/>
    <w:unhideWhenUsed/>
    <w:rsid w:val="00CC327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C3276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D47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מע''מ על קניות אינטרנטיות מקוונות און ליין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מע''מ על קניות אינטרנטיות מקוונות און ליין</dc:title>
  <dc:subject>אוריאל </dc:subject>
  <dc:creator>verah</dc:creator>
  <cp:keywords>משה כחלון שר האוצר </cp:keywords>
  <dc:description/>
  <cp:lastModifiedBy>Vera Harari - Chamber Of Commerce</cp:lastModifiedBy>
  <cp:revision>17</cp:revision>
  <cp:lastPrinted>2020-03-25T07:36:00Z</cp:lastPrinted>
  <dcterms:created xsi:type="dcterms:W3CDTF">2020-03-25T05:55:00Z</dcterms:created>
  <dcterms:modified xsi:type="dcterms:W3CDTF">2020-03-25T07:42:00Z</dcterms:modified>
</cp:coreProperties>
</file>