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AB" w:rsidRPr="005E1F4B" w:rsidRDefault="005E1F4B" w:rsidP="00EB05AB">
      <w:pPr>
        <w:pStyle w:val="HeadHatzaotHok"/>
        <w:keepNext w:val="0"/>
        <w:keepLines w:val="0"/>
        <w:rPr>
          <w:rFonts w:asciiTheme="majorBidi" w:hAnsiTheme="majorBidi"/>
          <w:sz w:val="24"/>
          <w:szCs w:val="24"/>
        </w:rPr>
      </w:pPr>
      <w:bookmarkStart w:id="0" w:name="_GoBack"/>
      <w:bookmarkEnd w:id="0"/>
      <w:r w:rsidRPr="00300A77">
        <w:rPr>
          <w:rFonts w:asciiTheme="majorBidi" w:hAnsiTheme="majorBidi"/>
          <w:sz w:val="24"/>
          <w:szCs w:val="24"/>
          <w:rtl/>
        </w:rPr>
        <w:t>צו הטלגרף האלחוטי (אי תחולת הפקודה)</w:t>
      </w:r>
      <w:r w:rsidR="00097AE6">
        <w:rPr>
          <w:rFonts w:asciiTheme="majorBidi" w:hAnsiTheme="majorBidi" w:hint="cs"/>
          <w:sz w:val="24"/>
          <w:szCs w:val="24"/>
          <w:rtl/>
        </w:rPr>
        <w:t xml:space="preserve"> </w:t>
      </w:r>
      <w:r w:rsidRPr="00300A77">
        <w:rPr>
          <w:rFonts w:asciiTheme="majorBidi" w:hAnsiTheme="majorBidi"/>
          <w:sz w:val="24"/>
          <w:szCs w:val="24"/>
          <w:rtl/>
        </w:rPr>
        <w:t>(מס' 2)</w:t>
      </w:r>
      <w:r w:rsidR="00097AE6">
        <w:rPr>
          <w:rFonts w:asciiTheme="majorBidi" w:hAnsiTheme="majorBidi" w:hint="cs"/>
          <w:sz w:val="24"/>
          <w:szCs w:val="24"/>
          <w:rtl/>
        </w:rPr>
        <w:t xml:space="preserve"> </w:t>
      </w:r>
      <w:r w:rsidRPr="00300A77">
        <w:rPr>
          <w:rFonts w:asciiTheme="majorBidi" w:hAnsiTheme="majorBidi"/>
          <w:sz w:val="24"/>
          <w:szCs w:val="24"/>
          <w:rtl/>
        </w:rPr>
        <w:t>(תיקון), התש</w:t>
      </w:r>
      <w:r w:rsidR="006B532A">
        <w:rPr>
          <w:rFonts w:asciiTheme="majorBidi" w:hAnsiTheme="majorBidi" w:hint="cs"/>
          <w:sz w:val="24"/>
          <w:szCs w:val="24"/>
          <w:rtl/>
        </w:rPr>
        <w:t>"ף</w:t>
      </w:r>
      <w:r w:rsidRPr="00300A77">
        <w:rPr>
          <w:rFonts w:asciiTheme="majorBidi" w:hAnsiTheme="majorBidi"/>
          <w:sz w:val="24"/>
          <w:szCs w:val="24"/>
          <w:rtl/>
        </w:rPr>
        <w:t>-20</w:t>
      </w:r>
      <w:r w:rsidR="006B532A">
        <w:rPr>
          <w:rFonts w:asciiTheme="majorBidi" w:hAnsiTheme="majorBidi" w:hint="cs"/>
          <w:sz w:val="24"/>
          <w:szCs w:val="24"/>
          <w:rtl/>
        </w:rPr>
        <w:t>20</w:t>
      </w:r>
      <w:r w:rsidR="000E1772">
        <w:rPr>
          <w:rFonts w:asciiTheme="majorBidi" w:hAnsiTheme="majorBidi" w:hint="cs"/>
          <w:sz w:val="24"/>
          <w:szCs w:val="24"/>
          <w:rtl/>
        </w:rPr>
        <w:t xml:space="preserve"> </w:t>
      </w:r>
    </w:p>
    <w:tbl>
      <w:tblPr>
        <w:tblpPr w:leftFromText="180" w:rightFromText="180" w:vertAnchor="text" w:horzAnchor="margin" w:tblpXSpec="center" w:tblpY="652"/>
        <w:bidiVisual/>
        <w:tblW w:w="10403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567"/>
        <w:gridCol w:w="570"/>
        <w:gridCol w:w="567"/>
        <w:gridCol w:w="909"/>
        <w:gridCol w:w="6607"/>
      </w:tblGrid>
      <w:tr w:rsidR="00CF5358" w:rsidRPr="00300A77" w:rsidTr="000E1772">
        <w:trPr>
          <w:cantSplit/>
          <w:trHeight w:val="60"/>
        </w:trPr>
        <w:tc>
          <w:tcPr>
            <w:tcW w:w="10403" w:type="dxa"/>
            <w:gridSpan w:val="6"/>
          </w:tcPr>
          <w:p w:rsidR="00CF5358" w:rsidRPr="00300A77" w:rsidRDefault="00CF5358" w:rsidP="000E1772">
            <w:pPr>
              <w:pStyle w:val="TableBlock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>בתוקף סמכותי לפי סעיף 4ט לפקודת הטלגרף האלחוטי [נוסח חדש], התשל"ב-1972</w:t>
            </w:r>
            <w:r w:rsidRPr="00300A77">
              <w:rPr>
                <w:rStyle w:val="a7"/>
                <w:rFonts w:asciiTheme="majorBidi" w:hAnsiTheme="majorBidi"/>
                <w:sz w:val="24"/>
                <w:szCs w:val="24"/>
                <w:rtl/>
              </w:rPr>
              <w:footnoteReference w:id="1"/>
            </w: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>, אני מצווה לאמור:</w:t>
            </w:r>
          </w:p>
        </w:tc>
      </w:tr>
      <w:tr w:rsidR="00FB4C24" w:rsidRPr="00300A77" w:rsidTr="00FB4C24">
        <w:trPr>
          <w:cantSplit/>
          <w:trHeight w:val="60"/>
        </w:trPr>
        <w:tc>
          <w:tcPr>
            <w:tcW w:w="1183" w:type="dxa"/>
          </w:tcPr>
          <w:p w:rsidR="00FB4C24" w:rsidRDefault="00FB4C24" w:rsidP="000E1772">
            <w:pPr>
              <w:pStyle w:val="TableSideHeading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9220" w:type="dxa"/>
            <w:gridSpan w:val="5"/>
          </w:tcPr>
          <w:p w:rsidR="00FB4C24" w:rsidRPr="00300A77" w:rsidRDefault="00FB4C24" w:rsidP="000E1772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>בצו הטלגרף האלחוטי (אי תחולת הפקודה) (מס' 2), התשמ"ב-1982</w:t>
            </w:r>
            <w:r w:rsidRPr="00300A77">
              <w:rPr>
                <w:rStyle w:val="a7"/>
                <w:rFonts w:asciiTheme="majorBidi" w:hAnsiTheme="majorBidi"/>
                <w:sz w:val="24"/>
                <w:szCs w:val="24"/>
                <w:rtl/>
              </w:rPr>
              <w:footnoteReference w:id="2"/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 xml:space="preserve">- </w:t>
            </w:r>
          </w:p>
        </w:tc>
      </w:tr>
      <w:tr w:rsidR="00CF5358" w:rsidRPr="00300A77" w:rsidTr="00FB4C24">
        <w:trPr>
          <w:cantSplit/>
          <w:trHeight w:val="60"/>
        </w:trPr>
        <w:tc>
          <w:tcPr>
            <w:tcW w:w="1183" w:type="dxa"/>
          </w:tcPr>
          <w:p w:rsidR="00CF5358" w:rsidRDefault="0081039F" w:rsidP="000E1772">
            <w:pPr>
              <w:pStyle w:val="TableSideHeading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תיקון סעיף 1</w:t>
            </w:r>
          </w:p>
        </w:tc>
        <w:tc>
          <w:tcPr>
            <w:tcW w:w="567" w:type="dxa"/>
          </w:tcPr>
          <w:p w:rsidR="00CF5358" w:rsidRDefault="00FB4C24" w:rsidP="000E177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570" w:type="dxa"/>
          </w:tcPr>
          <w:p w:rsidR="00CF5358" w:rsidRDefault="00CF5358" w:rsidP="000E1772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(א)</w:t>
            </w:r>
          </w:p>
        </w:tc>
        <w:tc>
          <w:tcPr>
            <w:tcW w:w="8083" w:type="dxa"/>
            <w:gridSpan w:val="3"/>
          </w:tcPr>
          <w:p w:rsidR="00CF5358" w:rsidRDefault="00CF5358" w:rsidP="000E1772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בסעיף 1(א)(1)</w:t>
            </w:r>
            <w:r w:rsidR="007A088B">
              <w:rPr>
                <w:rFonts w:asciiTheme="majorBidi" w:hAnsiTheme="majorBidi" w:hint="cs"/>
                <w:sz w:val="24"/>
                <w:szCs w:val="24"/>
                <w:rtl/>
              </w:rPr>
              <w:t xml:space="preserve"> -</w:t>
            </w:r>
          </w:p>
        </w:tc>
      </w:tr>
      <w:tr w:rsidR="00CF5358" w:rsidRPr="00300A77" w:rsidTr="00FB4C24">
        <w:trPr>
          <w:cantSplit/>
          <w:trHeight w:val="60"/>
        </w:trPr>
        <w:tc>
          <w:tcPr>
            <w:tcW w:w="1183" w:type="dxa"/>
          </w:tcPr>
          <w:p w:rsidR="00CF5358" w:rsidRPr="00300A77" w:rsidRDefault="00CF5358" w:rsidP="000E177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7" w:type="dxa"/>
          </w:tcPr>
          <w:p w:rsidR="00CF5358" w:rsidRPr="00300A77" w:rsidRDefault="00CF5358" w:rsidP="000E177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70" w:type="dxa"/>
          </w:tcPr>
          <w:p w:rsidR="00CF5358" w:rsidRDefault="00CF5358" w:rsidP="000E177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5358" w:rsidRDefault="00CF5358" w:rsidP="000E177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(1)</w:t>
            </w:r>
          </w:p>
        </w:tc>
        <w:tc>
          <w:tcPr>
            <w:tcW w:w="7516" w:type="dxa"/>
            <w:gridSpan w:val="2"/>
          </w:tcPr>
          <w:p w:rsidR="00CF5358" w:rsidRPr="00CC44D7" w:rsidRDefault="00CF5358" w:rsidP="000E1772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ברישה במקום "</w:t>
            </w:r>
            <w:r w:rsidRPr="00CC44D7">
              <w:rPr>
                <w:rFonts w:asciiTheme="majorBidi" w:hAnsiTheme="majorBidi"/>
                <w:sz w:val="24"/>
                <w:szCs w:val="24"/>
                <w:rtl/>
              </w:rPr>
              <w:t>מכשירי טלגרף אלחוטי אשר המנהל כהגדרתו בתקנות הטלגרף האלחוטי (ר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י</w:t>
            </w:r>
            <w:r w:rsidRPr="00CC44D7">
              <w:rPr>
                <w:rFonts w:asciiTheme="majorBidi" w:hAnsiTheme="majorBidi"/>
                <w:sz w:val="24"/>
                <w:szCs w:val="24"/>
                <w:rtl/>
              </w:rPr>
              <w:t>שיו</w:t>
            </w:r>
            <w:r>
              <w:rPr>
                <w:rFonts w:asciiTheme="majorBidi" w:hAnsiTheme="majorBidi"/>
                <w:sz w:val="24"/>
                <w:szCs w:val="24"/>
                <w:rtl/>
              </w:rPr>
              <w:t xml:space="preserve">נות, תעודות ואגרות), 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ה</w:t>
            </w:r>
            <w:r>
              <w:rPr>
                <w:rFonts w:asciiTheme="majorBidi" w:hAnsiTheme="majorBidi"/>
                <w:sz w:val="24"/>
                <w:szCs w:val="24"/>
                <w:rtl/>
              </w:rPr>
              <w:t>תשמ"ז-1987</w:t>
            </w:r>
            <w:r w:rsidRPr="00CC44D7">
              <w:rPr>
                <w:rFonts w:asciiTheme="majorBidi" w:hAnsiTheme="majorBidi"/>
                <w:sz w:val="24"/>
                <w:szCs w:val="24"/>
                <w:rtl/>
              </w:rPr>
              <w:t xml:space="preserve">" 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 xml:space="preserve">יבוא </w:t>
            </w:r>
            <w:r>
              <w:rPr>
                <w:rFonts w:asciiTheme="majorBidi" w:hAnsiTheme="majorBidi"/>
                <w:sz w:val="24"/>
                <w:szCs w:val="24"/>
                <w:rtl/>
              </w:rPr>
              <w:t>"מכשיר</w:t>
            </w:r>
            <w:r w:rsidR="00B0617C">
              <w:rPr>
                <w:rFonts w:asciiTheme="majorBidi" w:hAnsiTheme="majorBidi" w:hint="cs"/>
                <w:sz w:val="24"/>
                <w:szCs w:val="24"/>
                <w:rtl/>
              </w:rPr>
              <w:t>ים</w:t>
            </w:r>
            <w:r>
              <w:rPr>
                <w:rFonts w:asciiTheme="majorBidi" w:hAnsiTheme="majorBidi"/>
                <w:sz w:val="24"/>
                <w:szCs w:val="24"/>
                <w:rtl/>
              </w:rPr>
              <w:t xml:space="preserve"> אלחוטי</w:t>
            </w:r>
            <w:r w:rsidR="00B0617C">
              <w:rPr>
                <w:rFonts w:asciiTheme="majorBidi" w:hAnsiTheme="majorBidi" w:hint="cs"/>
                <w:sz w:val="24"/>
                <w:szCs w:val="24"/>
                <w:rtl/>
              </w:rPr>
              <w:t>ים</w:t>
            </w:r>
            <w:r>
              <w:rPr>
                <w:rFonts w:asciiTheme="majorBidi" w:hAnsiTheme="majorBidi"/>
                <w:sz w:val="24"/>
                <w:szCs w:val="24"/>
                <w:rtl/>
              </w:rPr>
              <w:t xml:space="preserve"> אשר המנהל"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</w:tc>
      </w:tr>
      <w:tr w:rsidR="00BF1D5D" w:rsidRPr="00300A77" w:rsidTr="00FB4C24">
        <w:trPr>
          <w:cantSplit/>
          <w:trHeight w:val="60"/>
        </w:trPr>
        <w:tc>
          <w:tcPr>
            <w:tcW w:w="1183" w:type="dxa"/>
          </w:tcPr>
          <w:p w:rsidR="00BF1D5D" w:rsidRDefault="00BF1D5D" w:rsidP="000E1772">
            <w:pPr>
              <w:pStyle w:val="TableSideHeading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F1D5D" w:rsidRPr="00300A77" w:rsidRDefault="00BF1D5D" w:rsidP="000E177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70" w:type="dxa"/>
          </w:tcPr>
          <w:p w:rsidR="00BF1D5D" w:rsidRDefault="00BF1D5D" w:rsidP="000E177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F1D5D" w:rsidRDefault="00BF1D5D" w:rsidP="000E177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(2)</w:t>
            </w:r>
          </w:p>
        </w:tc>
        <w:tc>
          <w:tcPr>
            <w:tcW w:w="7516" w:type="dxa"/>
            <w:gridSpan w:val="2"/>
          </w:tcPr>
          <w:p w:rsidR="00BF1D5D" w:rsidRPr="00BF1D5D" w:rsidRDefault="00BF1D5D" w:rsidP="000E1772">
            <w:pPr>
              <w:pStyle w:val="TableBlock"/>
              <w:rPr>
                <w:rFonts w:asciiTheme="majorBidi" w:hAnsiTheme="majorBidi"/>
                <w:sz w:val="24"/>
                <w:szCs w:val="24"/>
                <w:highlight w:val="yellow"/>
                <w:rtl/>
              </w:rPr>
            </w:pPr>
            <w:r w:rsidRPr="00C67A50">
              <w:rPr>
                <w:rFonts w:asciiTheme="majorBidi" w:hAnsiTheme="majorBidi" w:hint="cs"/>
                <w:sz w:val="24"/>
                <w:szCs w:val="24"/>
                <w:rtl/>
              </w:rPr>
              <w:t>פסק</w:t>
            </w:r>
            <w:r w:rsidR="00716363" w:rsidRPr="00C67A50">
              <w:rPr>
                <w:rFonts w:asciiTheme="majorBidi" w:hAnsiTheme="majorBidi" w:hint="cs"/>
                <w:sz w:val="24"/>
                <w:szCs w:val="24"/>
                <w:rtl/>
              </w:rPr>
              <w:t>ת משנ</w:t>
            </w:r>
            <w:r w:rsidRPr="00C67A50">
              <w:rPr>
                <w:rFonts w:asciiTheme="majorBidi" w:hAnsiTheme="majorBidi" w:hint="cs"/>
                <w:sz w:val="24"/>
                <w:szCs w:val="24"/>
                <w:rtl/>
              </w:rPr>
              <w:t xml:space="preserve">ה (א) </w:t>
            </w:r>
            <w:r w:rsidRPr="00C67A50">
              <w:rPr>
                <w:rFonts w:asciiTheme="majorBidi" w:hAnsiTheme="majorBidi"/>
                <w:sz w:val="24"/>
                <w:szCs w:val="24"/>
                <w:rtl/>
              </w:rPr>
              <w:t>–</w:t>
            </w:r>
            <w:r w:rsidRPr="00C67A50">
              <w:rPr>
                <w:rFonts w:asciiTheme="majorBidi" w:hAnsiTheme="majorBidi" w:hint="cs"/>
                <w:sz w:val="24"/>
                <w:szCs w:val="24"/>
                <w:rtl/>
              </w:rPr>
              <w:t xml:space="preserve"> בטלה;</w:t>
            </w:r>
          </w:p>
        </w:tc>
      </w:tr>
      <w:tr w:rsidR="00CF5358" w:rsidRPr="00300A77" w:rsidTr="00FB4C24">
        <w:trPr>
          <w:cantSplit/>
          <w:trHeight w:val="60"/>
        </w:trPr>
        <w:tc>
          <w:tcPr>
            <w:tcW w:w="1183" w:type="dxa"/>
          </w:tcPr>
          <w:p w:rsidR="00CF5358" w:rsidRPr="00300A77" w:rsidRDefault="00CF5358" w:rsidP="000E177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358" w:rsidRPr="00300A77" w:rsidRDefault="00CF5358" w:rsidP="000E177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70" w:type="dxa"/>
          </w:tcPr>
          <w:p w:rsidR="00CF5358" w:rsidRDefault="00CF5358" w:rsidP="000E177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5358" w:rsidRDefault="00CF5358" w:rsidP="00BF1D5D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(</w:t>
            </w:r>
            <w:r w:rsidR="00BF1D5D">
              <w:rPr>
                <w:rFonts w:asciiTheme="majorBidi" w:hAnsiTheme="majorBidi" w:hint="cs"/>
                <w:sz w:val="24"/>
                <w:szCs w:val="24"/>
                <w:rtl/>
              </w:rPr>
              <w:t>3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)</w:t>
            </w:r>
          </w:p>
        </w:tc>
        <w:tc>
          <w:tcPr>
            <w:tcW w:w="7516" w:type="dxa"/>
            <w:gridSpan w:val="2"/>
          </w:tcPr>
          <w:p w:rsidR="00CF5358" w:rsidRPr="00300A77" w:rsidRDefault="00CF5358" w:rsidP="000E1772">
            <w:pPr>
              <w:pStyle w:val="TableBlock"/>
              <w:rPr>
                <w:rFonts w:asciiTheme="majorBidi" w:hAnsiTheme="majorBidi"/>
                <w:sz w:val="24"/>
                <w:szCs w:val="24"/>
              </w:rPr>
            </w:pP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>בפסקת משנה (ד), במקום "100 מיליוואט" יבוא "10 מיקרוואט, שרוחב הפס המירבי לשימוש הוא 787 קה"ץ, ומיועדים לשמש לפיקוד והתראה ברכבים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 xml:space="preserve">, לפי תקן </w:t>
            </w:r>
            <w:r>
              <w:rPr>
                <w:rFonts w:asciiTheme="majorBidi" w:hAnsiTheme="majorBidi"/>
                <w:sz w:val="24"/>
                <w:szCs w:val="24"/>
              </w:rPr>
              <w:t>FCC 15.231</w:t>
            </w: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>";</w:t>
            </w:r>
          </w:p>
        </w:tc>
      </w:tr>
      <w:tr w:rsidR="00CF5358" w:rsidRPr="00300A77" w:rsidTr="00FB4C24">
        <w:trPr>
          <w:cantSplit/>
          <w:trHeight w:val="60"/>
        </w:trPr>
        <w:tc>
          <w:tcPr>
            <w:tcW w:w="1183" w:type="dxa"/>
          </w:tcPr>
          <w:p w:rsidR="00CF5358" w:rsidRPr="00300A77" w:rsidRDefault="00CF5358" w:rsidP="000E177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358" w:rsidRPr="00300A77" w:rsidRDefault="00CF5358" w:rsidP="000E177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70" w:type="dxa"/>
          </w:tcPr>
          <w:p w:rsidR="00CF5358" w:rsidRDefault="00CF5358" w:rsidP="000E177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5358" w:rsidRDefault="00CF5358" w:rsidP="00BF1D5D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(</w:t>
            </w:r>
            <w:r w:rsidR="00BF1D5D">
              <w:rPr>
                <w:rFonts w:asciiTheme="majorBidi" w:hAnsiTheme="majorBidi" w:hint="cs"/>
                <w:sz w:val="24"/>
                <w:szCs w:val="24"/>
                <w:rtl/>
              </w:rPr>
              <w:t>4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)</w:t>
            </w:r>
          </w:p>
        </w:tc>
        <w:tc>
          <w:tcPr>
            <w:tcW w:w="7516" w:type="dxa"/>
            <w:gridSpan w:val="2"/>
          </w:tcPr>
          <w:p w:rsidR="00CF5358" w:rsidRPr="00300A77" w:rsidRDefault="00CF5358" w:rsidP="00B0617C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>בפסקת משנה (ט</w:t>
            </w:r>
            <w:r>
              <w:rPr>
                <w:rFonts w:asciiTheme="majorBidi" w:hAnsiTheme="majorBidi"/>
                <w:sz w:val="24"/>
                <w:szCs w:val="24"/>
                <w:rtl/>
              </w:rPr>
              <w:t xml:space="preserve">ז) במקום "446.1" יבוא "446.2", </w:t>
            </w: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 xml:space="preserve">במקום "8 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אפיקים</w:t>
            </w:r>
            <w:r w:rsidRPr="00D33A7F">
              <w:rPr>
                <w:rFonts w:asciiTheme="majorBidi" w:hAnsiTheme="majorBidi"/>
                <w:sz w:val="24"/>
                <w:szCs w:val="24"/>
                <w:rtl/>
              </w:rPr>
              <w:t>"</w:t>
            </w: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 xml:space="preserve"> יבוא "16 </w:t>
            </w:r>
            <w:r w:rsidR="00B0617C">
              <w:rPr>
                <w:rFonts w:asciiTheme="majorBidi" w:hAnsiTheme="majorBidi" w:hint="cs"/>
                <w:sz w:val="24"/>
                <w:szCs w:val="24"/>
                <w:rtl/>
              </w:rPr>
              <w:t>אפיקים</w:t>
            </w: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>"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, ובמקום "</w:t>
            </w:r>
            <w:r w:rsidRPr="00832BA2">
              <w:rPr>
                <w:rFonts w:asciiTheme="majorBidi" w:hAnsiTheme="majorBidi"/>
                <w:sz w:val="24"/>
                <w:szCs w:val="24"/>
                <w:rtl/>
              </w:rPr>
              <w:t xml:space="preserve">והכל לפי החלטה </w:t>
            </w:r>
            <w:r w:rsidRPr="00832BA2">
              <w:rPr>
                <w:rFonts w:asciiTheme="majorBidi" w:hAnsiTheme="majorBidi"/>
                <w:sz w:val="24"/>
                <w:szCs w:val="24"/>
              </w:rPr>
              <w:t>ERC/DEC/(98)25</w:t>
            </w:r>
            <w:r w:rsidRPr="00832BA2">
              <w:rPr>
                <w:rFonts w:asciiTheme="majorBidi" w:hAnsiTheme="majorBidi"/>
                <w:sz w:val="24"/>
                <w:szCs w:val="24"/>
                <w:rtl/>
              </w:rPr>
              <w:t xml:space="preserve"> מיום 23 בנובמבר 1998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 xml:space="preserve">" יבוא "ולפי תקן </w:t>
            </w:r>
            <w:r w:rsidRPr="00640EDB">
              <w:rPr>
                <w:rFonts w:asciiTheme="majorBidi" w:hAnsiTheme="majorBidi"/>
                <w:sz w:val="24"/>
                <w:szCs w:val="24"/>
              </w:rPr>
              <w:t>EN303 405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"</w:t>
            </w: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>;</w:t>
            </w:r>
          </w:p>
        </w:tc>
      </w:tr>
      <w:tr w:rsidR="00CF5358" w:rsidRPr="00300A77" w:rsidTr="00FB4C24">
        <w:trPr>
          <w:cantSplit/>
          <w:trHeight w:val="60"/>
        </w:trPr>
        <w:tc>
          <w:tcPr>
            <w:tcW w:w="1183" w:type="dxa"/>
          </w:tcPr>
          <w:p w:rsidR="00CF5358" w:rsidRPr="00300A77" w:rsidRDefault="00CF5358" w:rsidP="000E177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358" w:rsidRPr="00300A77" w:rsidRDefault="00CF5358" w:rsidP="000E177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70" w:type="dxa"/>
          </w:tcPr>
          <w:p w:rsidR="00CF5358" w:rsidRDefault="00CF5358" w:rsidP="000E177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F5358" w:rsidRDefault="00CF5358" w:rsidP="00BF1D5D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(</w:t>
            </w:r>
            <w:r w:rsidR="00BF1D5D">
              <w:rPr>
                <w:rFonts w:asciiTheme="majorBidi" w:hAnsiTheme="majorBidi" w:hint="cs"/>
                <w:sz w:val="24"/>
                <w:szCs w:val="24"/>
                <w:rtl/>
              </w:rPr>
              <w:t>5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)</w:t>
            </w:r>
          </w:p>
        </w:tc>
        <w:tc>
          <w:tcPr>
            <w:tcW w:w="7516" w:type="dxa"/>
            <w:gridSpan w:val="2"/>
          </w:tcPr>
          <w:p w:rsidR="00CF5358" w:rsidRPr="00300A77" w:rsidRDefault="00CF5358" w:rsidP="000E1772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>אחרי פסקת משנה (כ) יבוא -</w:t>
            </w:r>
          </w:p>
        </w:tc>
      </w:tr>
      <w:tr w:rsidR="00CF5358" w:rsidRPr="00300A77" w:rsidTr="00FB4C24">
        <w:trPr>
          <w:cantSplit/>
          <w:trHeight w:val="60"/>
        </w:trPr>
        <w:tc>
          <w:tcPr>
            <w:tcW w:w="1183" w:type="dxa"/>
          </w:tcPr>
          <w:p w:rsidR="00CF5358" w:rsidRPr="00300A77" w:rsidRDefault="00CF5358" w:rsidP="000E177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358" w:rsidRPr="00300A77" w:rsidRDefault="00CF5358" w:rsidP="000E177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70" w:type="dxa"/>
          </w:tcPr>
          <w:p w:rsidR="00CF5358" w:rsidRPr="00A345A4" w:rsidRDefault="00CF5358" w:rsidP="000E1772">
            <w:pPr>
              <w:pStyle w:val="TableText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358" w:rsidRPr="00A345A4" w:rsidRDefault="00CF5358" w:rsidP="000E1772">
            <w:pPr>
              <w:pStyle w:val="TableText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09" w:type="dxa"/>
          </w:tcPr>
          <w:p w:rsidR="00CF5358" w:rsidRPr="00300A77" w:rsidRDefault="00CF5358" w:rsidP="000E1772">
            <w:pPr>
              <w:pStyle w:val="TableText"/>
              <w:rPr>
                <w:rFonts w:asciiTheme="majorBidi" w:hAnsiTheme="majorBidi"/>
                <w:sz w:val="24"/>
                <w:szCs w:val="24"/>
              </w:rPr>
            </w:pP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>"(כא)</w:t>
            </w:r>
          </w:p>
        </w:tc>
        <w:tc>
          <w:tcPr>
            <w:tcW w:w="6607" w:type="dxa"/>
          </w:tcPr>
          <w:p w:rsidR="00CF5358" w:rsidRPr="00300A77" w:rsidRDefault="00CF5358" w:rsidP="000E1772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 xml:space="preserve">הפועלים בתוך פס התדרים 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 xml:space="preserve">1-9 </w:t>
            </w: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 xml:space="preserve">קה"ץ בתנאים אלה: </w:t>
            </w:r>
          </w:p>
          <w:p w:rsidR="00CF5358" w:rsidRDefault="00855242" w:rsidP="00855242">
            <w:pPr>
              <w:pStyle w:val="TableBlock"/>
              <w:numPr>
                <w:ilvl w:val="0"/>
                <w:numId w:val="3"/>
              </w:numPr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  <w:rtl/>
              </w:rPr>
              <w:t>עוצמת השדה המגנטי</w:t>
            </w:r>
            <w:r w:rsidR="00CF5358" w:rsidRPr="00300A77">
              <w:rPr>
                <w:rFonts w:asciiTheme="majorBidi" w:hAnsiTheme="majorBidi"/>
                <w:sz w:val="24"/>
                <w:szCs w:val="24"/>
                <w:rtl/>
              </w:rPr>
              <w:t xml:space="preserve"> הנמדדת במרחק 10 מטרים מן המכשיר אינה עולה על 72 ד"ב מיקרואמפר למטר (</w:t>
            </w:r>
            <w:r w:rsidR="009940BD">
              <w:rPr>
                <w:rFonts w:asciiTheme="majorBidi" w:hAnsiTheme="majorBidi"/>
                <w:sz w:val="24"/>
                <w:szCs w:val="24"/>
              </w:rPr>
              <w:t>72</w:t>
            </w:r>
            <w:r w:rsidR="00CF5358" w:rsidRPr="00300A77">
              <w:rPr>
                <w:rFonts w:asciiTheme="majorBidi" w:hAnsiTheme="majorBidi"/>
                <w:sz w:val="24"/>
                <w:szCs w:val="24"/>
              </w:rPr>
              <w:t>dBµA/m @10m</w:t>
            </w:r>
            <w:r w:rsidR="00CF5358" w:rsidRPr="00300A77">
              <w:rPr>
                <w:rFonts w:asciiTheme="majorBidi" w:hAnsiTheme="majorBidi"/>
                <w:sz w:val="24"/>
                <w:szCs w:val="24"/>
                <w:rtl/>
              </w:rPr>
              <w:t>)</w:t>
            </w:r>
            <w:r w:rsidR="00CF5358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  <w:p w:rsidR="00CF5358" w:rsidRDefault="00CF5358" w:rsidP="00463FAE">
            <w:pPr>
              <w:pStyle w:val="TableBlock"/>
              <w:numPr>
                <w:ilvl w:val="0"/>
                <w:numId w:val="3"/>
              </w:numPr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מיועדים לשמש כגלאי מתכות ידני המופעל על ידי סוללות בלבד;</w:t>
            </w:r>
          </w:p>
          <w:p w:rsidR="00CF5358" w:rsidRPr="007F0B37" w:rsidRDefault="00CF5358" w:rsidP="00463FAE">
            <w:pPr>
              <w:pStyle w:val="TableBlock"/>
              <w:numPr>
                <w:ilvl w:val="0"/>
                <w:numId w:val="3"/>
              </w:numPr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עומדים בתקן 454 303</w:t>
            </w: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hint="cs"/>
                <w:sz w:val="24"/>
                <w:szCs w:val="24"/>
              </w:rPr>
              <w:t>EN</w:t>
            </w: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>;</w:t>
            </w:r>
            <w:r w:rsidRPr="007F0B37">
              <w:rPr>
                <w:rFonts w:asciiTheme="majorBidi" w:hAnsiTheme="majorBidi" w:hint="cs"/>
                <w:sz w:val="24"/>
                <w:szCs w:val="24"/>
                <w:rtl/>
              </w:rPr>
              <w:t xml:space="preserve"> </w:t>
            </w:r>
          </w:p>
        </w:tc>
      </w:tr>
      <w:tr w:rsidR="001421B5" w:rsidRPr="00300A77" w:rsidTr="00FB4C24">
        <w:trPr>
          <w:cantSplit/>
          <w:trHeight w:val="60"/>
        </w:trPr>
        <w:tc>
          <w:tcPr>
            <w:tcW w:w="1183" w:type="dxa"/>
          </w:tcPr>
          <w:p w:rsidR="001421B5" w:rsidRPr="00300A77" w:rsidRDefault="001421B5" w:rsidP="000E177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1421B5" w:rsidRPr="00300A77" w:rsidRDefault="001421B5" w:rsidP="000E177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70" w:type="dxa"/>
          </w:tcPr>
          <w:p w:rsidR="001421B5" w:rsidRPr="00A345A4" w:rsidRDefault="001421B5" w:rsidP="000E1772">
            <w:pPr>
              <w:pStyle w:val="TableText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1421B5" w:rsidRPr="00A345A4" w:rsidRDefault="001421B5" w:rsidP="000E1772">
            <w:pPr>
              <w:pStyle w:val="TableText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09" w:type="dxa"/>
          </w:tcPr>
          <w:p w:rsidR="001421B5" w:rsidRPr="00BF1D5D" w:rsidRDefault="001A5959" w:rsidP="000E177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(כב)</w:t>
            </w:r>
          </w:p>
        </w:tc>
        <w:tc>
          <w:tcPr>
            <w:tcW w:w="6607" w:type="dxa"/>
          </w:tcPr>
          <w:p w:rsidR="001421B5" w:rsidRPr="00BF1D5D" w:rsidRDefault="001421B5" w:rsidP="00367B03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הפועלים בת</w:t>
            </w:r>
            <w:r w:rsidR="00367B03"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דר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8.13 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קה"ץ בתנאים אלה: </w:t>
            </w:r>
          </w:p>
          <w:p w:rsidR="001421B5" w:rsidRPr="00BF1D5D" w:rsidRDefault="00855242" w:rsidP="00855242">
            <w:pPr>
              <w:pStyle w:val="TableBlock"/>
              <w:numPr>
                <w:ilvl w:val="0"/>
                <w:numId w:val="25"/>
              </w:numPr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  <w:rtl/>
              </w:rPr>
              <w:t>עוצמת השדה המגנטי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 xml:space="preserve"> </w:t>
            </w:r>
            <w:r w:rsidR="001421B5"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הנמדדת במרחק 10 מטרים מן המכשיר אינה עולה על </w:t>
            </w:r>
            <w:r w:rsidR="001421B5" w:rsidRPr="00BF1D5D">
              <w:rPr>
                <w:rFonts w:asciiTheme="majorBidi" w:hAnsiTheme="majorBidi" w:hint="cs"/>
                <w:sz w:val="24"/>
                <w:szCs w:val="24"/>
                <w:rtl/>
              </w:rPr>
              <w:t>24</w:t>
            </w:r>
            <w:r w:rsidR="001421B5"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 ד"ב מיקרואמפר למטר (</w:t>
            </w:r>
            <w:r w:rsidR="00C46F65" w:rsidRPr="00BF1D5D">
              <w:rPr>
                <w:rFonts w:asciiTheme="majorBidi" w:hAnsiTheme="majorBidi"/>
                <w:sz w:val="24"/>
                <w:szCs w:val="24"/>
              </w:rPr>
              <w:t>24</w:t>
            </w:r>
            <w:r w:rsidR="001421B5" w:rsidRPr="00BF1D5D">
              <w:rPr>
                <w:rFonts w:asciiTheme="majorBidi" w:hAnsiTheme="majorBidi"/>
                <w:sz w:val="24"/>
                <w:szCs w:val="24"/>
              </w:rPr>
              <w:t>dBµA/m @10m</w:t>
            </w:r>
            <w:r w:rsidR="001421B5" w:rsidRPr="00BF1D5D">
              <w:rPr>
                <w:rFonts w:asciiTheme="majorBidi" w:hAnsiTheme="majorBidi"/>
                <w:sz w:val="24"/>
                <w:szCs w:val="24"/>
                <w:rtl/>
              </w:rPr>
              <w:t>)</w:t>
            </w:r>
            <w:r w:rsidR="001421B5"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  <w:p w:rsidR="00367B03" w:rsidRPr="00BF1D5D" w:rsidRDefault="00367B03" w:rsidP="00463FAE">
            <w:pPr>
              <w:pStyle w:val="TableBlock"/>
              <w:numPr>
                <w:ilvl w:val="0"/>
                <w:numId w:val="25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רוחב הפס המירבי לשימוש הוא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40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הרץ;</w:t>
            </w:r>
          </w:p>
          <w:p w:rsidR="001421B5" w:rsidRPr="00BF1D5D" w:rsidRDefault="001421B5" w:rsidP="00463FAE">
            <w:pPr>
              <w:pStyle w:val="TableBlock"/>
              <w:numPr>
                <w:ilvl w:val="0"/>
                <w:numId w:val="25"/>
              </w:numPr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מיועדים לשמש כג</w:t>
            </w:r>
            <w:r w:rsidR="00367B03" w:rsidRPr="00BF1D5D">
              <w:rPr>
                <w:rFonts w:asciiTheme="majorBidi" w:hAnsiTheme="majorBidi" w:hint="cs"/>
                <w:sz w:val="24"/>
                <w:szCs w:val="24"/>
                <w:rtl/>
              </w:rPr>
              <w:t>דר אלחוטית וירטואלית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</w:tc>
      </w:tr>
      <w:tr w:rsidR="00CF5358" w:rsidRPr="00300A77" w:rsidTr="00FB4C24">
        <w:trPr>
          <w:cantSplit/>
          <w:trHeight w:val="60"/>
        </w:trPr>
        <w:tc>
          <w:tcPr>
            <w:tcW w:w="1183" w:type="dxa"/>
          </w:tcPr>
          <w:p w:rsidR="00CF5358" w:rsidRPr="00300A77" w:rsidRDefault="00CF5358" w:rsidP="000E177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358" w:rsidRPr="00300A77" w:rsidRDefault="00CF5358" w:rsidP="000E177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70" w:type="dxa"/>
          </w:tcPr>
          <w:p w:rsidR="00CF5358" w:rsidRPr="00300A77" w:rsidRDefault="00CF5358" w:rsidP="000E1772">
            <w:pPr>
              <w:pStyle w:val="TableText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358" w:rsidRPr="00300A77" w:rsidRDefault="00CF5358" w:rsidP="000E1772">
            <w:pPr>
              <w:pStyle w:val="TableText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09" w:type="dxa"/>
          </w:tcPr>
          <w:p w:rsidR="00CF5358" w:rsidRPr="00300A77" w:rsidRDefault="001A5959" w:rsidP="000E1772">
            <w:pPr>
              <w:pStyle w:val="TableText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  <w:rtl/>
              </w:rPr>
              <w:t>(כ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ג</w:t>
            </w:r>
            <w:r w:rsidR="00CF5358" w:rsidRPr="00300A77">
              <w:rPr>
                <w:rFonts w:asciiTheme="majorBidi" w:hAnsiTheme="majorBidi"/>
                <w:sz w:val="24"/>
                <w:szCs w:val="24"/>
                <w:rtl/>
              </w:rPr>
              <w:t>)</w:t>
            </w:r>
          </w:p>
        </w:tc>
        <w:tc>
          <w:tcPr>
            <w:tcW w:w="6607" w:type="dxa"/>
          </w:tcPr>
          <w:p w:rsidR="00CF5358" w:rsidRPr="00300A77" w:rsidRDefault="00CF5358" w:rsidP="000E1772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 xml:space="preserve">הפועלים בתוך פס התדרים 9-90 קה"ץ בתנאים אלה: </w:t>
            </w:r>
          </w:p>
          <w:p w:rsidR="00CF5358" w:rsidRPr="00300A77" w:rsidRDefault="00CF5358" w:rsidP="00855242">
            <w:pPr>
              <w:pStyle w:val="TableBlock"/>
              <w:numPr>
                <w:ilvl w:val="0"/>
                <w:numId w:val="26"/>
              </w:numPr>
              <w:rPr>
                <w:rFonts w:asciiTheme="majorBidi" w:hAnsiTheme="majorBidi"/>
                <w:sz w:val="24"/>
                <w:szCs w:val="24"/>
              </w:rPr>
            </w:pP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>עוצמת השדה המגנטי</w:t>
            </w:r>
            <w:r w:rsidR="00855242">
              <w:rPr>
                <w:rFonts w:asciiTheme="majorBidi" w:hAnsiTheme="majorBidi" w:hint="cs"/>
                <w:sz w:val="24"/>
                <w:szCs w:val="24"/>
                <w:rtl/>
              </w:rPr>
              <w:t xml:space="preserve"> </w:t>
            </w: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>הנמדדת במרחק 10 מטרים מן המכשיר אינה עולה על 72 ד"ב מיקרואמפר למטר (</w:t>
            </w:r>
            <w:r w:rsidR="00C46F65">
              <w:rPr>
                <w:rFonts w:asciiTheme="majorBidi" w:hAnsiTheme="majorBidi"/>
                <w:sz w:val="24"/>
                <w:szCs w:val="24"/>
              </w:rPr>
              <w:t>72</w:t>
            </w:r>
            <w:r w:rsidRPr="00300A77">
              <w:rPr>
                <w:rFonts w:asciiTheme="majorBidi" w:hAnsiTheme="majorBidi"/>
                <w:sz w:val="24"/>
                <w:szCs w:val="24"/>
              </w:rPr>
              <w:t>dBµA/m @10m</w:t>
            </w:r>
            <w:r>
              <w:rPr>
                <w:rFonts w:asciiTheme="majorBidi" w:hAnsiTheme="majorBidi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  <w:p w:rsidR="00CF5358" w:rsidRPr="00300A77" w:rsidRDefault="00CF5358" w:rsidP="00463FAE">
            <w:pPr>
              <w:pStyle w:val="TableBlock"/>
              <w:numPr>
                <w:ilvl w:val="0"/>
                <w:numId w:val="26"/>
              </w:numPr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אם כוללים</w:t>
            </w: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 xml:space="preserve"> אנטנה חיצונית 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 xml:space="preserve">היא </w:t>
            </w: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 xml:space="preserve"> אנטנה מסוג </w:t>
            </w:r>
            <w:r w:rsidRPr="00300A77">
              <w:rPr>
                <w:rFonts w:asciiTheme="majorBidi" w:hAnsiTheme="majorBidi"/>
                <w:sz w:val="24"/>
                <w:szCs w:val="24"/>
              </w:rPr>
              <w:t xml:space="preserve">Loop coil </w:t>
            </w: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 xml:space="preserve">; </w:t>
            </w:r>
          </w:p>
          <w:p w:rsidR="00CF5358" w:rsidRDefault="00CF5358" w:rsidP="00463FAE">
            <w:pPr>
              <w:pStyle w:val="TableBlock"/>
              <w:numPr>
                <w:ilvl w:val="0"/>
                <w:numId w:val="26"/>
              </w:numPr>
              <w:rPr>
                <w:rFonts w:asciiTheme="majorBidi" w:hAnsiTheme="majorBidi"/>
                <w:sz w:val="24"/>
                <w:szCs w:val="24"/>
              </w:rPr>
            </w:pP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 xml:space="preserve">המיועדים לשמש כמערכות </w:t>
            </w:r>
            <w:r w:rsidRPr="00300A77">
              <w:rPr>
                <w:rFonts w:asciiTheme="majorBidi" w:hAnsiTheme="majorBidi"/>
                <w:sz w:val="24"/>
                <w:szCs w:val="24"/>
              </w:rPr>
              <w:t>RFID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 xml:space="preserve">, מערכות בקרה אלחוטית, </w:t>
            </w: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 xml:space="preserve">גלאי </w:t>
            </w:r>
            <w:r w:rsidRPr="00300A77">
              <w:rPr>
                <w:rFonts w:asciiTheme="majorBidi" w:hAnsiTheme="majorBidi"/>
                <w:sz w:val="24"/>
                <w:szCs w:val="24"/>
                <w:rtl/>
              </w:rPr>
              <w:lastRenderedPageBreak/>
              <w:t>מתכות וגלאי תשתיות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 xml:space="preserve">, זיהוי </w:t>
            </w:r>
            <w:r>
              <w:rPr>
                <w:rFonts w:asciiTheme="majorBidi" w:hAnsiTheme="majorBidi" w:hint="cs"/>
                <w:sz w:val="24"/>
                <w:szCs w:val="24"/>
              </w:rPr>
              <w:t>RFID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, ערוצי תקשורת קולית, תוואי ערוץ רכב חשמלי, אימובילייזר לרכב</w:t>
            </w: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>;</w:t>
            </w:r>
          </w:p>
          <w:p w:rsidR="00CF5358" w:rsidRPr="00300A77" w:rsidRDefault="00CF5358" w:rsidP="00463FAE">
            <w:pPr>
              <w:pStyle w:val="TableBlock"/>
              <w:numPr>
                <w:ilvl w:val="0"/>
                <w:numId w:val="26"/>
              </w:numPr>
              <w:rPr>
                <w:rFonts w:asciiTheme="majorBidi" w:hAnsiTheme="majorBidi"/>
                <w:sz w:val="24"/>
                <w:szCs w:val="24"/>
                <w:rtl/>
              </w:rPr>
            </w:pPr>
            <w:r w:rsidRPr="0075389E">
              <w:rPr>
                <w:rFonts w:asciiTheme="majorBidi" w:hAnsiTheme="majorBidi" w:hint="cs"/>
                <w:sz w:val="24"/>
                <w:szCs w:val="24"/>
                <w:rtl/>
              </w:rPr>
              <w:t>עומדים ב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אחד ה</w:t>
            </w:r>
            <w:r w:rsidRPr="0075389E">
              <w:rPr>
                <w:rFonts w:asciiTheme="majorBidi" w:hAnsiTheme="majorBidi" w:hint="cs"/>
                <w:sz w:val="24"/>
                <w:szCs w:val="24"/>
                <w:rtl/>
              </w:rPr>
              <w:t>תקנים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 xml:space="preserve"> הבאים:</w:t>
            </w:r>
            <w:r w:rsidRPr="0075389E">
              <w:rPr>
                <w:rFonts w:asciiTheme="majorBidi" w:hAnsiTheme="majorBidi" w:hint="cs"/>
                <w:sz w:val="24"/>
                <w:szCs w:val="24"/>
                <w:rtl/>
              </w:rPr>
              <w:t xml:space="preserve"> </w:t>
            </w:r>
            <w:r w:rsidRPr="0075389E">
              <w:rPr>
                <w:rFonts w:asciiTheme="majorBidi" w:hAnsiTheme="majorBidi"/>
                <w:sz w:val="24"/>
                <w:szCs w:val="24"/>
              </w:rPr>
              <w:t>EN 303 447</w:t>
            </w:r>
            <w:r w:rsidRPr="0075389E">
              <w:rPr>
                <w:rFonts w:asciiTheme="majorBidi" w:hAnsiTheme="majorBidi" w:hint="cs"/>
                <w:sz w:val="24"/>
                <w:szCs w:val="24"/>
                <w:rtl/>
              </w:rPr>
              <w:t xml:space="preserve"> , </w:t>
            </w:r>
            <w:r w:rsidRPr="0075389E">
              <w:rPr>
                <w:rFonts w:asciiTheme="majorBidi" w:hAnsiTheme="majorBidi"/>
                <w:sz w:val="24"/>
                <w:szCs w:val="24"/>
              </w:rPr>
              <w:t>EN 303 454</w:t>
            </w:r>
            <w:r w:rsidRPr="0075389E">
              <w:rPr>
                <w:rFonts w:asciiTheme="majorBidi" w:hAnsiTheme="majorBidi" w:hint="cs"/>
                <w:sz w:val="24"/>
                <w:szCs w:val="24"/>
                <w:rtl/>
              </w:rPr>
              <w:t xml:space="preserve">, </w:t>
            </w:r>
            <w:r w:rsidRPr="0075389E">
              <w:rPr>
                <w:rFonts w:asciiTheme="majorBidi" w:hAnsiTheme="majorBidi"/>
                <w:sz w:val="24"/>
                <w:szCs w:val="24"/>
              </w:rPr>
              <w:t>EN 300 330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</w:tc>
      </w:tr>
      <w:tr w:rsidR="00CF5358" w:rsidRPr="00300A77" w:rsidTr="00FB4C24">
        <w:trPr>
          <w:cantSplit/>
          <w:trHeight w:val="60"/>
        </w:trPr>
        <w:tc>
          <w:tcPr>
            <w:tcW w:w="1183" w:type="dxa"/>
          </w:tcPr>
          <w:p w:rsidR="00CF5358" w:rsidRPr="00300A77" w:rsidRDefault="00CF5358" w:rsidP="000E177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358" w:rsidRPr="00300A77" w:rsidRDefault="00CF5358" w:rsidP="000E177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70" w:type="dxa"/>
          </w:tcPr>
          <w:p w:rsidR="00CF5358" w:rsidRPr="00300A77" w:rsidRDefault="00CF5358" w:rsidP="000E1772">
            <w:pPr>
              <w:pStyle w:val="TableText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358" w:rsidRPr="00300A77" w:rsidRDefault="00CF5358" w:rsidP="000E1772">
            <w:pPr>
              <w:pStyle w:val="TableText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09" w:type="dxa"/>
          </w:tcPr>
          <w:p w:rsidR="00CF5358" w:rsidRPr="00300A77" w:rsidRDefault="001A5959" w:rsidP="000E1772">
            <w:pPr>
              <w:pStyle w:val="TableText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(כד</w:t>
            </w:r>
            <w:r w:rsidR="00CF5358">
              <w:rPr>
                <w:rFonts w:asciiTheme="majorBidi" w:hAnsiTheme="majorBidi" w:hint="cs"/>
                <w:sz w:val="24"/>
                <w:szCs w:val="24"/>
                <w:rtl/>
              </w:rPr>
              <w:t>)</w:t>
            </w:r>
          </w:p>
        </w:tc>
        <w:tc>
          <w:tcPr>
            <w:tcW w:w="6607" w:type="dxa"/>
          </w:tcPr>
          <w:p w:rsidR="00CF5358" w:rsidRPr="00BF1D5D" w:rsidRDefault="00CF5358" w:rsidP="000E1772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הפועלים בתוך פס התדרים 9-315 קה"ץ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 בתנאים אלה: </w:t>
            </w:r>
          </w:p>
          <w:p w:rsidR="00CF5358" w:rsidRPr="00BF1D5D" w:rsidRDefault="00CF5358" w:rsidP="00855242">
            <w:pPr>
              <w:pStyle w:val="TableBlock"/>
              <w:numPr>
                <w:ilvl w:val="0"/>
                <w:numId w:val="27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עוצמת השדה המגנטי</w:t>
            </w:r>
            <w:r w:rsidR="00855242">
              <w:rPr>
                <w:rFonts w:asciiTheme="majorBidi" w:hAnsiTheme="majorBidi" w:hint="cs"/>
                <w:sz w:val="24"/>
                <w:szCs w:val="24"/>
                <w:rtl/>
              </w:rPr>
              <w:t xml:space="preserve"> 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הנמדדת במרחק 10 מטרים מן המכשיר אינה עולה על 30 ד"ב מיקרואמפר למטר (</w:t>
            </w:r>
            <w:r w:rsidRPr="00BF1D5D">
              <w:rPr>
                <w:rFonts w:asciiTheme="majorBidi" w:hAnsiTheme="majorBidi"/>
                <w:sz w:val="24"/>
                <w:szCs w:val="24"/>
              </w:rPr>
              <w:t>dBµA/m @10m</w:t>
            </w:r>
            <w:r w:rsidR="00C46F65" w:rsidRPr="00BF1D5D">
              <w:rPr>
                <w:rFonts w:asciiTheme="majorBidi" w:hAnsiTheme="majorBidi" w:hint="cs"/>
                <w:sz w:val="24"/>
                <w:szCs w:val="24"/>
                <w:rtl/>
              </w:rPr>
              <w:t>30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)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  <w:p w:rsidR="00CF5358" w:rsidRPr="00BF1D5D" w:rsidRDefault="00CF5358" w:rsidP="00463FAE">
            <w:pPr>
              <w:pStyle w:val="TableBlock"/>
              <w:numPr>
                <w:ilvl w:val="0"/>
                <w:numId w:val="27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מופעלים ב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 </w:t>
            </w:r>
            <w:r w:rsidRPr="00BF1D5D">
              <w:rPr>
                <w:rFonts w:asciiTheme="majorBidi" w:hAnsiTheme="majorBidi"/>
                <w:sz w:val="24"/>
                <w:szCs w:val="24"/>
              </w:rPr>
              <w:t xml:space="preserve"> Duty cycle≤10%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  <w:p w:rsidR="00CF5358" w:rsidRPr="00BF1D5D" w:rsidRDefault="00CF5358" w:rsidP="00463FAE">
            <w:pPr>
              <w:pStyle w:val="TableBlock"/>
              <w:numPr>
                <w:ilvl w:val="0"/>
                <w:numId w:val="27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מיועדים לשמש לשתלים רפואיים עם העברת טלמטריה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  <w:p w:rsidR="00CF5358" w:rsidRPr="00BF1D5D" w:rsidRDefault="00CF5358" w:rsidP="00463FAE">
            <w:pPr>
              <w:pStyle w:val="TableBlock"/>
              <w:numPr>
                <w:ilvl w:val="0"/>
                <w:numId w:val="27"/>
              </w:numPr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עומדים בתקן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EN 302 195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</w:tc>
      </w:tr>
      <w:tr w:rsidR="00663732" w:rsidRPr="00300A77" w:rsidTr="00FB4C24">
        <w:trPr>
          <w:cantSplit/>
          <w:trHeight w:val="60"/>
        </w:trPr>
        <w:tc>
          <w:tcPr>
            <w:tcW w:w="1183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70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09" w:type="dxa"/>
          </w:tcPr>
          <w:p w:rsidR="00663732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(כה)</w:t>
            </w:r>
          </w:p>
        </w:tc>
        <w:tc>
          <w:tcPr>
            <w:tcW w:w="6607" w:type="dxa"/>
          </w:tcPr>
          <w:p w:rsidR="00793CFA" w:rsidRPr="00793CFA" w:rsidRDefault="00793CFA" w:rsidP="00793CFA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 w:rsidRPr="00793CFA">
              <w:rPr>
                <w:rFonts w:asciiTheme="majorBidi" w:hAnsiTheme="majorBidi"/>
                <w:sz w:val="24"/>
                <w:szCs w:val="24"/>
                <w:rtl/>
              </w:rPr>
              <w:t xml:space="preserve">הפועלים בתוך פס התדרים 31-882 קה"ץ בתנאים אלה: </w:t>
            </w:r>
          </w:p>
          <w:p w:rsidR="00793CFA" w:rsidRPr="00793CFA" w:rsidRDefault="00793CFA" w:rsidP="00C67A50">
            <w:pPr>
              <w:pStyle w:val="TableBlock"/>
              <w:numPr>
                <w:ilvl w:val="0"/>
                <w:numId w:val="28"/>
              </w:numPr>
              <w:rPr>
                <w:rFonts w:asciiTheme="majorBidi" w:hAnsiTheme="majorBidi"/>
                <w:sz w:val="24"/>
                <w:szCs w:val="24"/>
                <w:rtl/>
              </w:rPr>
            </w:pPr>
            <w:r w:rsidRPr="00793CFA">
              <w:rPr>
                <w:rFonts w:asciiTheme="majorBidi" w:hAnsiTheme="majorBidi"/>
                <w:sz w:val="24"/>
                <w:szCs w:val="24"/>
                <w:rtl/>
              </w:rPr>
              <w:t>מזוודים במעטפת מתכתית המונעת דליפת קרינת</w:t>
            </w:r>
            <w:r w:rsidR="00C67A50">
              <w:rPr>
                <w:rFonts w:asciiTheme="majorBidi" w:hAnsiTheme="majorBidi" w:hint="cs"/>
                <w:sz w:val="24"/>
                <w:szCs w:val="24"/>
                <w:rtl/>
              </w:rPr>
              <w:t xml:space="preserve"> </w:t>
            </w:r>
            <w:r w:rsidRPr="00793CFA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/>
                <w:sz w:val="24"/>
                <w:szCs w:val="24"/>
              </w:rPr>
              <w:t>RFI</w:t>
            </w:r>
            <w:r w:rsidR="00C67A50">
              <w:rPr>
                <w:rFonts w:asciiTheme="majorBidi" w:hAnsiTheme="majorBidi" w:hint="cs"/>
                <w:sz w:val="24"/>
                <w:szCs w:val="24"/>
                <w:rtl/>
              </w:rPr>
              <w:t>(</w:t>
            </w:r>
            <w:r w:rsidR="00C67A50">
              <w:rPr>
                <w:rFonts w:asciiTheme="majorBidi" w:hAnsiTheme="majorBidi"/>
                <w:sz w:val="24"/>
                <w:szCs w:val="24"/>
              </w:rPr>
              <w:t>radio frequency interference</w:t>
            </w:r>
            <w:r w:rsidR="00C67A50">
              <w:rPr>
                <w:rFonts w:asciiTheme="majorBidi" w:hAnsiTheme="majorBidi" w:hint="cs"/>
                <w:sz w:val="24"/>
                <w:szCs w:val="24"/>
                <w:rtl/>
              </w:rPr>
              <w:t xml:space="preserve">) 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ו</w:t>
            </w:r>
            <w:r w:rsidRPr="00793CFA">
              <w:rPr>
                <w:rFonts w:asciiTheme="majorBidi" w:hAnsiTheme="majorBidi"/>
                <w:sz w:val="24"/>
                <w:szCs w:val="24"/>
                <w:rtl/>
              </w:rPr>
              <w:t xml:space="preserve">בעלי כבלי מתח מזוודים עם התקנים המונעים דליפת קרינת </w:t>
            </w:r>
            <w:r w:rsidRPr="00793CFA">
              <w:rPr>
                <w:rFonts w:asciiTheme="majorBidi" w:hAnsiTheme="majorBidi"/>
                <w:sz w:val="24"/>
                <w:szCs w:val="24"/>
              </w:rPr>
              <w:t>RFI</w:t>
            </w:r>
            <w:r w:rsidR="00090D2C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  <w:p w:rsidR="00793CFA" w:rsidRPr="00793CFA" w:rsidRDefault="00793CFA" w:rsidP="00793CFA">
            <w:pPr>
              <w:pStyle w:val="TableBlock"/>
              <w:numPr>
                <w:ilvl w:val="0"/>
                <w:numId w:val="28"/>
              </w:numPr>
              <w:rPr>
                <w:rFonts w:asciiTheme="majorBidi" w:hAnsiTheme="majorBidi"/>
                <w:sz w:val="24"/>
                <w:szCs w:val="24"/>
                <w:rtl/>
              </w:rPr>
            </w:pPr>
            <w:r w:rsidRPr="00793CFA">
              <w:rPr>
                <w:rFonts w:asciiTheme="majorBidi" w:hAnsiTheme="majorBidi"/>
                <w:sz w:val="24"/>
                <w:szCs w:val="24"/>
                <w:rtl/>
              </w:rPr>
              <w:t>עוצמת השדה המגנטי הנמדדת במרחק 10 מטרים מהמכשיר אינה עולה על 15- ד"ב מיקרואמפר למטר (</w:t>
            </w:r>
            <w:r>
              <w:rPr>
                <w:rFonts w:asciiTheme="majorBidi" w:hAnsiTheme="majorBidi"/>
                <w:sz w:val="24"/>
                <w:szCs w:val="24"/>
              </w:rPr>
              <w:t>15</w:t>
            </w:r>
            <w:r w:rsidRPr="00793CFA">
              <w:rPr>
                <w:rFonts w:asciiTheme="majorBidi" w:hAnsiTheme="majorBidi"/>
                <w:sz w:val="24"/>
                <w:szCs w:val="24"/>
              </w:rPr>
              <w:t>dBµA/m @10m</w:t>
            </w:r>
            <w:r w:rsidRPr="00793CFA">
              <w:rPr>
                <w:rFonts w:asciiTheme="majorBidi" w:hAnsiTheme="majorBidi"/>
                <w:sz w:val="24"/>
                <w:szCs w:val="24"/>
                <w:rtl/>
              </w:rPr>
              <w:t xml:space="preserve">-) </w:t>
            </w:r>
            <w:r w:rsidR="001C0612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  <w:p w:rsidR="00793CFA" w:rsidRPr="00793CFA" w:rsidRDefault="00793CFA" w:rsidP="00793CFA">
            <w:pPr>
              <w:pStyle w:val="TableBlock"/>
              <w:numPr>
                <w:ilvl w:val="0"/>
                <w:numId w:val="28"/>
              </w:numPr>
              <w:rPr>
                <w:rFonts w:asciiTheme="majorBidi" w:hAnsiTheme="majorBidi"/>
                <w:sz w:val="24"/>
                <w:szCs w:val="24"/>
                <w:rtl/>
              </w:rPr>
            </w:pPr>
            <w:r w:rsidRPr="00793CFA">
              <w:rPr>
                <w:rFonts w:asciiTheme="majorBidi" w:hAnsiTheme="majorBidi"/>
                <w:sz w:val="24"/>
                <w:szCs w:val="24"/>
                <w:rtl/>
              </w:rPr>
              <w:t xml:space="preserve">הספק השידור אינו עולה על </w:t>
            </w:r>
            <w:r w:rsidRPr="00793CFA">
              <w:rPr>
                <w:rFonts w:asciiTheme="majorBidi" w:hAnsiTheme="majorBidi"/>
                <w:sz w:val="24"/>
                <w:szCs w:val="24"/>
              </w:rPr>
              <w:t>dBm e.r.p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59</w:t>
            </w:r>
            <w:r w:rsidRPr="00793CFA">
              <w:rPr>
                <w:rFonts w:asciiTheme="majorBidi" w:hAnsiTheme="majorBidi"/>
                <w:sz w:val="24"/>
                <w:szCs w:val="24"/>
                <w:rtl/>
              </w:rPr>
              <w:t xml:space="preserve">- </w:t>
            </w:r>
            <w:r w:rsidR="001C0612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  <w:p w:rsidR="00793CFA" w:rsidRPr="00793CFA" w:rsidRDefault="00793CFA" w:rsidP="00793CFA">
            <w:pPr>
              <w:pStyle w:val="TableBlock"/>
              <w:numPr>
                <w:ilvl w:val="0"/>
                <w:numId w:val="28"/>
              </w:numPr>
              <w:rPr>
                <w:rFonts w:asciiTheme="majorBidi" w:hAnsiTheme="majorBidi"/>
                <w:sz w:val="24"/>
                <w:szCs w:val="24"/>
                <w:rtl/>
              </w:rPr>
            </w:pPr>
            <w:r w:rsidRPr="00793CFA">
              <w:rPr>
                <w:rFonts w:asciiTheme="majorBidi" w:hAnsiTheme="majorBidi"/>
                <w:sz w:val="24"/>
                <w:szCs w:val="24"/>
                <w:rtl/>
              </w:rPr>
              <w:t>מיועדים לשמש כגלאי מתכות תעשייתיים, לשימוש בתוך מבנים בלבד (</w:t>
            </w:r>
            <w:r w:rsidRPr="00793CFA">
              <w:rPr>
                <w:rFonts w:asciiTheme="majorBidi" w:hAnsiTheme="majorBidi"/>
                <w:sz w:val="24"/>
                <w:szCs w:val="24"/>
              </w:rPr>
              <w:t>indoor</w:t>
            </w:r>
            <w:r w:rsidRPr="00793CFA">
              <w:rPr>
                <w:rFonts w:asciiTheme="majorBidi" w:hAnsiTheme="majorBidi"/>
                <w:sz w:val="24"/>
                <w:szCs w:val="24"/>
                <w:rtl/>
              </w:rPr>
              <w:t>)</w:t>
            </w:r>
            <w:r w:rsidR="001C0612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  <w:p w:rsidR="00663732" w:rsidRPr="00BF1D5D" w:rsidRDefault="00793CFA" w:rsidP="00793CFA">
            <w:pPr>
              <w:pStyle w:val="TableBlock"/>
              <w:numPr>
                <w:ilvl w:val="0"/>
                <w:numId w:val="28"/>
              </w:numPr>
              <w:rPr>
                <w:rFonts w:asciiTheme="majorBidi" w:hAnsiTheme="majorBidi"/>
                <w:sz w:val="24"/>
                <w:szCs w:val="24"/>
                <w:rtl/>
              </w:rPr>
            </w:pPr>
            <w:r w:rsidRPr="00793CFA">
              <w:rPr>
                <w:rFonts w:asciiTheme="majorBidi" w:hAnsiTheme="majorBidi"/>
                <w:sz w:val="24"/>
                <w:szCs w:val="24"/>
                <w:rtl/>
              </w:rPr>
              <w:t xml:space="preserve">עומדים בתקן </w:t>
            </w:r>
            <w:r w:rsidRPr="00793CFA">
              <w:rPr>
                <w:rFonts w:asciiTheme="majorBidi" w:hAnsiTheme="majorBidi"/>
                <w:sz w:val="24"/>
                <w:szCs w:val="24"/>
              </w:rPr>
              <w:t>IEC 61000-6-4</w:t>
            </w:r>
            <w:r w:rsidRPr="00793CFA">
              <w:rPr>
                <w:rFonts w:asciiTheme="majorBidi" w:hAnsiTheme="majorBidi"/>
                <w:sz w:val="24"/>
                <w:szCs w:val="24"/>
                <w:rtl/>
              </w:rPr>
              <w:t xml:space="preserve">   וב- </w:t>
            </w:r>
            <w:r w:rsidRPr="00793CFA">
              <w:rPr>
                <w:rFonts w:asciiTheme="majorBidi" w:hAnsiTheme="majorBidi"/>
                <w:sz w:val="24"/>
                <w:szCs w:val="24"/>
              </w:rPr>
              <w:t>ERC Recommendation 70-03 Annex 9 (k1)</w:t>
            </w:r>
            <w:r w:rsidRPr="00793CFA">
              <w:rPr>
                <w:rFonts w:asciiTheme="majorBidi" w:hAnsiTheme="majorBidi"/>
                <w:sz w:val="24"/>
                <w:szCs w:val="24"/>
                <w:rtl/>
              </w:rPr>
              <w:t>;</w:t>
            </w:r>
          </w:p>
        </w:tc>
      </w:tr>
      <w:tr w:rsidR="00663732" w:rsidRPr="00300A77" w:rsidTr="00FB4C24">
        <w:trPr>
          <w:cantSplit/>
          <w:trHeight w:val="60"/>
        </w:trPr>
        <w:tc>
          <w:tcPr>
            <w:tcW w:w="1183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70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09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/>
                <w:sz w:val="24"/>
                <w:szCs w:val="24"/>
                <w:rtl/>
              </w:rPr>
              <w:t>(כ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ו</w:t>
            </w: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>)</w:t>
            </w:r>
          </w:p>
        </w:tc>
        <w:tc>
          <w:tcPr>
            <w:tcW w:w="6607" w:type="dxa"/>
          </w:tcPr>
          <w:p w:rsidR="00663732" w:rsidRPr="00BF1D5D" w:rsidRDefault="00663732" w:rsidP="00663732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הפועלים בתוך פס התדרים 90-119 קה"ץ בתנאים אלה:</w:t>
            </w:r>
          </w:p>
          <w:p w:rsidR="00663732" w:rsidRPr="00BF1D5D" w:rsidRDefault="00663732" w:rsidP="00855242">
            <w:pPr>
              <w:pStyle w:val="TableBlock"/>
              <w:numPr>
                <w:ilvl w:val="0"/>
                <w:numId w:val="4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עוצמת השדה המגנטי</w:t>
            </w:r>
            <w:r w:rsidR="00855242">
              <w:rPr>
                <w:rFonts w:asciiTheme="majorBidi" w:hAnsiTheme="majorBidi" w:hint="cs"/>
                <w:sz w:val="24"/>
                <w:szCs w:val="24"/>
                <w:rtl/>
              </w:rPr>
              <w:t xml:space="preserve"> 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הנמדדת במרחק 10 מטרים מן המכשיר אינה עולה על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4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2 ד"ב מיקרואמפר למטר (</w:t>
            </w:r>
            <w:r w:rsidRPr="00BF1D5D">
              <w:rPr>
                <w:rFonts w:asciiTheme="majorBidi" w:hAnsiTheme="majorBidi"/>
                <w:sz w:val="24"/>
                <w:szCs w:val="24"/>
              </w:rPr>
              <w:t>42dBµA/m @10m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)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4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אם כוללים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 אנטנה חיצונית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היא 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 אנטנה מסוג </w:t>
            </w:r>
            <w:r w:rsidRPr="00BF1D5D">
              <w:rPr>
                <w:rFonts w:asciiTheme="majorBidi" w:hAnsiTheme="majorBidi"/>
                <w:sz w:val="24"/>
                <w:szCs w:val="24"/>
              </w:rPr>
              <w:t xml:space="preserve">Loop coil 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; 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4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המיועדים לשמש כ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גלא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י מתכות וגלאי תשתיות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, זיהוי </w:t>
            </w:r>
            <w:r w:rsidRPr="00BF1D5D">
              <w:rPr>
                <w:rFonts w:asciiTheme="majorBidi" w:hAnsiTheme="majorBidi" w:hint="cs"/>
                <w:sz w:val="24"/>
                <w:szCs w:val="24"/>
              </w:rPr>
              <w:t>RFID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, ערוצי תקשורת קולית, תוואי ערוץ רכב חשמלי, אימובילייזר לרכב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4"/>
              </w:numPr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עומדים באחד התקנים הבאים: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EN 303 447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 ,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EN 303 454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,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EN 300 330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</w:tc>
      </w:tr>
      <w:tr w:rsidR="00663732" w:rsidRPr="00300A77" w:rsidTr="00FB4C24">
        <w:trPr>
          <w:cantSplit/>
          <w:trHeight w:val="60"/>
        </w:trPr>
        <w:tc>
          <w:tcPr>
            <w:tcW w:w="1183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70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09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</w:rPr>
            </w:pP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>(כ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ז</w:t>
            </w: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>)</w:t>
            </w:r>
          </w:p>
        </w:tc>
        <w:tc>
          <w:tcPr>
            <w:tcW w:w="6607" w:type="dxa"/>
          </w:tcPr>
          <w:p w:rsidR="00663732" w:rsidRPr="00BF1D5D" w:rsidRDefault="00663732" w:rsidP="00663732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הפועלים בתוך פס התדרים 110-205 קה"ץ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 בתנאים אלה: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24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הספק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 השידור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 אינו עולה על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20 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וואט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(</w:t>
            </w:r>
            <w:r w:rsidRPr="00BF1D5D">
              <w:rPr>
                <w:rFonts w:asciiTheme="majorBidi" w:hAnsiTheme="majorBidi" w:hint="cs"/>
                <w:sz w:val="24"/>
                <w:szCs w:val="24"/>
              </w:rPr>
              <w:t>W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20);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24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רוחב הפס המירבי לשימוש הוא 95 קה"ץ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24"/>
              </w:numPr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מיועדים לשמש כמטענים אלחוטיים בטכנולוגית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Qi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24"/>
              </w:numPr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עומדים ב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תקן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EN 303 417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;</w:t>
            </w:r>
          </w:p>
        </w:tc>
      </w:tr>
      <w:tr w:rsidR="00663732" w:rsidRPr="00300A77" w:rsidTr="00FB4C24">
        <w:trPr>
          <w:cantSplit/>
          <w:trHeight w:val="60"/>
        </w:trPr>
        <w:tc>
          <w:tcPr>
            <w:tcW w:w="1183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70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09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(כח)</w:t>
            </w:r>
          </w:p>
        </w:tc>
        <w:tc>
          <w:tcPr>
            <w:tcW w:w="6607" w:type="dxa"/>
          </w:tcPr>
          <w:p w:rsidR="00663732" w:rsidRPr="00BF1D5D" w:rsidRDefault="00663732" w:rsidP="00663732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הפועלים בתוך פס התדרים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3.155 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–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 3.400 מה"ץ בתנאים אלה: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7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הספק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 השידור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 אינו עולה על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 0.01 מילי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וואט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 (</w:t>
            </w:r>
            <w:r w:rsidRPr="00BF1D5D">
              <w:rPr>
                <w:rFonts w:asciiTheme="majorBidi" w:hAnsiTheme="majorBidi"/>
                <w:sz w:val="24"/>
                <w:szCs w:val="24"/>
              </w:rPr>
              <w:t>0.01mW e.i.r.p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);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7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רוחב הפס המירבי לשימוש הוא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245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 קה"ץ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7"/>
              </w:numPr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מיועדים לשמש כעזרים עבור כבדי שמיעה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7"/>
              </w:numPr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עומדים ב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תקן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EN 300 330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;</w:t>
            </w:r>
          </w:p>
        </w:tc>
      </w:tr>
      <w:tr w:rsidR="00663732" w:rsidRPr="00300A77" w:rsidTr="00FB4C24">
        <w:trPr>
          <w:cantSplit/>
          <w:trHeight w:val="60"/>
        </w:trPr>
        <w:tc>
          <w:tcPr>
            <w:tcW w:w="1183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70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09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  <w:rtl/>
              </w:rPr>
              <w:t>(כ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ט</w:t>
            </w: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>)</w:t>
            </w:r>
          </w:p>
        </w:tc>
        <w:tc>
          <w:tcPr>
            <w:tcW w:w="6607" w:type="dxa"/>
          </w:tcPr>
          <w:p w:rsidR="00663732" w:rsidRPr="00BF1D5D" w:rsidRDefault="00663732" w:rsidP="00663732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הפועלים בתוך פס התדרים 3.84 מה"ץ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בתנאים אלה: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5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עוצמת השדה החשמלי הנמדדת במרחק 30 מטרים מן המכשיר אינה עולה על 30 מיקרו-וולט למטר (</w:t>
            </w:r>
            <w:r w:rsidRPr="00BF1D5D">
              <w:rPr>
                <w:rFonts w:asciiTheme="majorBidi" w:hAnsiTheme="majorBidi"/>
                <w:sz w:val="24"/>
                <w:szCs w:val="24"/>
              </w:rPr>
              <w:t>µV/m @30m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30);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5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רוחב הפס המירבי לשימוש הוא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384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 קה"ץ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5"/>
              </w:numPr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מיועדים לשמש כעזרים עבור כבדי שמיעה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5"/>
              </w:numPr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עומדים ב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תקן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FCC 15.209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;</w:t>
            </w:r>
          </w:p>
        </w:tc>
      </w:tr>
      <w:tr w:rsidR="00663732" w:rsidRPr="00300A77" w:rsidTr="00FB4C24">
        <w:trPr>
          <w:cantSplit/>
          <w:trHeight w:val="60"/>
        </w:trPr>
        <w:tc>
          <w:tcPr>
            <w:tcW w:w="1183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70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909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(ל)</w:t>
            </w:r>
          </w:p>
        </w:tc>
        <w:tc>
          <w:tcPr>
            <w:tcW w:w="6607" w:type="dxa"/>
          </w:tcPr>
          <w:p w:rsidR="00663732" w:rsidRPr="00BF1D5D" w:rsidRDefault="00663732" w:rsidP="00663732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הפועלים בתוך פס התדרים 10.2-11  מה"ץ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 בתנאים האלה:</w:t>
            </w:r>
          </w:p>
          <w:p w:rsidR="00663732" w:rsidRPr="00BF1D5D" w:rsidRDefault="00663732" w:rsidP="00855242">
            <w:pPr>
              <w:pStyle w:val="TableBlock"/>
              <w:numPr>
                <w:ilvl w:val="0"/>
                <w:numId w:val="6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 עוצמת השדה המגנטי</w:t>
            </w:r>
            <w:r w:rsidR="00855242">
              <w:rPr>
                <w:rFonts w:asciiTheme="majorBidi" w:hAnsiTheme="majorBidi" w:hint="cs"/>
                <w:sz w:val="24"/>
                <w:szCs w:val="24"/>
                <w:rtl/>
              </w:rPr>
              <w:t xml:space="preserve"> 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הנמדדת במרחק 10 מטרים מן המכשיר אינה עולה על 9 ד"ב מיקרואמפר למטר (</w:t>
            </w:r>
            <w:r w:rsidRPr="00BF1D5D">
              <w:rPr>
                <w:rFonts w:asciiTheme="majorBidi" w:hAnsiTheme="majorBidi"/>
                <w:sz w:val="24"/>
                <w:szCs w:val="24"/>
              </w:rPr>
              <w:t>dBµA/m @10m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9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)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6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מיועדים לשמש כעזרים עבור כבדי שמיעה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6"/>
              </w:numPr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עומדים בתקן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EN 300 330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</w:tc>
      </w:tr>
      <w:tr w:rsidR="00663732" w:rsidRPr="00300A77" w:rsidTr="00FB4C24">
        <w:trPr>
          <w:cantSplit/>
          <w:trHeight w:val="60"/>
        </w:trPr>
        <w:tc>
          <w:tcPr>
            <w:tcW w:w="1183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70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909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לא</w:t>
            </w: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>)</w:t>
            </w:r>
          </w:p>
        </w:tc>
        <w:tc>
          <w:tcPr>
            <w:tcW w:w="6607" w:type="dxa"/>
          </w:tcPr>
          <w:p w:rsidR="00663732" w:rsidRPr="00BF1D5D" w:rsidRDefault="00663732" w:rsidP="00663732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הפועלים בתוך פס התדרים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314-314.9 מ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ה"ץ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 בתנאים אלה: 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8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הספק השידור אינו עולה על 10 מיקרוואט (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10µW e.r.p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);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8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רוחב הפס המירבי לשימוש הוא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787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 קה"ץ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8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מיועדים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לשמש כשלטי רכב; 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8"/>
              </w:numPr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עומדים בתקן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FCC 15.231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</w:tc>
      </w:tr>
      <w:tr w:rsidR="00663732" w:rsidRPr="00300A77" w:rsidTr="00FB4C24">
        <w:trPr>
          <w:cantSplit/>
          <w:trHeight w:val="60"/>
        </w:trPr>
        <w:tc>
          <w:tcPr>
            <w:tcW w:w="1183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70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909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(לב)</w:t>
            </w:r>
          </w:p>
        </w:tc>
        <w:tc>
          <w:tcPr>
            <w:tcW w:w="6607" w:type="dxa"/>
          </w:tcPr>
          <w:p w:rsidR="00663732" w:rsidRPr="00BF1D5D" w:rsidRDefault="00663732" w:rsidP="00663732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הפועלים בתוך פס התדרים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401- 402 מ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ה"ץ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 בתנאים אלה: 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17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הספק השידור אינו עולה על 25 מיקרוואט (</w:t>
            </w:r>
            <w:r w:rsidRPr="00BF1D5D">
              <w:rPr>
                <w:rFonts w:asciiTheme="majorBidi" w:hAnsiTheme="majorBidi"/>
                <w:sz w:val="24"/>
                <w:szCs w:val="24"/>
              </w:rPr>
              <w:t>25µW e.r.p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);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17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פועלים ב-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 </w:t>
            </w:r>
            <w:r w:rsidRPr="00BF1D5D">
              <w:rPr>
                <w:rFonts w:asciiTheme="majorBidi" w:hAnsiTheme="majorBidi"/>
                <w:sz w:val="24"/>
                <w:szCs w:val="24"/>
              </w:rPr>
              <w:t xml:space="preserve"> Duty cycle≤0.1%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17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רוחב הפס המירבי לשימוש הוא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100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 קה"ץ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17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מיועדים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למערכות אלחוטיות רפואיות;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17"/>
              </w:numPr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עומדים בתקן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EN 302 537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</w:tc>
      </w:tr>
      <w:tr w:rsidR="00663732" w:rsidRPr="00300A77" w:rsidTr="00FB4C24">
        <w:trPr>
          <w:cantSplit/>
          <w:trHeight w:val="60"/>
        </w:trPr>
        <w:tc>
          <w:tcPr>
            <w:tcW w:w="1183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70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909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(לג)</w:t>
            </w:r>
          </w:p>
        </w:tc>
        <w:tc>
          <w:tcPr>
            <w:tcW w:w="6607" w:type="dxa"/>
          </w:tcPr>
          <w:p w:rsidR="00663732" w:rsidRPr="00BF1D5D" w:rsidRDefault="00663732" w:rsidP="00663732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הפועלים בתוך פס התדרים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402- 405 מ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ה"ץ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 בתנאים אלה: 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9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הספק השידור אינו עולה על 25 מיקרוואט (</w:t>
            </w:r>
            <w:r w:rsidRPr="00BF1D5D">
              <w:rPr>
                <w:rFonts w:asciiTheme="majorBidi" w:hAnsiTheme="majorBidi"/>
                <w:sz w:val="24"/>
                <w:szCs w:val="24"/>
              </w:rPr>
              <w:t>25µW e.r.p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);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9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רוחב הפס המירבי לשימוש הוא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300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 קה"ץ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9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מיועדים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למערכות אלחוטיות רפואיות לציוד מושתל וטלמטריה;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9"/>
              </w:numPr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עומדים בתקן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EN 301 839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</w:tc>
      </w:tr>
      <w:tr w:rsidR="00663732" w:rsidRPr="00300A77" w:rsidTr="00FB4C24">
        <w:trPr>
          <w:cantSplit/>
          <w:trHeight w:val="60"/>
        </w:trPr>
        <w:tc>
          <w:tcPr>
            <w:tcW w:w="1183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70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909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(לד)</w:t>
            </w:r>
          </w:p>
        </w:tc>
        <w:tc>
          <w:tcPr>
            <w:tcW w:w="6607" w:type="dxa"/>
          </w:tcPr>
          <w:p w:rsidR="00663732" w:rsidRPr="00BF1D5D" w:rsidRDefault="00663732" w:rsidP="00663732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הפועלים בתוך פס התדרים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405 -406 מ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ה"ץ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 בתנאים אלה: 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10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הספק השידור אינו עולה על 25 מיקרוואט (</w:t>
            </w:r>
            <w:r w:rsidRPr="00BF1D5D">
              <w:rPr>
                <w:rFonts w:asciiTheme="majorBidi" w:hAnsiTheme="majorBidi"/>
                <w:sz w:val="24"/>
                <w:szCs w:val="24"/>
              </w:rPr>
              <w:t>25µW e.r.p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);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10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פועלים ב-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 </w:t>
            </w:r>
            <w:r w:rsidRPr="00BF1D5D">
              <w:rPr>
                <w:rFonts w:asciiTheme="majorBidi" w:hAnsiTheme="majorBidi"/>
                <w:sz w:val="24"/>
                <w:szCs w:val="24"/>
              </w:rPr>
              <w:t xml:space="preserve"> Duty cycle≤0.1%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10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lastRenderedPageBreak/>
              <w:t xml:space="preserve">רוחב הפס המירבי לשימוש הוא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100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 קה"ץ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10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מיועדים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למערכות אלחוטיות רפואיות;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10"/>
              </w:numPr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עומדים בתקן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EN 302 537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</w:tc>
      </w:tr>
      <w:tr w:rsidR="00663732" w:rsidRPr="00300A77" w:rsidTr="00FB4C24">
        <w:trPr>
          <w:cantSplit/>
          <w:trHeight w:val="60"/>
        </w:trPr>
        <w:tc>
          <w:tcPr>
            <w:tcW w:w="1183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70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909" w:type="dxa"/>
          </w:tcPr>
          <w:p w:rsidR="00663732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(לה)</w:t>
            </w:r>
          </w:p>
        </w:tc>
        <w:tc>
          <w:tcPr>
            <w:tcW w:w="6607" w:type="dxa"/>
          </w:tcPr>
          <w:p w:rsidR="00663732" w:rsidRPr="00BF1D5D" w:rsidRDefault="00663732" w:rsidP="00663732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הפועלים בתוך פס התדרים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2.446-2.454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 גה"ץ ב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אחד ה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תנאים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הבאים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: 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19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הספק השידור אינו עולה על 500 מיליוואט (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500mW e.i.r.p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), 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מיועדים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לשמש כמערכות </w:t>
            </w:r>
            <w:r w:rsidRPr="00BF1D5D">
              <w:rPr>
                <w:rFonts w:asciiTheme="majorBidi" w:hAnsiTheme="majorBidi" w:hint="cs"/>
                <w:sz w:val="24"/>
                <w:szCs w:val="24"/>
              </w:rPr>
              <w:t>RFID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, עומדים בתקן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EN 300 440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 וב-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ERC 70-03 Annex 11(c1)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19"/>
              </w:numPr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הספק השידור בתחום בין 0.5-4 וואט (</w:t>
            </w:r>
            <w:r w:rsidRPr="00BF1D5D">
              <w:rPr>
                <w:rFonts w:asciiTheme="majorBidi" w:hAnsiTheme="majorBidi"/>
                <w:sz w:val="24"/>
                <w:szCs w:val="24"/>
              </w:rPr>
              <w:t>0.5-4W e.i.r.p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), 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מיועדים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כמערכות </w:t>
            </w:r>
            <w:r w:rsidRPr="00BF1D5D">
              <w:rPr>
                <w:rFonts w:asciiTheme="majorBidi" w:hAnsiTheme="majorBidi" w:hint="cs"/>
                <w:sz w:val="24"/>
                <w:szCs w:val="24"/>
              </w:rPr>
              <w:t>RFID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 לשימוש בתוך מבנים בלבד (</w:t>
            </w:r>
            <w:r w:rsidRPr="00BF1D5D">
              <w:rPr>
                <w:rFonts w:asciiTheme="majorBidi" w:hAnsiTheme="majorBidi"/>
                <w:sz w:val="24"/>
                <w:szCs w:val="24"/>
              </w:rPr>
              <w:t>indoor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), עומדים בתקן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EN 300 440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 וב-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ERC 70-03 Annex 11(c2)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</w:tc>
      </w:tr>
      <w:tr w:rsidR="00663732" w:rsidRPr="00300A77" w:rsidTr="00FB4C24">
        <w:trPr>
          <w:cantSplit/>
          <w:trHeight w:val="60"/>
        </w:trPr>
        <w:tc>
          <w:tcPr>
            <w:tcW w:w="1183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70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909" w:type="dxa"/>
          </w:tcPr>
          <w:p w:rsidR="00663732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(לו)</w:t>
            </w:r>
          </w:p>
        </w:tc>
        <w:tc>
          <w:tcPr>
            <w:tcW w:w="6607" w:type="dxa"/>
          </w:tcPr>
          <w:p w:rsidR="00663732" w:rsidRPr="00BF1D5D" w:rsidRDefault="00663732" w:rsidP="00663732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הפועלים בתוך פס התדרים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3.6-4.5 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גה"ץ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ב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תנאים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אלה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: 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20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הספק השידור אינו עולה על 100 ננווואט (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100nW e.i.r.p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);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20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מיועדים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לשמש כהתקני תנועה, גלאי התראה לטווח קצר (</w:t>
            </w:r>
            <w:r w:rsidRPr="00BF1D5D">
              <w:rPr>
                <w:rFonts w:asciiTheme="majorBidi" w:hAnsiTheme="majorBidi" w:hint="cs"/>
                <w:sz w:val="24"/>
                <w:szCs w:val="24"/>
              </w:rPr>
              <w:t>SRD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) </w:t>
            </w:r>
            <w:r w:rsidRPr="00BF1D5D">
              <w:rPr>
                <w:rFonts w:asciiTheme="majorBidi" w:hAnsiTheme="majorBidi" w:hint="cs"/>
                <w:sz w:val="24"/>
                <w:szCs w:val="24"/>
              </w:rPr>
              <w:t>UWB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 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20"/>
              </w:numPr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עומדים בתקן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EN 302 065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</w:tc>
      </w:tr>
      <w:tr w:rsidR="00663732" w:rsidRPr="00300A77" w:rsidTr="00FB4C24">
        <w:trPr>
          <w:cantSplit/>
          <w:trHeight w:val="60"/>
        </w:trPr>
        <w:tc>
          <w:tcPr>
            <w:tcW w:w="1183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70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909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(לז)</w:t>
            </w:r>
          </w:p>
        </w:tc>
        <w:tc>
          <w:tcPr>
            <w:tcW w:w="6607" w:type="dxa"/>
          </w:tcPr>
          <w:p w:rsidR="00663732" w:rsidRPr="00BF1D5D" w:rsidRDefault="00663732" w:rsidP="00663732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הפועלים בתוך פס התדרים 5.470-5.725 גה"ץ בתנאים אלה: 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21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הספק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השידור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 אינו עולה על 1 וואט במידה והמכשיר</w:t>
            </w:r>
            <w:r w:rsidRPr="00BF1D5D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כולל מנגנון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TPC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, ואינו עולה על 500 מיליוואט במידה ואינו כולל מנגנון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TPC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21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צפיפות ההספק אינה עולה על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e.i.r.p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dBm/MHz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17 במידה והמכשיר</w:t>
            </w:r>
            <w:r w:rsidRPr="00BF1D5D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כולל מנגנון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TPC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, ואינה עולה על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e.i.r.p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dBm/MHz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14 במידה ואינו כולל מנגנון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TPC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21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בעל מנגנון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DFS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21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המיועדים לשימוש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Wireless LAN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 בתוך מבנים בלבד (</w:t>
            </w:r>
            <w:r w:rsidRPr="00BF1D5D">
              <w:rPr>
                <w:rFonts w:asciiTheme="majorBidi" w:hAnsiTheme="majorBidi"/>
                <w:sz w:val="24"/>
                <w:szCs w:val="24"/>
              </w:rPr>
              <w:t>indoor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);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21"/>
              </w:numPr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עומדים בתקן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EN 301 893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</w:tc>
      </w:tr>
      <w:tr w:rsidR="00663732" w:rsidRPr="00300A77" w:rsidTr="00FB4C24">
        <w:trPr>
          <w:cantSplit/>
          <w:trHeight w:val="60"/>
        </w:trPr>
        <w:tc>
          <w:tcPr>
            <w:tcW w:w="1183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70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909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(לח)</w:t>
            </w:r>
          </w:p>
        </w:tc>
        <w:tc>
          <w:tcPr>
            <w:tcW w:w="6607" w:type="dxa"/>
          </w:tcPr>
          <w:p w:rsidR="00663732" w:rsidRPr="00BF1D5D" w:rsidRDefault="00663732" w:rsidP="00663732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הפועלים בתוך פס התדרים 5.725-5.875 גה"ץ ב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אחד ה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תנאים 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הבאים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: 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22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צפיפות ההספק אינה עולה על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e.i.r.p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dBm/MHz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10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, הספק השידור אינו עולה על 25 מיליוואט (</w:t>
            </w:r>
            <w:r w:rsidRPr="00BF1D5D">
              <w:rPr>
                <w:rFonts w:asciiTheme="majorBidi" w:hAnsiTheme="majorBidi"/>
                <w:sz w:val="24"/>
                <w:szCs w:val="24"/>
              </w:rPr>
              <w:t>25mW e.r.p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), 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מיועדים לשימוש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Wireless LAN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 בתוך מבנים בלבד (</w:t>
            </w:r>
            <w:r w:rsidRPr="00BF1D5D">
              <w:rPr>
                <w:rFonts w:asciiTheme="majorBidi" w:hAnsiTheme="majorBidi"/>
                <w:sz w:val="24"/>
                <w:szCs w:val="24"/>
              </w:rPr>
              <w:t>indoor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)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, ועומדים בתקן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EN 300 440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22"/>
              </w:numPr>
              <w:rPr>
                <w:rFonts w:asciiTheme="majorBidi" w:hAnsiTheme="majorBidi"/>
                <w:sz w:val="24"/>
                <w:szCs w:val="24"/>
              </w:rPr>
            </w:pP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הספק השידור אינו עולה על 0.2 מיליוואט (</w:t>
            </w:r>
            <w:r w:rsidRPr="00BF1D5D">
              <w:rPr>
                <w:rFonts w:asciiTheme="majorBidi" w:hAnsiTheme="majorBidi"/>
                <w:sz w:val="24"/>
                <w:szCs w:val="24"/>
              </w:rPr>
              <w:t>0.2mW e.r.p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), 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מיועדים ל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מערכות אזעקה לרכב, ועומדים בתקן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EN 300 440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  <w:p w:rsidR="00663732" w:rsidRPr="00BF1D5D" w:rsidRDefault="00663732" w:rsidP="00663732">
            <w:pPr>
              <w:pStyle w:val="TableBlock"/>
              <w:numPr>
                <w:ilvl w:val="0"/>
                <w:numId w:val="22"/>
              </w:numPr>
              <w:rPr>
                <w:rFonts w:asciiTheme="majorBidi" w:hAnsiTheme="majorBidi"/>
                <w:sz w:val="24"/>
                <w:szCs w:val="24"/>
                <w:rtl/>
              </w:rPr>
            </w:pP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הספק השידור אינו עולה על 100 מיליוואט (</w:t>
            </w:r>
            <w:r w:rsidRPr="00BF1D5D">
              <w:rPr>
                <w:rFonts w:asciiTheme="majorBidi" w:hAnsiTheme="majorBidi"/>
                <w:sz w:val="24"/>
                <w:szCs w:val="24"/>
              </w:rPr>
              <w:t>100mW e.r.p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), רוחב הפס בטווח של 1-20 מה"ץ, 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מיועדים לשימוש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 במערכות אלחוט תעשיתיות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(WIA)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 xml:space="preserve"> בתוך מבנים בלבד (</w:t>
            </w:r>
            <w:r w:rsidRPr="00BF1D5D">
              <w:rPr>
                <w:rFonts w:asciiTheme="majorBidi" w:hAnsiTheme="majorBidi"/>
                <w:sz w:val="24"/>
                <w:szCs w:val="24"/>
              </w:rPr>
              <w:t>indoor</w:t>
            </w:r>
            <w:r w:rsidRPr="00BF1D5D">
              <w:rPr>
                <w:rFonts w:asciiTheme="majorBidi" w:hAnsiTheme="majorBidi"/>
                <w:sz w:val="24"/>
                <w:szCs w:val="24"/>
                <w:rtl/>
              </w:rPr>
              <w:t>)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 xml:space="preserve">, ועומדים בתקן </w:t>
            </w:r>
            <w:r w:rsidRPr="00BF1D5D">
              <w:rPr>
                <w:rFonts w:asciiTheme="majorBidi" w:hAnsiTheme="majorBidi"/>
                <w:sz w:val="24"/>
                <w:szCs w:val="24"/>
              </w:rPr>
              <w:t>EN 303 258</w:t>
            </w:r>
            <w:r w:rsidRPr="00BF1D5D"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</w:tc>
      </w:tr>
      <w:tr w:rsidR="00663732" w:rsidRPr="00300A77" w:rsidTr="00FB4C24">
        <w:trPr>
          <w:cantSplit/>
          <w:trHeight w:val="60"/>
        </w:trPr>
        <w:tc>
          <w:tcPr>
            <w:tcW w:w="1183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70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909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(לט)</w:t>
            </w:r>
          </w:p>
        </w:tc>
        <w:tc>
          <w:tcPr>
            <w:tcW w:w="6607" w:type="dxa"/>
          </w:tcPr>
          <w:p w:rsidR="00663732" w:rsidRDefault="00663732" w:rsidP="00663732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הפועלים בתוך פס התדרים 10.5-10.6 גה"ץ בתנאים אלה:</w:t>
            </w:r>
          </w:p>
          <w:p w:rsidR="00663732" w:rsidRDefault="00663732" w:rsidP="00663732">
            <w:pPr>
              <w:pStyle w:val="TableBlock"/>
              <w:numPr>
                <w:ilvl w:val="0"/>
                <w:numId w:val="11"/>
              </w:numPr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הספק השידור אינו עולה על 500 מיליוואט (</w:t>
            </w:r>
            <w:r>
              <w:rPr>
                <w:rFonts w:asciiTheme="majorBidi" w:hAnsiTheme="majorBidi"/>
                <w:sz w:val="24"/>
                <w:szCs w:val="24"/>
              </w:rPr>
              <w:t>500mW e.r.i.p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);</w:t>
            </w:r>
          </w:p>
          <w:p w:rsidR="00663732" w:rsidRDefault="00663732" w:rsidP="00663732">
            <w:pPr>
              <w:pStyle w:val="TableBlock"/>
              <w:numPr>
                <w:ilvl w:val="0"/>
                <w:numId w:val="11"/>
              </w:numPr>
              <w:rPr>
                <w:rFonts w:asciiTheme="majorBidi" w:hAnsiTheme="majorBidi"/>
                <w:sz w:val="24"/>
                <w:szCs w:val="24"/>
              </w:rPr>
            </w:pP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 xml:space="preserve">מיועדים 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לשמש כהתקני תנועה, גילוי והתראה לטווח קצר, או גלאי נפח, בתוך מבנים בלבד (</w:t>
            </w:r>
            <w:r>
              <w:rPr>
                <w:rFonts w:asciiTheme="majorBidi" w:hAnsiTheme="majorBidi"/>
                <w:sz w:val="24"/>
                <w:szCs w:val="24"/>
              </w:rPr>
              <w:t>indoor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);</w:t>
            </w:r>
          </w:p>
          <w:p w:rsidR="00663732" w:rsidRDefault="00663732" w:rsidP="00663732">
            <w:pPr>
              <w:pStyle w:val="TableBlock"/>
              <w:numPr>
                <w:ilvl w:val="0"/>
                <w:numId w:val="11"/>
              </w:numPr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 xml:space="preserve">עומדים בתקן </w:t>
            </w:r>
            <w:r>
              <w:rPr>
                <w:rFonts w:asciiTheme="majorBidi" w:hAnsiTheme="majorBidi"/>
                <w:sz w:val="24"/>
                <w:szCs w:val="24"/>
              </w:rPr>
              <w:t>EN 300 440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</w:tc>
      </w:tr>
      <w:tr w:rsidR="00663732" w:rsidRPr="00300A77" w:rsidTr="00FB4C24">
        <w:trPr>
          <w:cantSplit/>
          <w:trHeight w:val="60"/>
        </w:trPr>
        <w:tc>
          <w:tcPr>
            <w:tcW w:w="1183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70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909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(מ)</w:t>
            </w:r>
          </w:p>
        </w:tc>
        <w:tc>
          <w:tcPr>
            <w:tcW w:w="6607" w:type="dxa"/>
          </w:tcPr>
          <w:p w:rsidR="00663732" w:rsidRDefault="00663732" w:rsidP="00663732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הפועלים בתוך פס התדרים 24-24.25 גה"ץ בתנאים אלה:</w:t>
            </w:r>
          </w:p>
          <w:p w:rsidR="00663732" w:rsidRDefault="00663732" w:rsidP="00663732">
            <w:pPr>
              <w:pStyle w:val="TableBlock"/>
              <w:numPr>
                <w:ilvl w:val="0"/>
                <w:numId w:val="14"/>
              </w:numPr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הספק השידור אינו עולה על 100 מיליוואט (</w:t>
            </w:r>
            <w:r>
              <w:rPr>
                <w:rFonts w:asciiTheme="majorBidi" w:hAnsiTheme="majorBidi"/>
                <w:sz w:val="24"/>
                <w:szCs w:val="24"/>
              </w:rPr>
              <w:t>100mW e.r.i.p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);</w:t>
            </w:r>
          </w:p>
          <w:p w:rsidR="00663732" w:rsidRDefault="00663732" w:rsidP="00663732">
            <w:pPr>
              <w:pStyle w:val="TableBlock"/>
              <w:numPr>
                <w:ilvl w:val="0"/>
                <w:numId w:val="14"/>
              </w:numPr>
              <w:rPr>
                <w:rFonts w:asciiTheme="majorBidi" w:hAnsiTheme="majorBidi"/>
                <w:sz w:val="24"/>
                <w:szCs w:val="24"/>
              </w:rPr>
            </w:pPr>
            <w:r w:rsidRPr="001A5363">
              <w:rPr>
                <w:rFonts w:asciiTheme="majorBidi" w:hAnsiTheme="majorBidi"/>
                <w:sz w:val="24"/>
                <w:szCs w:val="24"/>
                <w:rtl/>
              </w:rPr>
              <w:t>רוח</w:t>
            </w:r>
            <w:r>
              <w:rPr>
                <w:rFonts w:asciiTheme="majorBidi" w:hAnsiTheme="majorBidi"/>
                <w:sz w:val="24"/>
                <w:szCs w:val="24"/>
                <w:rtl/>
              </w:rPr>
              <w:t xml:space="preserve">ב הפס המירבי לשימוש הוא 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250</w:t>
            </w:r>
            <w:r>
              <w:rPr>
                <w:rFonts w:asciiTheme="majorBidi" w:hAnsi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מ</w:t>
            </w:r>
            <w:r>
              <w:rPr>
                <w:rFonts w:asciiTheme="majorBidi" w:hAnsiTheme="majorBidi"/>
                <w:sz w:val="24"/>
                <w:szCs w:val="24"/>
                <w:rtl/>
              </w:rPr>
              <w:t>ה"ץ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  <w:p w:rsidR="00663732" w:rsidRDefault="00663732" w:rsidP="00663732">
            <w:pPr>
              <w:pStyle w:val="TableBlock"/>
              <w:numPr>
                <w:ilvl w:val="0"/>
                <w:numId w:val="14"/>
              </w:numPr>
              <w:rPr>
                <w:rFonts w:asciiTheme="majorBidi" w:hAnsiTheme="majorBidi"/>
                <w:sz w:val="24"/>
                <w:szCs w:val="24"/>
              </w:rPr>
            </w:pP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 xml:space="preserve">מיועדים 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לשמש כגלאי רגש קרבה, טלמטריה, פיקוד, נתונים ומערכות אזעקה;</w:t>
            </w:r>
          </w:p>
          <w:p w:rsidR="00663732" w:rsidRDefault="00663732" w:rsidP="00663732">
            <w:pPr>
              <w:pStyle w:val="TableBlock"/>
              <w:numPr>
                <w:ilvl w:val="0"/>
                <w:numId w:val="14"/>
              </w:numPr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 xml:space="preserve">עומדים בתקן </w:t>
            </w:r>
            <w:r>
              <w:rPr>
                <w:rFonts w:asciiTheme="majorBidi" w:hAnsiTheme="majorBidi"/>
                <w:sz w:val="24"/>
                <w:szCs w:val="24"/>
              </w:rPr>
              <w:t>EN 300 440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;</w:t>
            </w:r>
          </w:p>
        </w:tc>
      </w:tr>
      <w:tr w:rsidR="00663732" w:rsidRPr="00300A77" w:rsidTr="00FB4C24">
        <w:trPr>
          <w:cantSplit/>
          <w:trHeight w:val="60"/>
        </w:trPr>
        <w:tc>
          <w:tcPr>
            <w:tcW w:w="1183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70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909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(מא)</w:t>
            </w:r>
          </w:p>
        </w:tc>
        <w:tc>
          <w:tcPr>
            <w:tcW w:w="6607" w:type="dxa"/>
          </w:tcPr>
          <w:p w:rsidR="00663732" w:rsidRDefault="00663732" w:rsidP="00663732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 xml:space="preserve">הפועלים בתוך פס התדרים 24 גה"ץ בתנאים אלה: </w:t>
            </w:r>
          </w:p>
          <w:p w:rsidR="00663732" w:rsidRDefault="00663732" w:rsidP="00663732">
            <w:pPr>
              <w:pStyle w:val="TableBlock"/>
              <w:numPr>
                <w:ilvl w:val="0"/>
                <w:numId w:val="13"/>
              </w:numPr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מיועדים לשמש כמכ"מ לרכב;</w:t>
            </w:r>
          </w:p>
          <w:p w:rsidR="00663732" w:rsidRPr="00300A77" w:rsidRDefault="00663732" w:rsidP="00663732">
            <w:pPr>
              <w:pStyle w:val="TableBlock"/>
              <w:numPr>
                <w:ilvl w:val="0"/>
                <w:numId w:val="13"/>
              </w:numPr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 xml:space="preserve">עומדים בתקן </w:t>
            </w:r>
            <w:r>
              <w:rPr>
                <w:rFonts w:asciiTheme="majorBidi" w:hAnsiTheme="majorBidi"/>
                <w:sz w:val="24"/>
                <w:szCs w:val="24"/>
              </w:rPr>
              <w:t>EN 302 858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 xml:space="preserve"> ;</w:t>
            </w:r>
          </w:p>
        </w:tc>
      </w:tr>
      <w:tr w:rsidR="00663732" w:rsidRPr="00300A77" w:rsidTr="00FB4C24">
        <w:trPr>
          <w:cantSplit/>
          <w:trHeight w:val="60"/>
        </w:trPr>
        <w:tc>
          <w:tcPr>
            <w:tcW w:w="1183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70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909" w:type="dxa"/>
          </w:tcPr>
          <w:p w:rsidR="00663732" w:rsidRPr="00300A77" w:rsidRDefault="00663732" w:rsidP="00663732">
            <w:pPr>
              <w:pStyle w:val="TableText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(מב)</w:t>
            </w:r>
          </w:p>
        </w:tc>
        <w:tc>
          <w:tcPr>
            <w:tcW w:w="6607" w:type="dxa"/>
          </w:tcPr>
          <w:p w:rsidR="00663732" w:rsidRDefault="00663732" w:rsidP="00663732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 xml:space="preserve">הפועלים בתוך פס התדרים 24.25 </w:t>
            </w:r>
            <w:r>
              <w:rPr>
                <w:rFonts w:asciiTheme="majorBidi" w:hAnsi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 xml:space="preserve"> 26.65 גה"ץ בתנאים אלה:</w:t>
            </w:r>
          </w:p>
          <w:p w:rsidR="00663732" w:rsidRDefault="00663732" w:rsidP="00663732">
            <w:pPr>
              <w:pStyle w:val="TableBlock"/>
              <w:numPr>
                <w:ilvl w:val="0"/>
                <w:numId w:val="12"/>
              </w:numPr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הספק השידור אינו עולה על 1 מיליוואט (</w:t>
            </w:r>
            <w:r>
              <w:rPr>
                <w:rFonts w:asciiTheme="majorBidi" w:hAnsiTheme="majorBidi"/>
                <w:sz w:val="24"/>
                <w:szCs w:val="24"/>
              </w:rPr>
              <w:t>1mW e.r.i.p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);</w:t>
            </w:r>
          </w:p>
          <w:p w:rsidR="00663732" w:rsidRDefault="00663732" w:rsidP="00663732">
            <w:pPr>
              <w:pStyle w:val="TableBlock"/>
              <w:numPr>
                <w:ilvl w:val="0"/>
                <w:numId w:val="12"/>
              </w:numPr>
              <w:rPr>
                <w:rFonts w:asciiTheme="majorBidi" w:hAnsiTheme="majorBidi"/>
                <w:sz w:val="24"/>
                <w:szCs w:val="24"/>
              </w:rPr>
            </w:pPr>
            <w:r w:rsidRPr="00300A77">
              <w:rPr>
                <w:rFonts w:asciiTheme="majorBidi" w:hAnsiTheme="majorBidi"/>
                <w:sz w:val="24"/>
                <w:szCs w:val="24"/>
                <w:rtl/>
              </w:rPr>
              <w:t xml:space="preserve">מיועדים 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לשמש כמכ"מ רכב;</w:t>
            </w:r>
          </w:p>
          <w:p w:rsidR="00663732" w:rsidRPr="00300A77" w:rsidRDefault="00663732" w:rsidP="00663732">
            <w:pPr>
              <w:pStyle w:val="TableBlock"/>
              <w:numPr>
                <w:ilvl w:val="0"/>
                <w:numId w:val="12"/>
              </w:numPr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 xml:space="preserve">עומדים בתקן </w:t>
            </w:r>
            <w:r>
              <w:rPr>
                <w:rFonts w:asciiTheme="majorBidi" w:hAnsiTheme="majorBidi"/>
                <w:sz w:val="24"/>
                <w:szCs w:val="24"/>
              </w:rPr>
              <w:t>EN 302 288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>.".</w:t>
            </w:r>
          </w:p>
        </w:tc>
      </w:tr>
      <w:tr w:rsidR="00663732" w:rsidRPr="00300A77" w:rsidTr="00FB4C24">
        <w:trPr>
          <w:cantSplit/>
          <w:trHeight w:val="60"/>
        </w:trPr>
        <w:tc>
          <w:tcPr>
            <w:tcW w:w="1183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732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570" w:type="dxa"/>
          </w:tcPr>
          <w:p w:rsidR="00663732" w:rsidRDefault="00663732" w:rsidP="00663732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(ב)</w:t>
            </w:r>
          </w:p>
        </w:tc>
        <w:tc>
          <w:tcPr>
            <w:tcW w:w="8083" w:type="dxa"/>
            <w:gridSpan w:val="3"/>
          </w:tcPr>
          <w:p w:rsidR="00663732" w:rsidRDefault="00663732" w:rsidP="00663732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בסעיף 1(ב) במקום "מכשיר טלגרף אלחוטי" יבוא "מכשיר אלחוטי".</w:t>
            </w:r>
          </w:p>
        </w:tc>
      </w:tr>
      <w:tr w:rsidR="00663732" w:rsidRPr="00300A77" w:rsidTr="00FB4C24">
        <w:trPr>
          <w:cantSplit/>
          <w:trHeight w:val="60"/>
        </w:trPr>
        <w:tc>
          <w:tcPr>
            <w:tcW w:w="1183" w:type="dxa"/>
          </w:tcPr>
          <w:p w:rsidR="00663732" w:rsidRPr="00300A77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תיקון סעיף 1א</w:t>
            </w:r>
          </w:p>
        </w:tc>
        <w:tc>
          <w:tcPr>
            <w:tcW w:w="567" w:type="dxa"/>
          </w:tcPr>
          <w:p w:rsidR="00663732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8653" w:type="dxa"/>
            <w:gridSpan w:val="4"/>
          </w:tcPr>
          <w:p w:rsidR="00663732" w:rsidRDefault="00663732" w:rsidP="00663732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 xml:space="preserve">בסעיף 1א - </w:t>
            </w:r>
          </w:p>
        </w:tc>
      </w:tr>
      <w:tr w:rsidR="00663732" w:rsidRPr="00300A77" w:rsidTr="00FB4C24">
        <w:trPr>
          <w:cantSplit/>
          <w:trHeight w:val="60"/>
        </w:trPr>
        <w:tc>
          <w:tcPr>
            <w:tcW w:w="1183" w:type="dxa"/>
          </w:tcPr>
          <w:p w:rsidR="00663732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63732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570" w:type="dxa"/>
          </w:tcPr>
          <w:p w:rsidR="00663732" w:rsidRDefault="00663732" w:rsidP="00663732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(א)</w:t>
            </w:r>
          </w:p>
        </w:tc>
        <w:tc>
          <w:tcPr>
            <w:tcW w:w="8083" w:type="dxa"/>
            <w:gridSpan w:val="3"/>
          </w:tcPr>
          <w:p w:rsidR="00663732" w:rsidRDefault="00663732" w:rsidP="00663732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אחרי סעיף קטן (2) יבוא -</w:t>
            </w:r>
          </w:p>
        </w:tc>
      </w:tr>
      <w:tr w:rsidR="00663732" w:rsidRPr="00300A77" w:rsidTr="00FB4C24">
        <w:trPr>
          <w:cantSplit/>
          <w:trHeight w:val="60"/>
        </w:trPr>
        <w:tc>
          <w:tcPr>
            <w:tcW w:w="1183" w:type="dxa"/>
          </w:tcPr>
          <w:p w:rsidR="00663732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63732" w:rsidRDefault="00663732" w:rsidP="00663732">
            <w:pPr>
              <w:pStyle w:val="TableSideHeading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570" w:type="dxa"/>
          </w:tcPr>
          <w:p w:rsidR="00663732" w:rsidRPr="00AD7574" w:rsidRDefault="00663732" w:rsidP="00663732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8083" w:type="dxa"/>
            <w:gridSpan w:val="3"/>
          </w:tcPr>
          <w:p w:rsidR="00663732" w:rsidRPr="00AD7574" w:rsidRDefault="00663732" w:rsidP="00663732">
            <w:pPr>
              <w:pStyle w:val="TableBlock"/>
              <w:rPr>
                <w:rFonts w:asciiTheme="majorBidi" w:hAnsiTheme="majorBidi"/>
                <w:sz w:val="24"/>
                <w:szCs w:val="24"/>
                <w:rtl/>
              </w:rPr>
            </w:pPr>
            <w:r w:rsidRPr="00AD7574">
              <w:rPr>
                <w:rFonts w:asciiTheme="majorBidi" w:hAnsiTheme="majorBidi" w:hint="cs"/>
                <w:sz w:val="24"/>
                <w:szCs w:val="24"/>
                <w:rtl/>
              </w:rPr>
              <w:t xml:space="preserve">"(3) </w:t>
            </w:r>
            <w:r w:rsidRPr="00AD7574">
              <w:rPr>
                <w:rStyle w:val="default"/>
                <w:rFonts w:cs="FrankRuehl" w:hint="cs"/>
                <w:rtl/>
              </w:rPr>
              <w:t>הפועלים בתחום תדרי אינפרא אדום בין 1000 גיגהרץ לבין 3,000 גיגהרץ ואשר הספק השידור שלהם אינו עולה על 200 מיליוואט</w:t>
            </w:r>
            <w:r w:rsidRPr="00AD7574">
              <w:rPr>
                <w:rFonts w:asciiTheme="majorBidi" w:hAnsiTheme="majorBidi" w:hint="cs"/>
                <w:sz w:val="24"/>
                <w:szCs w:val="24"/>
                <w:rtl/>
              </w:rPr>
              <w:t xml:space="preserve">." </w:t>
            </w:r>
          </w:p>
        </w:tc>
      </w:tr>
    </w:tbl>
    <w:p w:rsidR="008E51CC" w:rsidRPr="00300A77" w:rsidRDefault="008E51CC" w:rsidP="008E51CC">
      <w:pPr>
        <w:rPr>
          <w:rFonts w:asciiTheme="majorBidi" w:hAnsiTheme="majorBidi" w:cs="David"/>
          <w:sz w:val="24"/>
          <w:szCs w:val="24"/>
          <w:rtl/>
        </w:rPr>
      </w:pPr>
    </w:p>
    <w:p w:rsidR="00345C4A" w:rsidRPr="00300A77" w:rsidRDefault="00345C4A" w:rsidP="008E51CC">
      <w:pPr>
        <w:rPr>
          <w:rFonts w:asciiTheme="majorBidi" w:hAnsiTheme="majorBidi" w:cs="David"/>
          <w:sz w:val="24"/>
          <w:szCs w:val="24"/>
          <w:rtl/>
        </w:rPr>
      </w:pPr>
    </w:p>
    <w:p w:rsidR="00345C4A" w:rsidRPr="00300A77" w:rsidRDefault="00345C4A" w:rsidP="008E51CC">
      <w:pPr>
        <w:rPr>
          <w:rFonts w:asciiTheme="majorBidi" w:hAnsiTheme="majorBidi" w:cs="David"/>
          <w:sz w:val="24"/>
          <w:szCs w:val="24"/>
          <w:rtl/>
        </w:rPr>
      </w:pPr>
    </w:p>
    <w:p w:rsidR="00345C4A" w:rsidRPr="00300A77" w:rsidRDefault="00345C4A" w:rsidP="008E51CC">
      <w:pPr>
        <w:rPr>
          <w:rFonts w:asciiTheme="majorBidi" w:hAnsiTheme="majorBidi" w:cs="David"/>
          <w:sz w:val="24"/>
          <w:szCs w:val="24"/>
          <w:rtl/>
        </w:rPr>
      </w:pPr>
    </w:p>
    <w:tbl>
      <w:tblPr>
        <w:bidiVisual/>
        <w:tblW w:w="5685" w:type="pct"/>
        <w:tblLook w:val="01E0" w:firstRow="1" w:lastRow="1" w:firstColumn="1" w:lastColumn="1" w:noHBand="0" w:noVBand="0"/>
      </w:tblPr>
      <w:tblGrid>
        <w:gridCol w:w="4155"/>
        <w:gridCol w:w="5296"/>
      </w:tblGrid>
      <w:tr w:rsidR="008E51CC" w:rsidRPr="00300A77" w:rsidTr="00031A85">
        <w:tc>
          <w:tcPr>
            <w:tcW w:w="2198" w:type="pct"/>
          </w:tcPr>
          <w:p w:rsidR="008E51CC" w:rsidRPr="00300A77" w:rsidRDefault="008E51CC" w:rsidP="00856E1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8E51CC" w:rsidRPr="00300A77" w:rsidRDefault="00481DA7" w:rsidP="006B532A">
            <w:pPr>
              <w:pStyle w:val="1"/>
              <w:spacing w:line="360" w:lineRule="auto"/>
              <w:jc w:val="left"/>
              <w:rPr>
                <w:rFonts w:asciiTheme="majorBidi" w:hAnsiTheme="majorBidi"/>
                <w:b w:val="0"/>
                <w:bCs w:val="0"/>
                <w:rtl/>
              </w:rPr>
            </w:pPr>
            <w:r w:rsidRPr="00300A77">
              <w:rPr>
                <w:rFonts w:asciiTheme="majorBidi" w:hAnsiTheme="majorBidi"/>
                <w:b w:val="0"/>
                <w:bCs w:val="0"/>
                <w:rtl/>
              </w:rPr>
              <w:t>_</w:t>
            </w:r>
            <w:r w:rsidR="001C311D" w:rsidRPr="00300A77">
              <w:rPr>
                <w:rFonts w:asciiTheme="majorBidi" w:hAnsiTheme="majorBidi"/>
                <w:b w:val="0"/>
                <w:bCs w:val="0"/>
                <w:rtl/>
              </w:rPr>
              <w:t>___</w:t>
            </w:r>
            <w:r w:rsidRPr="00300A77">
              <w:rPr>
                <w:rFonts w:asciiTheme="majorBidi" w:hAnsiTheme="majorBidi"/>
                <w:b w:val="0"/>
                <w:bCs w:val="0"/>
                <w:rtl/>
              </w:rPr>
              <w:t xml:space="preserve">___ </w:t>
            </w:r>
            <w:r w:rsidR="008E51CC" w:rsidRPr="00300A77">
              <w:rPr>
                <w:rFonts w:asciiTheme="majorBidi" w:hAnsiTheme="majorBidi"/>
                <w:b w:val="0"/>
                <w:bCs w:val="0"/>
                <w:rtl/>
              </w:rPr>
              <w:t>התש</w:t>
            </w:r>
            <w:r w:rsidR="006B532A">
              <w:rPr>
                <w:rFonts w:asciiTheme="majorBidi" w:hAnsiTheme="majorBidi" w:hint="cs"/>
                <w:b w:val="0"/>
                <w:bCs w:val="0"/>
                <w:rtl/>
              </w:rPr>
              <w:t>"ף</w:t>
            </w:r>
          </w:p>
          <w:p w:rsidR="008E51CC" w:rsidRPr="00300A77" w:rsidRDefault="008E51CC" w:rsidP="006B532A">
            <w:pPr>
              <w:ind w:firstLine="0"/>
              <w:jc w:val="left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300A77">
              <w:rPr>
                <w:rFonts w:asciiTheme="majorBidi" w:hAnsiTheme="majorBidi" w:cs="David"/>
                <w:sz w:val="24"/>
                <w:szCs w:val="24"/>
                <w:rtl/>
              </w:rPr>
              <w:t>(___</w:t>
            </w:r>
            <w:r w:rsidR="001C311D" w:rsidRPr="00300A77">
              <w:rPr>
                <w:rFonts w:asciiTheme="majorBidi" w:hAnsiTheme="majorBidi" w:cs="David"/>
                <w:sz w:val="24"/>
                <w:szCs w:val="24"/>
                <w:rtl/>
              </w:rPr>
              <w:t>____</w:t>
            </w:r>
            <w:r w:rsidRPr="00300A77">
              <w:rPr>
                <w:rFonts w:asciiTheme="majorBidi" w:hAnsiTheme="majorBidi" w:cs="David"/>
                <w:sz w:val="24"/>
                <w:szCs w:val="24"/>
                <w:rtl/>
              </w:rPr>
              <w:t>_</w:t>
            </w:r>
            <w:r w:rsidR="006B532A">
              <w:rPr>
                <w:rFonts w:asciiTheme="majorBidi" w:hAnsiTheme="majorBidi" w:cs="David" w:hint="cs"/>
                <w:sz w:val="24"/>
                <w:szCs w:val="24"/>
                <w:rtl/>
              </w:rPr>
              <w:t>2020</w:t>
            </w:r>
            <w:r w:rsidRPr="00300A77">
              <w:rPr>
                <w:rFonts w:asciiTheme="majorBidi" w:hAnsiTheme="majorBidi" w:cs="David"/>
                <w:sz w:val="24"/>
                <w:szCs w:val="24"/>
                <w:rtl/>
              </w:rPr>
              <w:t>)</w:t>
            </w:r>
          </w:p>
          <w:p w:rsidR="008E51CC" w:rsidRPr="00300A77" w:rsidRDefault="008E51CC" w:rsidP="00856E1F">
            <w:pPr>
              <w:ind w:firstLine="0"/>
              <w:jc w:val="left"/>
              <w:rPr>
                <w:rFonts w:asciiTheme="majorBidi" w:hAnsiTheme="majorBidi" w:cs="David"/>
                <w:sz w:val="24"/>
                <w:szCs w:val="24"/>
              </w:rPr>
            </w:pPr>
            <w:r w:rsidRPr="00300A77">
              <w:rPr>
                <w:rFonts w:asciiTheme="majorBidi" w:hAnsiTheme="majorBidi" w:cs="David"/>
                <w:sz w:val="24"/>
                <w:szCs w:val="24"/>
                <w:rtl/>
              </w:rPr>
              <w:t>(חמ 3-1504)</w:t>
            </w:r>
          </w:p>
        </w:tc>
        <w:tc>
          <w:tcPr>
            <w:tcW w:w="2802" w:type="pct"/>
          </w:tcPr>
          <w:p w:rsidR="008E51CC" w:rsidRPr="00300A77" w:rsidRDefault="008E51CC" w:rsidP="00856E1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8E51CC" w:rsidRPr="00300A77" w:rsidRDefault="006B532A" w:rsidP="00856E1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>דוד אמסלם</w:t>
            </w:r>
          </w:p>
          <w:p w:rsidR="008E51CC" w:rsidRPr="00300A77" w:rsidRDefault="00756E71" w:rsidP="00856E1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300A77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</w:p>
          <w:p w:rsidR="008E51CC" w:rsidRPr="00300A77" w:rsidRDefault="008E51CC" w:rsidP="00856E1F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300A77">
              <w:rPr>
                <w:rFonts w:asciiTheme="majorBidi" w:hAnsiTheme="majorBidi" w:cs="David"/>
                <w:sz w:val="24"/>
                <w:szCs w:val="24"/>
                <w:rtl/>
              </w:rPr>
              <w:t>שר התקשורת</w:t>
            </w:r>
          </w:p>
        </w:tc>
      </w:tr>
    </w:tbl>
    <w:p w:rsidR="00573CB9" w:rsidRPr="00300A77" w:rsidRDefault="000A6E85" w:rsidP="000A6E85">
      <w:pPr>
        <w:ind w:firstLine="0"/>
        <w:rPr>
          <w:rFonts w:asciiTheme="majorBidi" w:hAnsiTheme="majorBidi" w:cs="David"/>
          <w:sz w:val="24"/>
          <w:szCs w:val="24"/>
          <w:rtl/>
        </w:rPr>
      </w:pPr>
      <w:r w:rsidRPr="00300A77">
        <w:rPr>
          <w:rFonts w:asciiTheme="majorBidi" w:hAnsiTheme="majorBidi" w:cs="David"/>
          <w:sz w:val="24"/>
          <w:szCs w:val="24"/>
          <w:rtl/>
        </w:rPr>
        <w:t xml:space="preserve"> </w:t>
      </w:r>
    </w:p>
    <w:p w:rsidR="00B30C6B" w:rsidRPr="0015392E" w:rsidRDefault="00B30C6B" w:rsidP="00B96FE4">
      <w:pPr>
        <w:widowControl/>
        <w:autoSpaceDE/>
        <w:autoSpaceDN/>
        <w:bidi w:val="0"/>
        <w:adjustRightInd/>
        <w:spacing w:before="0" w:after="200" w:line="276" w:lineRule="auto"/>
        <w:ind w:firstLine="0"/>
        <w:jc w:val="center"/>
        <w:textAlignment w:val="auto"/>
        <w:rPr>
          <w:rFonts w:cs="David"/>
          <w:b/>
          <w:bCs/>
          <w:sz w:val="26"/>
          <w:szCs w:val="26"/>
          <w:rtl/>
        </w:rPr>
      </w:pPr>
      <w:r w:rsidRPr="0015392E">
        <w:rPr>
          <w:rFonts w:asciiTheme="majorBidi" w:hAnsiTheme="majorBidi" w:cs="David"/>
          <w:b/>
          <w:bCs/>
          <w:sz w:val="24"/>
          <w:szCs w:val="24"/>
          <w:rtl/>
        </w:rPr>
        <w:br w:type="page"/>
      </w:r>
      <w:r w:rsidRPr="0015392E">
        <w:rPr>
          <w:rFonts w:cs="David" w:hint="cs"/>
          <w:b/>
          <w:bCs/>
          <w:sz w:val="26"/>
          <w:szCs w:val="26"/>
          <w:rtl/>
        </w:rPr>
        <w:lastRenderedPageBreak/>
        <w:t>דברי הסבר</w:t>
      </w:r>
    </w:p>
    <w:p w:rsidR="00A64DCC" w:rsidRPr="00A64DCC" w:rsidRDefault="00A64DCC" w:rsidP="00B96FE4">
      <w:pPr>
        <w:pStyle w:val="ae"/>
        <w:widowControl w:val="0"/>
        <w:autoSpaceDE w:val="0"/>
        <w:autoSpaceDN w:val="0"/>
        <w:adjustRightInd w:val="0"/>
        <w:snapToGrid w:val="0"/>
        <w:spacing w:before="120" w:after="120" w:line="360" w:lineRule="auto"/>
        <w:ind w:left="360"/>
        <w:jc w:val="both"/>
        <w:rPr>
          <w:rFonts w:ascii="Arial" w:eastAsia="Arial Unicode MS" w:hAnsi="Arial" w:cs="David"/>
          <w:b/>
          <w:bCs/>
          <w:sz w:val="18"/>
          <w:szCs w:val="24"/>
        </w:rPr>
      </w:pPr>
      <w:r w:rsidRPr="00A64DCC">
        <w:rPr>
          <w:rFonts w:ascii="Arial" w:eastAsia="Arial Unicode MS" w:hAnsi="Arial" w:cs="David" w:hint="cs"/>
          <w:b/>
          <w:bCs/>
          <w:sz w:val="18"/>
          <w:szCs w:val="24"/>
          <w:rtl/>
        </w:rPr>
        <w:t>כללי</w:t>
      </w:r>
      <w:r w:rsidR="00144060">
        <w:rPr>
          <w:rFonts w:ascii="Arial" w:eastAsia="Arial Unicode MS" w:hAnsi="Arial" w:cs="David" w:hint="cs"/>
          <w:b/>
          <w:bCs/>
          <w:sz w:val="18"/>
          <w:szCs w:val="24"/>
          <w:rtl/>
        </w:rPr>
        <w:t xml:space="preserve"> </w:t>
      </w:r>
    </w:p>
    <w:p w:rsidR="00144060" w:rsidRPr="00977983" w:rsidRDefault="006144E1" w:rsidP="00E47201">
      <w:pPr>
        <w:pStyle w:val="ae"/>
        <w:snapToGrid w:val="0"/>
        <w:spacing w:before="120" w:after="120" w:line="360" w:lineRule="auto"/>
        <w:ind w:left="360"/>
        <w:jc w:val="both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בהתאם</w:t>
      </w:r>
      <w:r w:rsidR="00144060" w:rsidRPr="00977983">
        <w:rPr>
          <w:rFonts w:asciiTheme="majorBidi" w:hAnsiTheme="majorBidi" w:cs="David" w:hint="cs"/>
          <w:sz w:val="24"/>
          <w:szCs w:val="24"/>
          <w:rtl/>
        </w:rPr>
        <w:t xml:space="preserve"> </w:t>
      </w:r>
      <w:r>
        <w:rPr>
          <w:rFonts w:asciiTheme="majorBidi" w:hAnsiTheme="majorBidi" w:cs="David" w:hint="cs"/>
          <w:sz w:val="24"/>
          <w:szCs w:val="24"/>
          <w:rtl/>
        </w:rPr>
        <w:t>ל</w:t>
      </w:r>
      <w:r w:rsidR="00887B04">
        <w:rPr>
          <w:rFonts w:asciiTheme="majorBidi" w:hAnsiTheme="majorBidi" w:cs="David" w:hint="cs"/>
          <w:sz w:val="24"/>
          <w:szCs w:val="24"/>
          <w:rtl/>
        </w:rPr>
        <w:t xml:space="preserve">החלטת </w:t>
      </w:r>
      <w:r w:rsidR="00887B04" w:rsidRPr="00977983">
        <w:rPr>
          <w:rFonts w:asciiTheme="majorBidi" w:hAnsiTheme="majorBidi" w:cs="David"/>
          <w:sz w:val="24"/>
          <w:szCs w:val="24"/>
          <w:rtl/>
        </w:rPr>
        <w:t>ה</w:t>
      </w:r>
      <w:r w:rsidR="00887B04">
        <w:rPr>
          <w:rFonts w:asciiTheme="majorBidi" w:hAnsiTheme="majorBidi" w:cs="David" w:hint="cs"/>
          <w:sz w:val="24"/>
          <w:szCs w:val="24"/>
          <w:rtl/>
        </w:rPr>
        <w:t>-</w:t>
      </w:r>
      <w:r w:rsidR="00887B04" w:rsidRPr="00977983">
        <w:rPr>
          <w:rFonts w:asciiTheme="majorBidi" w:hAnsiTheme="majorBidi" w:cs="David"/>
          <w:sz w:val="24"/>
          <w:szCs w:val="24"/>
        </w:rPr>
        <w:t>ITU</w:t>
      </w:r>
      <w:r w:rsidR="00887B04" w:rsidRPr="00977983">
        <w:rPr>
          <w:rFonts w:asciiTheme="majorBidi" w:hAnsiTheme="majorBidi" w:cs="David"/>
          <w:sz w:val="24"/>
          <w:szCs w:val="24"/>
          <w:rtl/>
        </w:rPr>
        <w:t xml:space="preserve"> </w:t>
      </w:r>
      <w:r w:rsidR="00887B04" w:rsidRPr="00977983">
        <w:rPr>
          <w:rFonts w:asciiTheme="majorBidi" w:hAnsiTheme="majorBidi" w:cs="David" w:hint="cs"/>
          <w:sz w:val="24"/>
          <w:szCs w:val="24"/>
          <w:rtl/>
        </w:rPr>
        <w:t>(</w:t>
      </w:r>
      <w:r w:rsidR="00887B04" w:rsidRPr="00977983">
        <w:rPr>
          <w:rFonts w:asciiTheme="majorBidi" w:hAnsiTheme="majorBidi" w:cs="David"/>
          <w:sz w:val="24"/>
          <w:szCs w:val="24"/>
          <w:rtl/>
        </w:rPr>
        <w:t>איגוד הבזק הבין</w:t>
      </w:r>
      <w:r w:rsidR="00887B04" w:rsidRPr="00977983">
        <w:rPr>
          <w:rFonts w:asciiTheme="majorBidi" w:hAnsiTheme="majorBidi" w:cs="David" w:hint="cs"/>
          <w:sz w:val="24"/>
          <w:szCs w:val="24"/>
          <w:rtl/>
        </w:rPr>
        <w:t>-</w:t>
      </w:r>
      <w:r w:rsidR="00887B04" w:rsidRPr="00977983">
        <w:rPr>
          <w:rFonts w:asciiTheme="majorBidi" w:hAnsiTheme="majorBidi" w:cs="David"/>
          <w:sz w:val="24"/>
          <w:szCs w:val="24"/>
          <w:rtl/>
        </w:rPr>
        <w:t>לאומי</w:t>
      </w:r>
      <w:r w:rsidR="00887B04" w:rsidRPr="00977983">
        <w:rPr>
          <w:rFonts w:asciiTheme="majorBidi" w:hAnsiTheme="majorBidi" w:cs="David" w:hint="cs"/>
          <w:sz w:val="24"/>
          <w:szCs w:val="24"/>
          <w:rtl/>
        </w:rPr>
        <w:t xml:space="preserve">) </w:t>
      </w:r>
      <w:r w:rsidR="00A07D44">
        <w:rPr>
          <w:rFonts w:asciiTheme="majorBidi" w:hAnsiTheme="majorBidi" w:cs="David" w:hint="cs"/>
          <w:sz w:val="24"/>
          <w:szCs w:val="24"/>
          <w:rtl/>
        </w:rPr>
        <w:t>ה</w:t>
      </w:r>
      <w:r w:rsidR="00977983" w:rsidRPr="00977983">
        <w:rPr>
          <w:rFonts w:asciiTheme="majorBidi" w:hAnsiTheme="majorBidi" w:cs="David" w:hint="cs"/>
          <w:sz w:val="24"/>
          <w:szCs w:val="24"/>
          <w:rtl/>
        </w:rPr>
        <w:t>ועדת ה</w:t>
      </w:r>
      <w:r w:rsidR="00144060" w:rsidRPr="00977983">
        <w:rPr>
          <w:rFonts w:asciiTheme="majorBidi" w:hAnsiTheme="majorBidi" w:cs="David" w:hint="cs"/>
          <w:sz w:val="24"/>
          <w:szCs w:val="24"/>
          <w:rtl/>
        </w:rPr>
        <w:t>ת</w:t>
      </w:r>
      <w:r w:rsidR="00977983" w:rsidRPr="00977983">
        <w:rPr>
          <w:rFonts w:asciiTheme="majorBidi" w:hAnsiTheme="majorBidi" w:cs="David" w:hint="cs"/>
          <w:sz w:val="24"/>
          <w:szCs w:val="24"/>
          <w:rtl/>
        </w:rPr>
        <w:t>דרים העולמית ב</w:t>
      </w:r>
      <w:r w:rsidR="00887B04">
        <w:rPr>
          <w:rFonts w:asciiTheme="majorBidi" w:hAnsiTheme="majorBidi" w:cs="David" w:hint="cs"/>
          <w:sz w:val="24"/>
          <w:szCs w:val="24"/>
          <w:rtl/>
        </w:rPr>
        <w:t xml:space="preserve">אזורנו </w:t>
      </w:r>
      <w:r w:rsidR="007B4617">
        <w:rPr>
          <w:rFonts w:asciiTheme="majorBidi" w:hAnsiTheme="majorBidi" w:cs="David" w:hint="cs"/>
          <w:sz w:val="24"/>
          <w:szCs w:val="24"/>
          <w:rtl/>
        </w:rPr>
        <w:t xml:space="preserve">נעשה </w:t>
      </w:r>
      <w:r>
        <w:rPr>
          <w:rFonts w:asciiTheme="majorBidi" w:hAnsiTheme="majorBidi" w:cs="David" w:hint="cs"/>
          <w:sz w:val="24"/>
          <w:szCs w:val="24"/>
          <w:rtl/>
        </w:rPr>
        <w:t>לאור ה</w:t>
      </w:r>
      <w:r w:rsidR="00C275AB">
        <w:rPr>
          <w:rFonts w:asciiTheme="majorBidi" w:hAnsiTheme="majorBidi" w:cs="David" w:hint="cs"/>
          <w:sz w:val="24"/>
          <w:szCs w:val="24"/>
          <w:rtl/>
        </w:rPr>
        <w:t xml:space="preserve">תקינה האירופאית. בהתאם לכך, </w:t>
      </w:r>
      <w:r w:rsidR="00144060" w:rsidRPr="00977983">
        <w:rPr>
          <w:rFonts w:asciiTheme="majorBidi" w:hAnsiTheme="majorBidi" w:cs="David" w:hint="cs"/>
          <w:sz w:val="24"/>
          <w:szCs w:val="24"/>
          <w:rtl/>
        </w:rPr>
        <w:t>החלטותיה</w:t>
      </w:r>
      <w:r w:rsidR="007B4617">
        <w:rPr>
          <w:rFonts w:asciiTheme="majorBidi" w:hAnsiTheme="majorBidi" w:cs="David" w:hint="cs"/>
          <w:sz w:val="24"/>
          <w:szCs w:val="24"/>
          <w:rtl/>
        </w:rPr>
        <w:t xml:space="preserve"> העדכניות</w:t>
      </w:r>
      <w:r w:rsidR="00144060" w:rsidRPr="00977983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977983">
        <w:rPr>
          <w:rFonts w:asciiTheme="majorBidi" w:hAnsiTheme="majorBidi" w:cs="David" w:hint="cs"/>
          <w:sz w:val="24"/>
          <w:szCs w:val="24"/>
          <w:rtl/>
        </w:rPr>
        <w:t>של ועדת התדרים</w:t>
      </w:r>
      <w:r w:rsidR="007B4617">
        <w:rPr>
          <w:rFonts w:asciiTheme="majorBidi" w:hAnsiTheme="majorBidi" w:cs="David" w:hint="cs"/>
          <w:sz w:val="24"/>
          <w:szCs w:val="24"/>
          <w:rtl/>
        </w:rPr>
        <w:t xml:space="preserve">, שהיא הגוף המוסמך להועיד ולהקצות תדרים </w:t>
      </w:r>
      <w:r w:rsidR="005E225B">
        <w:rPr>
          <w:rFonts w:asciiTheme="majorBidi" w:hAnsiTheme="majorBidi" w:cs="David" w:hint="cs"/>
          <w:sz w:val="24"/>
          <w:szCs w:val="24"/>
          <w:rtl/>
        </w:rPr>
        <w:t xml:space="preserve">בישראל </w:t>
      </w:r>
      <w:r w:rsidR="007B4617">
        <w:rPr>
          <w:rFonts w:asciiTheme="majorBidi" w:hAnsiTheme="majorBidi" w:cs="David" w:hint="cs"/>
          <w:sz w:val="24"/>
          <w:szCs w:val="24"/>
          <w:rtl/>
        </w:rPr>
        <w:t>על פי פקודת הטלגרף</w:t>
      </w:r>
      <w:r w:rsidRPr="006144E1">
        <w:rPr>
          <w:rFonts w:ascii="Arial" w:eastAsia="Arial Unicode MS" w:hAnsi="Arial" w:cs="David"/>
          <w:sz w:val="18"/>
          <w:szCs w:val="24"/>
          <w:rtl/>
        </w:rPr>
        <w:t xml:space="preserve"> </w:t>
      </w:r>
      <w:r w:rsidRPr="0047595B">
        <w:rPr>
          <w:rFonts w:ascii="Arial" w:eastAsia="Arial Unicode MS" w:hAnsi="Arial" w:cs="David"/>
          <w:sz w:val="18"/>
          <w:szCs w:val="24"/>
          <w:rtl/>
        </w:rPr>
        <w:t>האלחוטי [נוסח חדש], תשל</w:t>
      </w:r>
      <w:r w:rsidRPr="0047595B">
        <w:rPr>
          <w:rFonts w:ascii="Arial" w:eastAsia="Arial Unicode MS" w:hAnsi="Arial" w:cs="David" w:hint="cs"/>
          <w:sz w:val="18"/>
          <w:szCs w:val="24"/>
          <w:rtl/>
        </w:rPr>
        <w:t>"</w:t>
      </w:r>
      <w:r w:rsidRPr="0047595B">
        <w:rPr>
          <w:rFonts w:ascii="Arial" w:eastAsia="Arial Unicode MS" w:hAnsi="Arial" w:cs="David"/>
          <w:sz w:val="18"/>
          <w:szCs w:val="24"/>
          <w:rtl/>
        </w:rPr>
        <w:t>ב-1972</w:t>
      </w:r>
      <w:r w:rsidRPr="0047595B">
        <w:rPr>
          <w:rFonts w:ascii="Arial" w:eastAsia="Arial Unicode MS" w:hAnsi="Arial" w:cs="David" w:hint="cs"/>
          <w:sz w:val="18"/>
          <w:szCs w:val="24"/>
          <w:rtl/>
        </w:rPr>
        <w:t xml:space="preserve"> (להלן</w:t>
      </w:r>
      <w:r w:rsidR="005E225B">
        <w:rPr>
          <w:rFonts w:ascii="Arial" w:eastAsia="Arial Unicode MS" w:hAnsi="Arial" w:cs="David" w:hint="cs"/>
          <w:sz w:val="18"/>
          <w:szCs w:val="24"/>
          <w:rtl/>
        </w:rPr>
        <w:t xml:space="preserve"> בהתאמה</w:t>
      </w:r>
      <w:r w:rsidR="00550AAD">
        <w:rPr>
          <w:rFonts w:ascii="Arial" w:eastAsia="Arial Unicode MS" w:hAnsi="Arial" w:cs="David" w:hint="cs"/>
          <w:sz w:val="18"/>
          <w:szCs w:val="24"/>
          <w:rtl/>
        </w:rPr>
        <w:t>-</w:t>
      </w:r>
      <w:r w:rsidRPr="0047595B">
        <w:rPr>
          <w:rFonts w:ascii="Arial" w:eastAsia="Arial Unicode MS" w:hAnsi="Arial" w:cs="David" w:hint="cs"/>
          <w:sz w:val="18"/>
          <w:szCs w:val="24"/>
          <w:rtl/>
        </w:rPr>
        <w:t xml:space="preserve"> </w:t>
      </w:r>
      <w:r w:rsidR="005E225B">
        <w:rPr>
          <w:rFonts w:ascii="Arial" w:eastAsia="Arial Unicode MS" w:hAnsi="Arial" w:cs="David" w:hint="cs"/>
          <w:sz w:val="18"/>
          <w:szCs w:val="24"/>
          <w:rtl/>
        </w:rPr>
        <w:t xml:space="preserve"> ועדת התדרים, ו-</w:t>
      </w:r>
      <w:r w:rsidRPr="00E90045">
        <w:rPr>
          <w:rFonts w:ascii="Arial" w:eastAsia="Arial Unicode MS" w:hAnsi="Arial" w:cs="David" w:hint="eastAsia"/>
          <w:sz w:val="18"/>
          <w:szCs w:val="24"/>
          <w:rtl/>
        </w:rPr>
        <w:t>הפקודה</w:t>
      </w:r>
      <w:r w:rsidRPr="0047595B">
        <w:rPr>
          <w:rFonts w:ascii="Arial" w:eastAsia="Arial Unicode MS" w:hAnsi="Arial" w:cs="David" w:hint="cs"/>
          <w:sz w:val="18"/>
          <w:szCs w:val="24"/>
          <w:rtl/>
        </w:rPr>
        <w:t>)</w:t>
      </w:r>
      <w:r w:rsidR="007B4617">
        <w:rPr>
          <w:rFonts w:asciiTheme="majorBidi" w:hAnsiTheme="majorBidi" w:cs="David" w:hint="cs"/>
          <w:sz w:val="24"/>
          <w:szCs w:val="24"/>
          <w:rtl/>
        </w:rPr>
        <w:t xml:space="preserve">, </w:t>
      </w:r>
      <w:r w:rsidR="00144060" w:rsidRPr="00977983">
        <w:rPr>
          <w:rFonts w:asciiTheme="majorBidi" w:hAnsiTheme="majorBidi" w:cs="David" w:hint="cs"/>
          <w:sz w:val="24"/>
          <w:szCs w:val="24"/>
          <w:rtl/>
        </w:rPr>
        <w:t xml:space="preserve">משקפות מגמה של </w:t>
      </w:r>
      <w:r w:rsidR="007B4617">
        <w:rPr>
          <w:rFonts w:asciiTheme="majorBidi" w:hAnsiTheme="majorBidi" w:cs="David" w:hint="cs"/>
          <w:sz w:val="24"/>
          <w:szCs w:val="24"/>
          <w:rtl/>
        </w:rPr>
        <w:t>התאמת ה</w:t>
      </w:r>
      <w:r w:rsidR="00144060" w:rsidRPr="00977983">
        <w:rPr>
          <w:rFonts w:asciiTheme="majorBidi" w:hAnsiTheme="majorBidi" w:cs="David" w:hint="cs"/>
          <w:sz w:val="24"/>
          <w:szCs w:val="24"/>
          <w:rtl/>
        </w:rPr>
        <w:t>אסדר</w:t>
      </w:r>
      <w:r w:rsidR="007B4617">
        <w:rPr>
          <w:rFonts w:asciiTheme="majorBidi" w:hAnsiTheme="majorBidi" w:cs="David" w:hint="cs"/>
          <w:sz w:val="24"/>
          <w:szCs w:val="24"/>
          <w:rtl/>
        </w:rPr>
        <w:t>ה</w:t>
      </w:r>
      <w:r w:rsidR="009528D9">
        <w:rPr>
          <w:rFonts w:asciiTheme="majorBidi" w:hAnsiTheme="majorBidi" w:cs="David" w:hint="cs"/>
          <w:sz w:val="24"/>
          <w:szCs w:val="24"/>
          <w:rtl/>
        </w:rPr>
        <w:t xml:space="preserve"> הנוגעת לרישוי מכשירים אלחוטיים</w:t>
      </w:r>
      <w:r w:rsidR="007B4617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977983">
        <w:rPr>
          <w:rFonts w:asciiTheme="majorBidi" w:hAnsiTheme="majorBidi" w:cs="David" w:hint="cs"/>
          <w:sz w:val="24"/>
          <w:szCs w:val="24"/>
          <w:rtl/>
        </w:rPr>
        <w:t>לתק</w:t>
      </w:r>
      <w:r w:rsidR="007B4617">
        <w:rPr>
          <w:rFonts w:asciiTheme="majorBidi" w:hAnsiTheme="majorBidi" w:cs="David" w:hint="cs"/>
          <w:sz w:val="24"/>
          <w:szCs w:val="24"/>
          <w:rtl/>
        </w:rPr>
        <w:t>נים אירופאים</w:t>
      </w:r>
      <w:r w:rsidR="00977983">
        <w:rPr>
          <w:rFonts w:asciiTheme="majorBidi" w:hAnsiTheme="majorBidi" w:cs="David" w:hint="cs"/>
          <w:sz w:val="24"/>
          <w:szCs w:val="24"/>
          <w:rtl/>
        </w:rPr>
        <w:t xml:space="preserve">. </w:t>
      </w:r>
      <w:r w:rsidR="00144060" w:rsidRPr="00977983">
        <w:rPr>
          <w:rFonts w:asciiTheme="majorBidi" w:hAnsiTheme="majorBidi" w:cs="David" w:hint="cs"/>
          <w:sz w:val="24"/>
          <w:szCs w:val="24"/>
          <w:rtl/>
        </w:rPr>
        <w:t>עם הת</w:t>
      </w:r>
      <w:r w:rsidR="009528D9">
        <w:rPr>
          <w:rFonts w:asciiTheme="majorBidi" w:hAnsiTheme="majorBidi" w:cs="David" w:hint="cs"/>
          <w:sz w:val="24"/>
          <w:szCs w:val="24"/>
          <w:rtl/>
        </w:rPr>
        <w:t xml:space="preserve">פתחות </w:t>
      </w:r>
      <w:r w:rsidR="00144060" w:rsidRPr="00977983">
        <w:rPr>
          <w:rFonts w:asciiTheme="majorBidi" w:hAnsiTheme="majorBidi" w:cs="David" w:hint="cs"/>
          <w:sz w:val="24"/>
          <w:szCs w:val="24"/>
          <w:rtl/>
        </w:rPr>
        <w:t xml:space="preserve">הטכנולוגיה, תקנים אלו מתעדכנים מעת לעת, </w:t>
      </w:r>
      <w:r w:rsidR="002C76B5" w:rsidRPr="00977983">
        <w:rPr>
          <w:rFonts w:asciiTheme="majorBidi" w:hAnsiTheme="majorBidi" w:cs="David" w:hint="cs"/>
          <w:sz w:val="24"/>
          <w:szCs w:val="24"/>
          <w:rtl/>
        </w:rPr>
        <w:t>ו</w:t>
      </w:r>
      <w:r w:rsidR="002C76B5">
        <w:rPr>
          <w:rFonts w:asciiTheme="majorBidi" w:hAnsiTheme="majorBidi" w:cs="David" w:hint="cs"/>
          <w:sz w:val="24"/>
          <w:szCs w:val="24"/>
          <w:rtl/>
        </w:rPr>
        <w:t>עשויים</w:t>
      </w:r>
      <w:r w:rsidR="002C76B5" w:rsidRPr="00977983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144060" w:rsidRPr="00977983">
        <w:rPr>
          <w:rFonts w:asciiTheme="majorBidi" w:hAnsiTheme="majorBidi" w:cs="David" w:hint="cs"/>
          <w:sz w:val="24"/>
          <w:szCs w:val="24"/>
          <w:rtl/>
        </w:rPr>
        <w:t xml:space="preserve">לחול שינויים בטווח פסי התדרים, בהספקי השידור, בשימושים </w:t>
      </w:r>
      <w:r w:rsidR="00977983">
        <w:rPr>
          <w:rFonts w:asciiTheme="majorBidi" w:hAnsiTheme="majorBidi" w:cs="David" w:hint="cs"/>
          <w:sz w:val="24"/>
          <w:szCs w:val="24"/>
          <w:rtl/>
        </w:rPr>
        <w:t>ה</w:t>
      </w:r>
      <w:r w:rsidR="00144060" w:rsidRPr="00977983">
        <w:rPr>
          <w:rFonts w:asciiTheme="majorBidi" w:hAnsiTheme="majorBidi" w:cs="David" w:hint="cs"/>
          <w:sz w:val="24"/>
          <w:szCs w:val="24"/>
          <w:rtl/>
        </w:rPr>
        <w:t>מו</w:t>
      </w:r>
      <w:r w:rsidR="00977983">
        <w:rPr>
          <w:rFonts w:asciiTheme="majorBidi" w:hAnsiTheme="majorBidi" w:cs="David" w:hint="cs"/>
          <w:sz w:val="24"/>
          <w:szCs w:val="24"/>
          <w:rtl/>
        </w:rPr>
        <w:t xml:space="preserve">תרים או </w:t>
      </w:r>
      <w:r w:rsidR="009528D9">
        <w:rPr>
          <w:rFonts w:asciiTheme="majorBidi" w:hAnsiTheme="majorBidi" w:cs="David" w:hint="cs"/>
          <w:sz w:val="24"/>
          <w:szCs w:val="24"/>
          <w:rtl/>
        </w:rPr>
        <w:t>בתנאים הנדסיים אחרים</w:t>
      </w:r>
      <w:r w:rsidR="00144060" w:rsidRPr="00977983">
        <w:rPr>
          <w:rFonts w:asciiTheme="majorBidi" w:hAnsiTheme="majorBidi" w:cs="David" w:hint="cs"/>
          <w:sz w:val="24"/>
          <w:szCs w:val="24"/>
          <w:rtl/>
        </w:rPr>
        <w:t xml:space="preserve"> של מכשירים אלחוטיים המוגדרים לפיהם. </w:t>
      </w:r>
    </w:p>
    <w:p w:rsidR="007B4617" w:rsidRDefault="007B4617" w:rsidP="00D33A7F">
      <w:pPr>
        <w:pStyle w:val="ae"/>
        <w:snapToGrid w:val="0"/>
        <w:spacing w:before="120" w:after="120" w:line="360" w:lineRule="auto"/>
        <w:ind w:left="360"/>
        <w:jc w:val="both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מוצע</w:t>
      </w:r>
      <w:r w:rsidR="005E225B">
        <w:rPr>
          <w:rFonts w:asciiTheme="majorBidi" w:hAnsiTheme="majorBidi" w:cs="David" w:hint="cs"/>
          <w:sz w:val="24"/>
          <w:szCs w:val="24"/>
          <w:rtl/>
        </w:rPr>
        <w:t>,</w:t>
      </w:r>
      <w:r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5E225B">
        <w:rPr>
          <w:rFonts w:asciiTheme="majorBidi" w:hAnsiTheme="majorBidi" w:cs="David" w:hint="cs"/>
          <w:sz w:val="24"/>
          <w:szCs w:val="24"/>
          <w:rtl/>
        </w:rPr>
        <w:t xml:space="preserve">איפוא, </w:t>
      </w:r>
      <w:r>
        <w:rPr>
          <w:rFonts w:asciiTheme="majorBidi" w:hAnsiTheme="majorBidi" w:cs="David" w:hint="cs"/>
          <w:sz w:val="24"/>
          <w:szCs w:val="24"/>
          <w:rtl/>
        </w:rPr>
        <w:t>לתקן את</w:t>
      </w:r>
      <w:r w:rsidR="00A07D44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A07D44" w:rsidRPr="00E90045">
        <w:rPr>
          <w:rFonts w:asciiTheme="majorBidi" w:hAnsiTheme="majorBidi" w:cs="David"/>
          <w:sz w:val="24"/>
          <w:szCs w:val="24"/>
          <w:rtl/>
        </w:rPr>
        <w:t>צו הטלגרף האלחוטי (אי תחולת הפקודה) (מס' 2), התשמ"ב-1982</w:t>
      </w:r>
      <w:r w:rsidR="00A07D44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AA47B4">
        <w:rPr>
          <w:rFonts w:asciiTheme="majorBidi" w:hAnsiTheme="majorBidi" w:cs="David" w:hint="cs"/>
          <w:sz w:val="24"/>
          <w:szCs w:val="24"/>
          <w:rtl/>
        </w:rPr>
        <w:t xml:space="preserve"> (להלן</w:t>
      </w:r>
      <w:r w:rsidR="00550AAD">
        <w:rPr>
          <w:rFonts w:asciiTheme="majorBidi" w:hAnsiTheme="majorBidi" w:cs="David" w:hint="cs"/>
          <w:sz w:val="24"/>
          <w:szCs w:val="24"/>
          <w:rtl/>
        </w:rPr>
        <w:t>-</w:t>
      </w:r>
      <w:r w:rsidR="00AA47B4">
        <w:rPr>
          <w:rFonts w:asciiTheme="majorBidi" w:hAnsiTheme="majorBidi" w:cs="David" w:hint="cs"/>
          <w:sz w:val="24"/>
          <w:szCs w:val="24"/>
          <w:rtl/>
        </w:rPr>
        <w:t xml:space="preserve"> הצו) </w:t>
      </w:r>
      <w:r w:rsidR="00204747">
        <w:rPr>
          <w:rFonts w:asciiTheme="majorBidi" w:hAnsiTheme="majorBidi" w:cs="David" w:hint="cs"/>
          <w:sz w:val="24"/>
          <w:szCs w:val="24"/>
          <w:rtl/>
        </w:rPr>
        <w:t>ו</w:t>
      </w:r>
      <w:r>
        <w:rPr>
          <w:rFonts w:asciiTheme="majorBidi" w:hAnsiTheme="majorBidi" w:cs="David" w:hint="cs"/>
          <w:sz w:val="24"/>
          <w:szCs w:val="24"/>
          <w:rtl/>
        </w:rPr>
        <w:t xml:space="preserve">את </w:t>
      </w:r>
      <w:r w:rsidR="009528D9">
        <w:rPr>
          <w:rFonts w:asciiTheme="majorBidi" w:hAnsiTheme="majorBidi" w:cs="David" w:hint="cs"/>
          <w:sz w:val="24"/>
          <w:szCs w:val="24"/>
          <w:rtl/>
        </w:rPr>
        <w:t xml:space="preserve">התנאים ההנדסיים </w:t>
      </w:r>
      <w:r>
        <w:rPr>
          <w:rFonts w:asciiTheme="majorBidi" w:hAnsiTheme="majorBidi" w:cs="David" w:hint="cs"/>
          <w:sz w:val="24"/>
          <w:szCs w:val="24"/>
          <w:rtl/>
        </w:rPr>
        <w:t xml:space="preserve">המנויים בו, </w:t>
      </w:r>
      <w:r w:rsidR="002C76B5">
        <w:rPr>
          <w:rFonts w:asciiTheme="majorBidi" w:hAnsiTheme="majorBidi" w:cs="David" w:hint="cs"/>
          <w:sz w:val="24"/>
          <w:szCs w:val="24"/>
          <w:rtl/>
        </w:rPr>
        <w:t>על</w:t>
      </w:r>
      <w:r w:rsidR="00CD7F7B">
        <w:rPr>
          <w:rFonts w:asciiTheme="majorBidi" w:hAnsiTheme="majorBidi" w:cs="David" w:hint="cs"/>
          <w:sz w:val="24"/>
          <w:szCs w:val="24"/>
          <w:rtl/>
        </w:rPr>
        <w:t xml:space="preserve"> מנת להתאימו</w:t>
      </w:r>
      <w:r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204747">
        <w:rPr>
          <w:rFonts w:asciiTheme="majorBidi" w:hAnsiTheme="majorBidi" w:cs="David" w:hint="cs"/>
          <w:sz w:val="24"/>
          <w:szCs w:val="24"/>
          <w:rtl/>
        </w:rPr>
        <w:t>לה</w:t>
      </w:r>
      <w:r>
        <w:rPr>
          <w:rFonts w:asciiTheme="majorBidi" w:hAnsiTheme="majorBidi" w:cs="David" w:hint="cs"/>
          <w:sz w:val="24"/>
          <w:szCs w:val="24"/>
          <w:rtl/>
        </w:rPr>
        <w:t xml:space="preserve">חלטותיה העדכניות של ועדת התדרים. </w:t>
      </w:r>
    </w:p>
    <w:p w:rsidR="002C76B5" w:rsidRDefault="007963F9" w:rsidP="00D33A7F">
      <w:pPr>
        <w:pStyle w:val="ae"/>
        <w:snapToGrid w:val="0"/>
        <w:spacing w:before="120" w:after="120" w:line="360" w:lineRule="auto"/>
        <w:ind w:left="360"/>
        <w:jc w:val="both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בהתאם לתיקון מס' 6 לפקודת הטלגרף</w:t>
      </w:r>
      <w:r w:rsidR="00AA47B4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8775FE" w:rsidRPr="00597ED7">
        <w:rPr>
          <w:rFonts w:asciiTheme="majorBidi" w:hAnsiTheme="majorBidi" w:cs="David"/>
          <w:sz w:val="24"/>
          <w:szCs w:val="24"/>
          <w:rtl/>
        </w:rPr>
        <w:t xml:space="preserve">בסעיף 9 לחוק התכנית הכלכלית (תיקוני חקיקה ליישום המדיניות הכלכלית לשנת התקציב 2019), </w:t>
      </w:r>
      <w:r w:rsidR="006E14B5" w:rsidRPr="00597ED7">
        <w:rPr>
          <w:rFonts w:asciiTheme="majorBidi" w:hAnsiTheme="majorBidi" w:cs="David" w:hint="cs"/>
          <w:sz w:val="24"/>
          <w:szCs w:val="24"/>
          <w:rtl/>
        </w:rPr>
        <w:t>ה</w:t>
      </w:r>
      <w:r w:rsidR="008775FE" w:rsidRPr="00597ED7">
        <w:rPr>
          <w:rFonts w:asciiTheme="majorBidi" w:hAnsiTheme="majorBidi" w:cs="David"/>
          <w:sz w:val="24"/>
          <w:szCs w:val="24"/>
          <w:rtl/>
        </w:rPr>
        <w:t xml:space="preserve">תשע"ח-2018 </w:t>
      </w:r>
      <w:r w:rsidR="00AA47B4">
        <w:rPr>
          <w:rFonts w:asciiTheme="majorBidi" w:hAnsiTheme="majorBidi" w:cs="David" w:hint="cs"/>
          <w:sz w:val="24"/>
          <w:szCs w:val="24"/>
          <w:rtl/>
        </w:rPr>
        <w:t xml:space="preserve"> (להלן</w:t>
      </w:r>
      <w:r w:rsidR="00550AAD">
        <w:rPr>
          <w:rFonts w:asciiTheme="majorBidi" w:hAnsiTheme="majorBidi" w:cs="David" w:hint="cs"/>
          <w:sz w:val="24"/>
          <w:szCs w:val="24"/>
          <w:rtl/>
        </w:rPr>
        <w:t>-</w:t>
      </w:r>
      <w:r w:rsidR="00AA47B4">
        <w:rPr>
          <w:rFonts w:asciiTheme="majorBidi" w:hAnsiTheme="majorBidi" w:cs="David" w:hint="cs"/>
          <w:sz w:val="24"/>
          <w:szCs w:val="24"/>
          <w:rtl/>
        </w:rPr>
        <w:t xml:space="preserve"> תיקון מס' 6) </w:t>
      </w:r>
      <w:r>
        <w:rPr>
          <w:rFonts w:asciiTheme="majorBidi" w:hAnsiTheme="majorBidi" w:cs="David" w:hint="cs"/>
          <w:sz w:val="24"/>
          <w:szCs w:val="24"/>
          <w:rtl/>
        </w:rPr>
        <w:t>, בכוונת משרד התקשורת</w:t>
      </w:r>
      <w:r w:rsidR="00AE781E">
        <w:rPr>
          <w:rFonts w:asciiTheme="majorBidi" w:hAnsiTheme="majorBidi" w:cs="David" w:hint="cs"/>
          <w:sz w:val="24"/>
          <w:szCs w:val="24"/>
          <w:rtl/>
        </w:rPr>
        <w:t xml:space="preserve"> להחליף את הצו</w:t>
      </w:r>
      <w:r w:rsidR="002C76B5">
        <w:rPr>
          <w:rFonts w:asciiTheme="majorBidi" w:hAnsiTheme="majorBidi" w:cs="David" w:hint="cs"/>
          <w:sz w:val="24"/>
          <w:szCs w:val="24"/>
          <w:rtl/>
        </w:rPr>
        <w:t xml:space="preserve"> בתקנות אשר י</w:t>
      </w:r>
      <w:r w:rsidR="00AE781E">
        <w:rPr>
          <w:rFonts w:asciiTheme="majorBidi" w:hAnsiTheme="majorBidi" w:cs="David" w:hint="cs"/>
          <w:sz w:val="24"/>
          <w:szCs w:val="24"/>
          <w:rtl/>
        </w:rPr>
        <w:t xml:space="preserve">סדירו </w:t>
      </w:r>
      <w:r w:rsidR="002C76B5">
        <w:rPr>
          <w:rFonts w:asciiTheme="majorBidi" w:hAnsiTheme="majorBidi" w:cs="David" w:hint="cs"/>
          <w:sz w:val="24"/>
          <w:szCs w:val="24"/>
          <w:rtl/>
        </w:rPr>
        <w:t xml:space="preserve">באופן מלא </w:t>
      </w:r>
      <w:r w:rsidR="00AE781E">
        <w:rPr>
          <w:rFonts w:asciiTheme="majorBidi" w:hAnsiTheme="majorBidi" w:cs="David" w:hint="cs"/>
          <w:sz w:val="24"/>
          <w:szCs w:val="24"/>
          <w:rtl/>
        </w:rPr>
        <w:t>את מתן אישורי ההתאמה</w:t>
      </w:r>
      <w:r w:rsidR="002C76B5">
        <w:rPr>
          <w:rFonts w:asciiTheme="majorBidi" w:hAnsiTheme="majorBidi" w:cs="David" w:hint="cs"/>
          <w:sz w:val="24"/>
          <w:szCs w:val="24"/>
          <w:rtl/>
        </w:rPr>
        <w:t xml:space="preserve"> ואשר יכללו את כלל </w:t>
      </w:r>
      <w:r w:rsidR="00AE781E">
        <w:rPr>
          <w:rFonts w:asciiTheme="majorBidi" w:hAnsiTheme="majorBidi" w:cs="David" w:hint="cs"/>
          <w:sz w:val="24"/>
          <w:szCs w:val="24"/>
          <w:rtl/>
        </w:rPr>
        <w:t xml:space="preserve">החלטותיה של ועדת התדרים. </w:t>
      </w:r>
      <w:r w:rsidR="00CD7F7B">
        <w:rPr>
          <w:rFonts w:asciiTheme="majorBidi" w:hAnsiTheme="majorBidi" w:cs="David" w:hint="cs"/>
          <w:sz w:val="24"/>
          <w:szCs w:val="24"/>
          <w:rtl/>
        </w:rPr>
        <w:t>תיקון</w:t>
      </w:r>
      <w:r w:rsidR="002C76B5">
        <w:rPr>
          <w:rFonts w:asciiTheme="majorBidi" w:hAnsiTheme="majorBidi" w:cs="David" w:hint="cs"/>
          <w:sz w:val="24"/>
          <w:szCs w:val="24"/>
          <w:rtl/>
        </w:rPr>
        <w:t xml:space="preserve"> הצו ה</w:t>
      </w:r>
      <w:r w:rsidR="00AE781E">
        <w:rPr>
          <w:rFonts w:asciiTheme="majorBidi" w:hAnsiTheme="majorBidi" w:cs="David" w:hint="cs"/>
          <w:sz w:val="24"/>
          <w:szCs w:val="24"/>
          <w:rtl/>
        </w:rPr>
        <w:t xml:space="preserve">נוכחי מכיל </w:t>
      </w:r>
      <w:r w:rsidR="002C76B5">
        <w:rPr>
          <w:rFonts w:asciiTheme="majorBidi" w:hAnsiTheme="majorBidi" w:cs="David" w:hint="cs"/>
          <w:sz w:val="24"/>
          <w:szCs w:val="24"/>
          <w:rtl/>
        </w:rPr>
        <w:t>חלק</w:t>
      </w:r>
      <w:r w:rsidR="00AE781E">
        <w:rPr>
          <w:rFonts w:asciiTheme="majorBidi" w:hAnsiTheme="majorBidi" w:cs="David" w:hint="cs"/>
          <w:sz w:val="24"/>
          <w:szCs w:val="24"/>
          <w:rtl/>
        </w:rPr>
        <w:t xml:space="preserve"> מהחלטות ועדת התדרים הנחוצות</w:t>
      </w:r>
      <w:r w:rsidR="002C76B5">
        <w:rPr>
          <w:rFonts w:asciiTheme="majorBidi" w:hAnsiTheme="majorBidi" w:cs="David" w:hint="cs"/>
          <w:sz w:val="24"/>
          <w:szCs w:val="24"/>
          <w:rtl/>
        </w:rPr>
        <w:t xml:space="preserve"> באופן דחוף בעת הזו ל</w:t>
      </w:r>
      <w:r w:rsidR="00AE781E">
        <w:rPr>
          <w:rFonts w:asciiTheme="majorBidi" w:hAnsiTheme="majorBidi" w:cs="David" w:hint="cs"/>
          <w:sz w:val="24"/>
          <w:szCs w:val="24"/>
          <w:rtl/>
        </w:rPr>
        <w:t xml:space="preserve">ייבוא </w:t>
      </w:r>
      <w:r w:rsidR="00753187">
        <w:rPr>
          <w:rFonts w:asciiTheme="majorBidi" w:hAnsiTheme="majorBidi" w:cs="David" w:hint="cs"/>
          <w:sz w:val="24"/>
          <w:szCs w:val="24"/>
          <w:rtl/>
        </w:rPr>
        <w:t>מכשירי אלחוט</w:t>
      </w:r>
      <w:r w:rsidR="002C76B5">
        <w:rPr>
          <w:rFonts w:asciiTheme="majorBidi" w:hAnsiTheme="majorBidi" w:cs="David" w:hint="cs"/>
          <w:sz w:val="24"/>
          <w:szCs w:val="24"/>
          <w:rtl/>
        </w:rPr>
        <w:t xml:space="preserve"> מהסוגים המפורטים בתיקון המוצע לצו והשימוש בהם.</w:t>
      </w:r>
    </w:p>
    <w:p w:rsidR="007963F9" w:rsidRDefault="00AE781E" w:rsidP="00D33A7F">
      <w:pPr>
        <w:pStyle w:val="ae"/>
        <w:snapToGrid w:val="0"/>
        <w:spacing w:before="120" w:after="120" w:line="360" w:lineRule="auto"/>
        <w:ind w:left="360"/>
        <w:jc w:val="both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7963F9">
        <w:rPr>
          <w:rFonts w:asciiTheme="majorBidi" w:hAnsiTheme="majorBidi" w:cs="David" w:hint="cs"/>
          <w:sz w:val="24"/>
          <w:szCs w:val="24"/>
          <w:rtl/>
        </w:rPr>
        <w:t xml:space="preserve">  </w:t>
      </w:r>
    </w:p>
    <w:p w:rsidR="00144060" w:rsidRDefault="00144060" w:rsidP="00144060">
      <w:pPr>
        <w:pStyle w:val="ae"/>
        <w:widowControl w:val="0"/>
        <w:autoSpaceDE w:val="0"/>
        <w:autoSpaceDN w:val="0"/>
        <w:adjustRightInd w:val="0"/>
        <w:snapToGrid w:val="0"/>
        <w:spacing w:before="120" w:after="120" w:line="360" w:lineRule="auto"/>
        <w:ind w:left="360"/>
        <w:jc w:val="both"/>
        <w:rPr>
          <w:rFonts w:ascii="Arial" w:eastAsia="Arial Unicode MS" w:hAnsi="Arial" w:cs="David"/>
          <w:b/>
          <w:bCs/>
          <w:sz w:val="18"/>
          <w:szCs w:val="24"/>
          <w:rtl/>
        </w:rPr>
      </w:pPr>
    </w:p>
    <w:p w:rsidR="00144060" w:rsidRPr="00144060" w:rsidRDefault="00144060" w:rsidP="008171A3">
      <w:pPr>
        <w:pStyle w:val="ae"/>
        <w:widowControl w:val="0"/>
        <w:autoSpaceDE w:val="0"/>
        <w:autoSpaceDN w:val="0"/>
        <w:adjustRightInd w:val="0"/>
        <w:snapToGrid w:val="0"/>
        <w:spacing w:before="120" w:after="120" w:line="360" w:lineRule="auto"/>
        <w:ind w:left="360"/>
        <w:jc w:val="both"/>
        <w:rPr>
          <w:rFonts w:ascii="Arial" w:eastAsia="Arial Unicode MS" w:hAnsi="Arial" w:cs="David"/>
          <w:b/>
          <w:bCs/>
          <w:sz w:val="18"/>
          <w:szCs w:val="24"/>
        </w:rPr>
      </w:pPr>
      <w:r>
        <w:rPr>
          <w:rFonts w:ascii="Arial" w:eastAsia="Arial Unicode MS" w:hAnsi="Arial" w:cs="David" w:hint="cs"/>
          <w:b/>
          <w:bCs/>
          <w:sz w:val="18"/>
          <w:szCs w:val="24"/>
          <w:rtl/>
        </w:rPr>
        <w:t>ה</w:t>
      </w:r>
      <w:r w:rsidRPr="00144060">
        <w:rPr>
          <w:rFonts w:ascii="Arial" w:eastAsia="Arial Unicode MS" w:hAnsi="Arial" w:cs="David" w:hint="cs"/>
          <w:b/>
          <w:bCs/>
          <w:sz w:val="18"/>
          <w:szCs w:val="24"/>
          <w:rtl/>
        </w:rPr>
        <w:t>סמכות לתיקון הצו</w:t>
      </w:r>
      <w:r w:rsidR="00977983">
        <w:rPr>
          <w:rFonts w:ascii="Arial" w:eastAsia="Arial Unicode MS" w:hAnsi="Arial" w:cs="David" w:hint="cs"/>
          <w:b/>
          <w:bCs/>
          <w:sz w:val="18"/>
          <w:szCs w:val="24"/>
          <w:rtl/>
        </w:rPr>
        <w:t xml:space="preserve">  </w:t>
      </w:r>
    </w:p>
    <w:p w:rsidR="00757008" w:rsidRPr="0047595B" w:rsidRDefault="00757008" w:rsidP="00D33A7F">
      <w:pPr>
        <w:pStyle w:val="ae"/>
        <w:widowControl w:val="0"/>
        <w:autoSpaceDE w:val="0"/>
        <w:autoSpaceDN w:val="0"/>
        <w:adjustRightInd w:val="0"/>
        <w:snapToGrid w:val="0"/>
        <w:spacing w:before="120" w:after="120" w:line="360" w:lineRule="auto"/>
        <w:ind w:left="360"/>
        <w:jc w:val="both"/>
        <w:rPr>
          <w:rFonts w:ascii="Arial" w:eastAsia="Arial Unicode MS" w:hAnsi="Arial" w:cs="David"/>
          <w:sz w:val="18"/>
          <w:szCs w:val="24"/>
        </w:rPr>
      </w:pPr>
      <w:r w:rsidRPr="0047595B">
        <w:rPr>
          <w:rFonts w:ascii="Arial" w:eastAsia="Arial Unicode MS" w:hAnsi="Arial" w:cs="David" w:hint="cs"/>
          <w:sz w:val="18"/>
          <w:szCs w:val="24"/>
          <w:rtl/>
        </w:rPr>
        <w:t xml:space="preserve">בהתאם לאסדרה הנוהגת מכוח </w:t>
      </w:r>
      <w:r w:rsidRPr="0047595B">
        <w:rPr>
          <w:rFonts w:ascii="Arial" w:eastAsia="Arial Unicode MS" w:hAnsi="Arial" w:cs="David"/>
          <w:sz w:val="18"/>
          <w:szCs w:val="24"/>
          <w:rtl/>
        </w:rPr>
        <w:t>פקודת הטלגרף</w:t>
      </w:r>
      <w:r w:rsidRPr="0047595B">
        <w:rPr>
          <w:rFonts w:ascii="Arial" w:eastAsia="Arial Unicode MS" w:hAnsi="Arial" w:cs="David" w:hint="cs"/>
          <w:sz w:val="18"/>
          <w:szCs w:val="24"/>
          <w:rtl/>
        </w:rPr>
        <w:t xml:space="preserve">, ייצור, סחר, התקנה, הפעלה או החזקה של מכשיר אלחוטי הן פעולות המחייבות קבלת רישיון מאת משרד התקשורת. </w:t>
      </w:r>
    </w:p>
    <w:p w:rsidR="00595B8D" w:rsidRDefault="005505F7" w:rsidP="00D33A7F">
      <w:pPr>
        <w:pStyle w:val="ae"/>
        <w:snapToGrid w:val="0"/>
        <w:spacing w:before="120" w:after="120" w:line="360" w:lineRule="auto"/>
        <w:ind w:left="360"/>
        <w:jc w:val="both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הצו נקבע מכוח </w:t>
      </w:r>
      <w:r w:rsidR="0028302F">
        <w:rPr>
          <w:rFonts w:asciiTheme="majorBidi" w:hAnsiTheme="majorBidi" w:cs="David" w:hint="cs"/>
          <w:sz w:val="24"/>
          <w:szCs w:val="24"/>
          <w:rtl/>
        </w:rPr>
        <w:t xml:space="preserve">סעיף 4 </w:t>
      </w:r>
      <w:r w:rsidR="00AA47B4">
        <w:rPr>
          <w:rFonts w:asciiTheme="majorBidi" w:hAnsiTheme="majorBidi" w:cs="David" w:hint="cs"/>
          <w:sz w:val="24"/>
          <w:szCs w:val="24"/>
          <w:rtl/>
        </w:rPr>
        <w:t>לפקוד</w:t>
      </w:r>
      <w:r w:rsidR="00CD7F7B">
        <w:rPr>
          <w:rFonts w:asciiTheme="majorBidi" w:hAnsiTheme="majorBidi" w:cs="David" w:hint="cs"/>
          <w:sz w:val="24"/>
          <w:szCs w:val="24"/>
          <w:rtl/>
        </w:rPr>
        <w:t>ה</w:t>
      </w:r>
      <w:r w:rsidR="00AA47B4">
        <w:rPr>
          <w:rFonts w:asciiTheme="majorBidi" w:hAnsiTheme="majorBidi" w:cs="David" w:hint="cs"/>
          <w:sz w:val="24"/>
          <w:szCs w:val="24"/>
          <w:rtl/>
        </w:rPr>
        <w:t xml:space="preserve"> טרם תיקון מס' </w:t>
      </w:r>
      <w:r w:rsidR="00CD7F7B">
        <w:rPr>
          <w:rFonts w:asciiTheme="majorBidi" w:hAnsiTheme="majorBidi" w:cs="David" w:hint="cs"/>
          <w:sz w:val="24"/>
          <w:szCs w:val="24"/>
          <w:rtl/>
        </w:rPr>
        <w:t>6</w:t>
      </w:r>
      <w:r>
        <w:rPr>
          <w:rFonts w:asciiTheme="majorBidi" w:hAnsiTheme="majorBidi" w:cs="David" w:hint="cs"/>
          <w:sz w:val="24"/>
          <w:szCs w:val="24"/>
          <w:rtl/>
        </w:rPr>
        <w:t xml:space="preserve">. הצו </w:t>
      </w:r>
      <w:r w:rsidR="00200C99">
        <w:rPr>
          <w:rFonts w:asciiTheme="majorBidi" w:hAnsiTheme="majorBidi" w:cs="David" w:hint="cs"/>
          <w:sz w:val="24"/>
          <w:szCs w:val="24"/>
          <w:rtl/>
        </w:rPr>
        <w:t>מפרט מכשירים</w:t>
      </w:r>
      <w:r w:rsidR="008E3427">
        <w:rPr>
          <w:rFonts w:asciiTheme="majorBidi" w:hAnsiTheme="majorBidi" w:cs="David" w:hint="cs"/>
          <w:sz w:val="24"/>
          <w:szCs w:val="24"/>
          <w:rtl/>
        </w:rPr>
        <w:t xml:space="preserve"> אלחוטיים</w:t>
      </w:r>
      <w:r w:rsidR="00200C99">
        <w:rPr>
          <w:rFonts w:asciiTheme="majorBidi" w:hAnsiTheme="majorBidi" w:cs="David" w:hint="cs"/>
          <w:sz w:val="24"/>
          <w:szCs w:val="24"/>
          <w:rtl/>
        </w:rPr>
        <w:t xml:space="preserve"> עליהם הפקודה </w:t>
      </w:r>
      <w:r w:rsidR="004255D9">
        <w:rPr>
          <w:rFonts w:asciiTheme="majorBidi" w:hAnsiTheme="majorBidi" w:cs="David" w:hint="cs"/>
          <w:sz w:val="24"/>
          <w:szCs w:val="24"/>
          <w:rtl/>
        </w:rPr>
        <w:t>לא תחול</w:t>
      </w:r>
      <w:r w:rsidR="00200C99">
        <w:rPr>
          <w:rFonts w:asciiTheme="majorBidi" w:hAnsiTheme="majorBidi" w:cs="David" w:hint="cs"/>
          <w:sz w:val="24"/>
          <w:szCs w:val="24"/>
          <w:rtl/>
        </w:rPr>
        <w:t>, ב</w:t>
      </w:r>
      <w:r w:rsidR="004255D9">
        <w:rPr>
          <w:rFonts w:asciiTheme="majorBidi" w:hAnsiTheme="majorBidi" w:cs="David" w:hint="cs"/>
          <w:sz w:val="24"/>
          <w:szCs w:val="24"/>
          <w:rtl/>
        </w:rPr>
        <w:t xml:space="preserve">חלוקה לשני סוגים </w:t>
      </w:r>
      <w:r w:rsidR="004255D9">
        <w:rPr>
          <w:rFonts w:asciiTheme="majorBidi" w:hAnsiTheme="majorBidi" w:cs="David"/>
          <w:sz w:val="24"/>
          <w:szCs w:val="24"/>
          <w:rtl/>
        </w:rPr>
        <w:t>–</w:t>
      </w:r>
      <w:r w:rsidR="004255D9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FE7705">
        <w:rPr>
          <w:rFonts w:asciiTheme="majorBidi" w:hAnsiTheme="majorBidi" w:cs="David" w:hint="cs"/>
          <w:sz w:val="24"/>
          <w:szCs w:val="24"/>
          <w:rtl/>
        </w:rPr>
        <w:t xml:space="preserve">הסוג הראשון, </w:t>
      </w:r>
      <w:r w:rsidR="00181752">
        <w:rPr>
          <w:rFonts w:asciiTheme="majorBidi" w:hAnsiTheme="majorBidi" w:cs="David" w:hint="cs"/>
          <w:sz w:val="24"/>
          <w:szCs w:val="24"/>
          <w:rtl/>
        </w:rPr>
        <w:t xml:space="preserve">מכשירים אלחוטיים </w:t>
      </w:r>
      <w:r w:rsidR="004255D9">
        <w:rPr>
          <w:rFonts w:asciiTheme="majorBidi" w:hAnsiTheme="majorBidi" w:cs="David" w:hint="cs"/>
          <w:sz w:val="24"/>
          <w:szCs w:val="24"/>
          <w:rtl/>
        </w:rPr>
        <w:t>ה</w:t>
      </w:r>
      <w:r w:rsidR="00FE7705">
        <w:rPr>
          <w:rFonts w:asciiTheme="majorBidi" w:hAnsiTheme="majorBidi" w:cs="David" w:hint="cs"/>
          <w:sz w:val="24"/>
          <w:szCs w:val="24"/>
          <w:rtl/>
        </w:rPr>
        <w:t>פטו</w:t>
      </w:r>
      <w:r w:rsidR="00CD7F7B">
        <w:rPr>
          <w:rFonts w:asciiTheme="majorBidi" w:hAnsiTheme="majorBidi" w:cs="David" w:hint="cs"/>
          <w:sz w:val="24"/>
          <w:szCs w:val="24"/>
          <w:rtl/>
        </w:rPr>
        <w:t>רים מרישוי (סעיפים 1א ו-1ב לצו);</w:t>
      </w:r>
      <w:r w:rsidR="00FE7705">
        <w:rPr>
          <w:rFonts w:asciiTheme="majorBidi" w:hAnsiTheme="majorBidi" w:cs="David" w:hint="cs"/>
          <w:sz w:val="24"/>
          <w:szCs w:val="24"/>
          <w:rtl/>
        </w:rPr>
        <w:t xml:space="preserve"> הסוג השני, </w:t>
      </w:r>
      <w:r w:rsidR="00181752">
        <w:rPr>
          <w:rFonts w:asciiTheme="majorBidi" w:hAnsiTheme="majorBidi" w:cs="David" w:hint="cs"/>
          <w:sz w:val="24"/>
          <w:szCs w:val="24"/>
          <w:rtl/>
        </w:rPr>
        <w:t xml:space="preserve">מכשירים </w:t>
      </w:r>
      <w:r w:rsidR="004255D9">
        <w:rPr>
          <w:rFonts w:asciiTheme="majorBidi" w:hAnsiTheme="majorBidi" w:cs="David" w:hint="cs"/>
          <w:sz w:val="24"/>
          <w:szCs w:val="24"/>
          <w:rtl/>
        </w:rPr>
        <w:t>אלחוטי</w:t>
      </w:r>
      <w:r w:rsidR="00181752">
        <w:rPr>
          <w:rFonts w:asciiTheme="majorBidi" w:hAnsiTheme="majorBidi" w:cs="David" w:hint="cs"/>
          <w:sz w:val="24"/>
          <w:szCs w:val="24"/>
          <w:rtl/>
        </w:rPr>
        <w:t>ים</w:t>
      </w:r>
      <w:r w:rsidR="00FE7705">
        <w:rPr>
          <w:rFonts w:asciiTheme="majorBidi" w:hAnsiTheme="majorBidi" w:cs="David" w:hint="cs"/>
          <w:sz w:val="24"/>
          <w:szCs w:val="24"/>
          <w:rtl/>
        </w:rPr>
        <w:t xml:space="preserve">, אשר </w:t>
      </w:r>
      <w:r w:rsidR="004255D9">
        <w:rPr>
          <w:rFonts w:asciiTheme="majorBidi" w:hAnsiTheme="majorBidi" w:cs="David" w:hint="cs"/>
          <w:sz w:val="24"/>
          <w:szCs w:val="24"/>
          <w:rtl/>
        </w:rPr>
        <w:t>מ</w:t>
      </w:r>
      <w:r w:rsidR="00181752">
        <w:rPr>
          <w:rFonts w:asciiTheme="majorBidi" w:hAnsiTheme="majorBidi" w:cs="David" w:hint="cs"/>
          <w:sz w:val="24"/>
          <w:szCs w:val="24"/>
          <w:rtl/>
        </w:rPr>
        <w:t>וחר</w:t>
      </w:r>
      <w:r w:rsidR="004255D9">
        <w:rPr>
          <w:rFonts w:asciiTheme="majorBidi" w:hAnsiTheme="majorBidi" w:cs="David" w:hint="cs"/>
          <w:sz w:val="24"/>
          <w:szCs w:val="24"/>
          <w:rtl/>
        </w:rPr>
        <w:t>ג</w:t>
      </w:r>
      <w:r w:rsidR="00181752">
        <w:rPr>
          <w:rFonts w:asciiTheme="majorBidi" w:hAnsiTheme="majorBidi" w:cs="David" w:hint="cs"/>
          <w:sz w:val="24"/>
          <w:szCs w:val="24"/>
          <w:rtl/>
        </w:rPr>
        <w:t>ים</w:t>
      </w:r>
      <w:r w:rsidR="004255D9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181752">
        <w:rPr>
          <w:rFonts w:asciiTheme="majorBidi" w:hAnsiTheme="majorBidi" w:cs="David" w:hint="cs"/>
          <w:sz w:val="24"/>
          <w:szCs w:val="24"/>
          <w:rtl/>
        </w:rPr>
        <w:t xml:space="preserve">מתחולת </w:t>
      </w:r>
      <w:r w:rsidR="004255D9">
        <w:rPr>
          <w:rFonts w:asciiTheme="majorBidi" w:hAnsiTheme="majorBidi" w:cs="David" w:hint="cs"/>
          <w:sz w:val="24"/>
          <w:szCs w:val="24"/>
          <w:rtl/>
        </w:rPr>
        <w:t>הפקודה</w:t>
      </w:r>
      <w:r w:rsidR="00181752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4255D9">
        <w:rPr>
          <w:rFonts w:asciiTheme="majorBidi" w:hAnsiTheme="majorBidi" w:cs="David" w:hint="cs"/>
          <w:sz w:val="24"/>
          <w:szCs w:val="24"/>
          <w:rtl/>
        </w:rPr>
        <w:t>בכפוף ל</w:t>
      </w:r>
      <w:r w:rsidR="00181752">
        <w:rPr>
          <w:rFonts w:asciiTheme="majorBidi" w:hAnsiTheme="majorBidi" w:cs="David" w:hint="cs"/>
          <w:sz w:val="24"/>
          <w:szCs w:val="24"/>
          <w:rtl/>
        </w:rPr>
        <w:t xml:space="preserve">קבלת </w:t>
      </w:r>
      <w:r w:rsidR="004255D9">
        <w:rPr>
          <w:rFonts w:asciiTheme="majorBidi" w:hAnsiTheme="majorBidi" w:cs="David" w:hint="cs"/>
          <w:sz w:val="24"/>
          <w:szCs w:val="24"/>
          <w:rtl/>
        </w:rPr>
        <w:t>אישור</w:t>
      </w:r>
      <w:r w:rsidR="00181752">
        <w:rPr>
          <w:rFonts w:asciiTheme="majorBidi" w:hAnsiTheme="majorBidi" w:cs="David" w:hint="cs"/>
          <w:sz w:val="24"/>
          <w:szCs w:val="24"/>
          <w:rtl/>
        </w:rPr>
        <w:t xml:space="preserve"> מטעם</w:t>
      </w:r>
      <w:r w:rsidR="004255D9">
        <w:rPr>
          <w:rFonts w:asciiTheme="majorBidi" w:hAnsiTheme="majorBidi" w:cs="David" w:hint="cs"/>
          <w:sz w:val="24"/>
          <w:szCs w:val="24"/>
          <w:rtl/>
        </w:rPr>
        <w:t xml:space="preserve"> המנהל</w:t>
      </w:r>
      <w:r w:rsidR="00200C99">
        <w:rPr>
          <w:rFonts w:asciiTheme="majorBidi" w:hAnsiTheme="majorBidi" w:cs="David" w:hint="cs"/>
          <w:sz w:val="24"/>
          <w:szCs w:val="24"/>
          <w:rtl/>
        </w:rPr>
        <w:t xml:space="preserve"> כי התכונות הטכניות של</w:t>
      </w:r>
      <w:r w:rsidR="008E3427">
        <w:rPr>
          <w:rFonts w:asciiTheme="majorBidi" w:hAnsiTheme="majorBidi" w:cs="David" w:hint="cs"/>
          <w:sz w:val="24"/>
          <w:szCs w:val="24"/>
          <w:rtl/>
        </w:rPr>
        <w:t xml:space="preserve">הם </w:t>
      </w:r>
      <w:r w:rsidR="00200C99">
        <w:rPr>
          <w:rFonts w:asciiTheme="majorBidi" w:hAnsiTheme="majorBidi" w:cs="David" w:hint="cs"/>
          <w:sz w:val="24"/>
          <w:szCs w:val="24"/>
          <w:rtl/>
        </w:rPr>
        <w:t>תוא</w:t>
      </w:r>
      <w:r w:rsidR="00181752">
        <w:rPr>
          <w:rFonts w:asciiTheme="majorBidi" w:hAnsiTheme="majorBidi" w:cs="David" w:hint="cs"/>
          <w:sz w:val="24"/>
          <w:szCs w:val="24"/>
          <w:rtl/>
        </w:rPr>
        <w:t>מות</w:t>
      </w:r>
      <w:r w:rsidR="00200C99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181752">
        <w:rPr>
          <w:rFonts w:asciiTheme="majorBidi" w:hAnsiTheme="majorBidi" w:cs="David" w:hint="cs"/>
          <w:sz w:val="24"/>
          <w:szCs w:val="24"/>
          <w:rtl/>
        </w:rPr>
        <w:t xml:space="preserve">את התנאים </w:t>
      </w:r>
      <w:r w:rsidR="008E3427">
        <w:rPr>
          <w:rFonts w:asciiTheme="majorBidi" w:hAnsiTheme="majorBidi" w:cs="David" w:hint="cs"/>
          <w:sz w:val="24"/>
          <w:szCs w:val="24"/>
          <w:rtl/>
        </w:rPr>
        <w:t>ש</w:t>
      </w:r>
      <w:r w:rsidR="00F84C18">
        <w:rPr>
          <w:rFonts w:asciiTheme="majorBidi" w:hAnsiTheme="majorBidi" w:cs="David" w:hint="cs"/>
          <w:sz w:val="24"/>
          <w:szCs w:val="24"/>
          <w:rtl/>
        </w:rPr>
        <w:t>נקבעו בצו</w:t>
      </w:r>
      <w:r w:rsidR="00FE7705">
        <w:rPr>
          <w:rFonts w:asciiTheme="majorBidi" w:hAnsiTheme="majorBidi" w:cs="David" w:hint="cs"/>
          <w:sz w:val="24"/>
          <w:szCs w:val="24"/>
          <w:rtl/>
        </w:rPr>
        <w:t xml:space="preserve"> (סעיף 1(א)(1) לצו)</w:t>
      </w:r>
      <w:r w:rsidR="004255D9">
        <w:rPr>
          <w:rFonts w:asciiTheme="majorBidi" w:hAnsiTheme="majorBidi" w:cs="David" w:hint="cs"/>
          <w:sz w:val="24"/>
          <w:szCs w:val="24"/>
          <w:rtl/>
        </w:rPr>
        <w:t xml:space="preserve">. </w:t>
      </w:r>
    </w:p>
    <w:p w:rsidR="005E225B" w:rsidRDefault="005E225B" w:rsidP="00D33A7F">
      <w:pPr>
        <w:pStyle w:val="ae"/>
        <w:snapToGrid w:val="0"/>
        <w:spacing w:before="120" w:after="120" w:line="360" w:lineRule="auto"/>
        <w:ind w:left="360"/>
        <w:jc w:val="both"/>
        <w:rPr>
          <w:rFonts w:asciiTheme="majorBidi" w:hAnsiTheme="majorBidi" w:cs="David"/>
          <w:sz w:val="24"/>
          <w:szCs w:val="24"/>
          <w:rtl/>
        </w:rPr>
      </w:pPr>
    </w:p>
    <w:p w:rsidR="00E24E13" w:rsidRDefault="00495A31" w:rsidP="00D33A7F">
      <w:pPr>
        <w:pStyle w:val="ae"/>
        <w:snapToGrid w:val="0"/>
        <w:spacing w:before="120" w:after="120" w:line="360" w:lineRule="auto"/>
        <w:ind w:left="360"/>
        <w:jc w:val="both"/>
        <w:rPr>
          <w:rFonts w:asciiTheme="majorBidi" w:hAnsiTheme="majorBidi" w:cs="David"/>
          <w:sz w:val="24"/>
          <w:szCs w:val="24"/>
          <w:rtl/>
        </w:rPr>
      </w:pPr>
      <w:r>
        <w:rPr>
          <w:rFonts w:ascii="Arial" w:eastAsia="Arial Unicode MS" w:hAnsi="Arial" w:cs="David" w:hint="cs"/>
          <w:sz w:val="18"/>
          <w:szCs w:val="24"/>
          <w:rtl/>
        </w:rPr>
        <w:t>ב</w:t>
      </w:r>
      <w:r w:rsidR="002F37A5">
        <w:rPr>
          <w:rFonts w:ascii="Arial" w:eastAsia="Arial Unicode MS" w:hAnsi="Arial" w:cs="David" w:hint="cs"/>
          <w:sz w:val="18"/>
          <w:szCs w:val="24"/>
          <w:rtl/>
        </w:rPr>
        <w:t>תיקון מס' 6</w:t>
      </w:r>
      <w:r>
        <w:rPr>
          <w:rFonts w:ascii="Arial" w:eastAsia="Arial Unicode MS" w:hAnsi="Arial" w:cs="David" w:hint="cs"/>
          <w:sz w:val="18"/>
          <w:szCs w:val="24"/>
          <w:rtl/>
        </w:rPr>
        <w:t xml:space="preserve">  </w:t>
      </w:r>
      <w:r w:rsidR="00595B8D" w:rsidRPr="0047595B">
        <w:rPr>
          <w:rFonts w:ascii="Arial" w:eastAsia="Arial Unicode MS" w:hAnsi="Arial" w:cs="David" w:hint="cs"/>
          <w:sz w:val="18"/>
          <w:szCs w:val="24"/>
          <w:rtl/>
        </w:rPr>
        <w:t>עוגנו שלושה מסלולי אסדרה לעניין מכשירים אלחוטיים: מסלול רישיון, מסלול לקבלת אישור התאמה, ומסלול פטור מהוראות הפקודה.</w:t>
      </w:r>
      <w:r w:rsidR="002B5113">
        <w:rPr>
          <w:rFonts w:ascii="Arial" w:eastAsia="Arial Unicode MS" w:hAnsi="Arial" w:cs="David" w:hint="cs"/>
          <w:sz w:val="18"/>
          <w:szCs w:val="24"/>
          <w:rtl/>
        </w:rPr>
        <w:t xml:space="preserve"> </w:t>
      </w:r>
      <w:r w:rsidR="00B36A81">
        <w:rPr>
          <w:rFonts w:asciiTheme="majorBidi" w:hAnsiTheme="majorBidi" w:cs="David" w:hint="cs"/>
          <w:sz w:val="24"/>
          <w:szCs w:val="24"/>
          <w:rtl/>
        </w:rPr>
        <w:t xml:space="preserve">בהתאם לחלוקה זו, </w:t>
      </w:r>
      <w:r w:rsidR="0028302F">
        <w:rPr>
          <w:rFonts w:asciiTheme="majorBidi" w:hAnsiTheme="majorBidi" w:cs="David" w:hint="cs"/>
          <w:sz w:val="24"/>
          <w:szCs w:val="24"/>
          <w:rtl/>
        </w:rPr>
        <w:t>נוסחה החדש של הפקודה</w:t>
      </w:r>
      <w:r w:rsidR="00593F2F">
        <w:rPr>
          <w:rFonts w:asciiTheme="majorBidi" w:hAnsiTheme="majorBidi" w:cs="David" w:hint="cs"/>
          <w:sz w:val="24"/>
          <w:szCs w:val="24"/>
          <w:rtl/>
        </w:rPr>
        <w:t xml:space="preserve"> מ</w:t>
      </w:r>
      <w:r w:rsidR="00B36A81">
        <w:rPr>
          <w:rFonts w:asciiTheme="majorBidi" w:hAnsiTheme="majorBidi" w:cs="David" w:hint="cs"/>
          <w:sz w:val="24"/>
          <w:szCs w:val="24"/>
          <w:rtl/>
        </w:rPr>
        <w:t>עניק לשר התקשורת סמכויות לקבוע הסדרים מפורטים למסלול אישור התאמה ולמסלול הפטור, ו</w:t>
      </w:r>
      <w:r w:rsidR="00EF7F7E">
        <w:rPr>
          <w:rFonts w:asciiTheme="majorBidi" w:hAnsiTheme="majorBidi" w:cs="David" w:hint="cs"/>
          <w:sz w:val="24"/>
          <w:szCs w:val="24"/>
          <w:rtl/>
        </w:rPr>
        <w:t xml:space="preserve">בכך </w:t>
      </w:r>
      <w:r w:rsidR="00B36A81">
        <w:rPr>
          <w:rFonts w:asciiTheme="majorBidi" w:hAnsiTheme="majorBidi" w:cs="David" w:hint="cs"/>
          <w:sz w:val="24"/>
          <w:szCs w:val="24"/>
          <w:rtl/>
        </w:rPr>
        <w:t>להחריג מתחולת הפקודה מכשירים אלחוטיים</w:t>
      </w:r>
      <w:r w:rsidR="00EF7F7E">
        <w:rPr>
          <w:rFonts w:asciiTheme="majorBidi" w:hAnsiTheme="majorBidi" w:cs="David" w:hint="cs"/>
          <w:sz w:val="24"/>
          <w:szCs w:val="24"/>
          <w:rtl/>
        </w:rPr>
        <w:t xml:space="preserve"> מסוימים</w:t>
      </w:r>
      <w:r>
        <w:rPr>
          <w:rFonts w:asciiTheme="majorBidi" w:hAnsiTheme="majorBidi" w:cs="David" w:hint="cs"/>
          <w:sz w:val="24"/>
          <w:szCs w:val="24"/>
          <w:rtl/>
        </w:rPr>
        <w:t xml:space="preserve">. </w:t>
      </w:r>
      <w:r w:rsidR="0047595B">
        <w:rPr>
          <w:rFonts w:asciiTheme="majorBidi" w:hAnsiTheme="majorBidi" w:cs="David" w:hint="cs"/>
          <w:sz w:val="24"/>
          <w:szCs w:val="24"/>
          <w:rtl/>
        </w:rPr>
        <w:t xml:space="preserve">לאור </w:t>
      </w:r>
      <w:r w:rsidR="00A31BF4">
        <w:rPr>
          <w:rFonts w:asciiTheme="majorBidi" w:hAnsiTheme="majorBidi" w:cs="David" w:hint="cs"/>
          <w:sz w:val="24"/>
          <w:szCs w:val="24"/>
          <w:rtl/>
        </w:rPr>
        <w:t>זאת</w:t>
      </w:r>
      <w:r w:rsidR="0047595B">
        <w:rPr>
          <w:rFonts w:asciiTheme="majorBidi" w:hAnsiTheme="majorBidi" w:cs="David" w:hint="cs"/>
          <w:sz w:val="24"/>
          <w:szCs w:val="24"/>
          <w:rtl/>
        </w:rPr>
        <w:t xml:space="preserve">, </w:t>
      </w:r>
      <w:r>
        <w:rPr>
          <w:rFonts w:asciiTheme="majorBidi" w:hAnsiTheme="majorBidi" w:cs="David" w:hint="cs"/>
          <w:sz w:val="24"/>
          <w:szCs w:val="24"/>
          <w:rtl/>
        </w:rPr>
        <w:t>הצו המוצע יתוקן בהתאם ל</w:t>
      </w:r>
      <w:r w:rsidR="0047595B">
        <w:rPr>
          <w:rFonts w:asciiTheme="majorBidi" w:hAnsiTheme="majorBidi" w:cs="David" w:hint="cs"/>
          <w:sz w:val="24"/>
          <w:szCs w:val="24"/>
          <w:rtl/>
        </w:rPr>
        <w:t>סמכות ה</w:t>
      </w:r>
      <w:r w:rsidR="00B931B7">
        <w:rPr>
          <w:rFonts w:asciiTheme="majorBidi" w:hAnsiTheme="majorBidi" w:cs="David" w:hint="cs"/>
          <w:sz w:val="24"/>
          <w:szCs w:val="24"/>
          <w:rtl/>
        </w:rPr>
        <w:t xml:space="preserve">קבועה </w:t>
      </w:r>
      <w:r w:rsidR="0047595B">
        <w:rPr>
          <w:rFonts w:asciiTheme="majorBidi" w:hAnsiTheme="majorBidi" w:cs="David" w:hint="cs"/>
          <w:sz w:val="24"/>
          <w:szCs w:val="24"/>
          <w:rtl/>
        </w:rPr>
        <w:t>בסעיף 4ט לפקודה</w:t>
      </w:r>
      <w:r>
        <w:rPr>
          <w:rFonts w:asciiTheme="majorBidi" w:hAnsiTheme="majorBidi" w:cs="David" w:hint="cs"/>
          <w:sz w:val="24"/>
          <w:szCs w:val="24"/>
          <w:rtl/>
        </w:rPr>
        <w:t>.</w:t>
      </w:r>
      <w:r w:rsidR="00B341EA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47595B">
        <w:rPr>
          <w:rFonts w:asciiTheme="majorBidi" w:hAnsiTheme="majorBidi" w:cs="David" w:hint="cs"/>
          <w:sz w:val="24"/>
          <w:szCs w:val="24"/>
          <w:rtl/>
        </w:rPr>
        <w:t xml:space="preserve"> </w:t>
      </w:r>
    </w:p>
    <w:p w:rsidR="0029398B" w:rsidRDefault="0029398B" w:rsidP="00E24E13">
      <w:pPr>
        <w:pStyle w:val="ae"/>
        <w:snapToGrid w:val="0"/>
        <w:spacing w:before="120" w:after="120" w:line="360" w:lineRule="auto"/>
        <w:ind w:left="360"/>
        <w:jc w:val="both"/>
        <w:rPr>
          <w:rFonts w:asciiTheme="majorBidi" w:hAnsiTheme="majorBidi" w:cs="David"/>
          <w:sz w:val="24"/>
          <w:szCs w:val="24"/>
          <w:rtl/>
        </w:rPr>
      </w:pPr>
    </w:p>
    <w:p w:rsidR="004A4BD5" w:rsidRDefault="00550AAD" w:rsidP="00D33A7F">
      <w:pPr>
        <w:pStyle w:val="ae"/>
        <w:snapToGrid w:val="0"/>
        <w:spacing w:before="120" w:after="120" w:line="360" w:lineRule="auto"/>
        <w:ind w:left="360"/>
        <w:jc w:val="both"/>
        <w:rPr>
          <w:rFonts w:asciiTheme="majorBidi" w:hAnsiTheme="majorBidi" w:cs="David"/>
          <w:b/>
          <w:bCs/>
          <w:sz w:val="24"/>
          <w:szCs w:val="24"/>
          <w:rtl/>
        </w:rPr>
      </w:pPr>
      <w:r>
        <w:rPr>
          <w:rFonts w:asciiTheme="majorBidi" w:hAnsiTheme="majorBidi" w:cs="David" w:hint="cs"/>
          <w:b/>
          <w:bCs/>
          <w:sz w:val="24"/>
          <w:szCs w:val="24"/>
          <w:rtl/>
        </w:rPr>
        <w:t>סעיף</w:t>
      </w:r>
      <w:r w:rsidR="00495A31" w:rsidRPr="00160A00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</w:t>
      </w:r>
      <w:r w:rsidR="00AA0CA5" w:rsidRPr="00160A00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1 </w:t>
      </w:r>
    </w:p>
    <w:p w:rsidR="001E539E" w:rsidRPr="001E539E" w:rsidRDefault="008946F8" w:rsidP="00CF5358">
      <w:pPr>
        <w:pStyle w:val="ae"/>
        <w:snapToGrid w:val="0"/>
        <w:spacing w:before="120" w:after="120" w:line="360" w:lineRule="auto"/>
        <w:ind w:left="360"/>
        <w:jc w:val="both"/>
        <w:rPr>
          <w:rFonts w:asciiTheme="majorBidi" w:hAnsiTheme="majorBidi" w:cs="David"/>
          <w:b/>
          <w:bCs/>
          <w:sz w:val="24"/>
          <w:szCs w:val="24"/>
        </w:rPr>
      </w:pPr>
      <w:r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</w:t>
      </w:r>
      <w:r w:rsidR="00CF5358">
        <w:rPr>
          <w:rFonts w:asciiTheme="majorBidi" w:hAnsiTheme="majorBidi" w:cs="David" w:hint="cs"/>
          <w:b/>
          <w:bCs/>
          <w:sz w:val="24"/>
          <w:szCs w:val="24"/>
          <w:rtl/>
        </w:rPr>
        <w:t>פסקה 1(</w:t>
      </w:r>
      <w:r w:rsidR="004A4BD5">
        <w:rPr>
          <w:rFonts w:asciiTheme="majorBidi" w:hAnsiTheme="majorBidi" w:cs="David" w:hint="cs"/>
          <w:b/>
          <w:bCs/>
          <w:sz w:val="24"/>
          <w:szCs w:val="24"/>
          <w:rtl/>
        </w:rPr>
        <w:t>א</w:t>
      </w:r>
      <w:r w:rsidR="00AA0CA5">
        <w:rPr>
          <w:rFonts w:asciiTheme="majorBidi" w:hAnsiTheme="majorBidi" w:cs="David" w:hint="cs"/>
          <w:b/>
          <w:bCs/>
          <w:sz w:val="24"/>
          <w:szCs w:val="24"/>
          <w:rtl/>
        </w:rPr>
        <w:t>)</w:t>
      </w:r>
      <w:r w:rsidR="00CF5358">
        <w:rPr>
          <w:rFonts w:asciiTheme="majorBidi" w:hAnsiTheme="majorBidi" w:cs="David" w:hint="cs"/>
          <w:b/>
          <w:bCs/>
          <w:sz w:val="24"/>
          <w:szCs w:val="24"/>
          <w:rtl/>
        </w:rPr>
        <w:t>(1)</w:t>
      </w:r>
      <w:r w:rsidR="00AA0CA5">
        <w:rPr>
          <w:rFonts w:asciiTheme="majorBidi" w:hAnsiTheme="majorBidi" w:cs="David" w:hint="cs"/>
          <w:b/>
          <w:bCs/>
          <w:sz w:val="24"/>
          <w:szCs w:val="24"/>
          <w:rtl/>
        </w:rPr>
        <w:tab/>
      </w:r>
      <w:r w:rsidR="00495A31">
        <w:rPr>
          <w:rFonts w:asciiTheme="majorBidi" w:hAnsiTheme="majorBidi" w:cs="David" w:hint="cs"/>
          <w:sz w:val="24"/>
          <w:szCs w:val="24"/>
          <w:rtl/>
        </w:rPr>
        <w:t>ב</w:t>
      </w:r>
      <w:r w:rsidR="005F2A80" w:rsidRPr="00AA0CA5">
        <w:rPr>
          <w:rFonts w:asciiTheme="majorBidi" w:hAnsiTheme="majorBidi" w:cs="David" w:hint="cs"/>
          <w:sz w:val="24"/>
          <w:szCs w:val="24"/>
          <w:rtl/>
        </w:rPr>
        <w:t>תיקון מס' 6 לפקודה נוספה ההגדרה "מכשיר אלחוטי" ותוקנה ההגדרה "מנהל".</w:t>
      </w:r>
      <w:r w:rsidR="001E539E" w:rsidRPr="001E539E">
        <w:rPr>
          <w:rFonts w:asciiTheme="majorBidi" w:hAnsiTheme="majorBidi" w:cs="David"/>
          <w:sz w:val="24"/>
          <w:szCs w:val="24"/>
          <w:rtl/>
        </w:rPr>
        <w:t xml:space="preserve"> </w:t>
      </w:r>
      <w:r w:rsidR="001E539E">
        <w:rPr>
          <w:rFonts w:asciiTheme="majorBidi" w:hAnsiTheme="majorBidi" w:cs="David"/>
          <w:sz w:val="24"/>
          <w:szCs w:val="24"/>
          <w:rtl/>
        </w:rPr>
        <w:t xml:space="preserve">מוצע </w:t>
      </w:r>
      <w:r w:rsidR="00495A31">
        <w:rPr>
          <w:rFonts w:asciiTheme="majorBidi" w:hAnsiTheme="majorBidi" w:cs="David" w:hint="cs"/>
          <w:sz w:val="24"/>
          <w:szCs w:val="24"/>
          <w:rtl/>
        </w:rPr>
        <w:t>להתאים את</w:t>
      </w:r>
      <w:r w:rsidR="001E539E">
        <w:rPr>
          <w:rFonts w:asciiTheme="majorBidi" w:hAnsiTheme="majorBidi" w:cs="David"/>
          <w:sz w:val="24"/>
          <w:szCs w:val="24"/>
          <w:rtl/>
        </w:rPr>
        <w:t xml:space="preserve"> ההגדרות </w:t>
      </w:r>
      <w:r w:rsidR="001E539E" w:rsidRPr="001E539E">
        <w:rPr>
          <w:rFonts w:asciiTheme="majorBidi" w:hAnsiTheme="majorBidi" w:cs="David"/>
          <w:sz w:val="24"/>
          <w:szCs w:val="24"/>
          <w:rtl/>
        </w:rPr>
        <w:t>כך שיתאימו להגדרות ולמונחים שבפקודה</w:t>
      </w:r>
      <w:r w:rsidR="001E539E">
        <w:rPr>
          <w:rFonts w:asciiTheme="majorBidi" w:hAnsiTheme="majorBidi" w:cs="David" w:hint="cs"/>
          <w:b/>
          <w:bCs/>
          <w:sz w:val="24"/>
          <w:szCs w:val="24"/>
          <w:rtl/>
        </w:rPr>
        <w:t>.</w:t>
      </w:r>
    </w:p>
    <w:p w:rsidR="001E539E" w:rsidRPr="001E539E" w:rsidRDefault="001E539E" w:rsidP="009240AF">
      <w:pPr>
        <w:pStyle w:val="ae"/>
        <w:snapToGrid w:val="0"/>
        <w:spacing w:before="120" w:after="120" w:line="360" w:lineRule="auto"/>
        <w:ind w:left="360"/>
        <w:jc w:val="both"/>
        <w:rPr>
          <w:rFonts w:asciiTheme="majorBidi" w:hAnsiTheme="majorBidi" w:cs="David"/>
          <w:sz w:val="24"/>
          <w:szCs w:val="24"/>
          <w:rtl/>
        </w:rPr>
      </w:pPr>
      <w:r w:rsidRPr="001E539E">
        <w:rPr>
          <w:rFonts w:asciiTheme="majorBidi" w:hAnsiTheme="majorBidi" w:cs="David"/>
          <w:sz w:val="24"/>
          <w:szCs w:val="24"/>
          <w:rtl/>
        </w:rPr>
        <w:t xml:space="preserve">בתיקון </w:t>
      </w:r>
      <w:r w:rsidR="004A4BD5">
        <w:rPr>
          <w:rFonts w:asciiTheme="majorBidi" w:hAnsiTheme="majorBidi" w:cs="David" w:hint="cs"/>
          <w:sz w:val="24"/>
          <w:szCs w:val="24"/>
          <w:rtl/>
        </w:rPr>
        <w:t xml:space="preserve">מס' 6 </w:t>
      </w:r>
      <w:r w:rsidRPr="001E539E">
        <w:rPr>
          <w:rFonts w:asciiTheme="majorBidi" w:hAnsiTheme="majorBidi" w:cs="David"/>
          <w:sz w:val="24"/>
          <w:szCs w:val="24"/>
          <w:rtl/>
        </w:rPr>
        <w:t xml:space="preserve">הוקנו </w:t>
      </w:r>
      <w:r w:rsidR="004A4BD5">
        <w:rPr>
          <w:rFonts w:asciiTheme="majorBidi" w:hAnsiTheme="majorBidi" w:cs="David" w:hint="cs"/>
          <w:sz w:val="24"/>
          <w:szCs w:val="24"/>
          <w:rtl/>
        </w:rPr>
        <w:t xml:space="preserve">סמכויות הרישוי השונות </w:t>
      </w:r>
      <w:r w:rsidRPr="001E539E">
        <w:rPr>
          <w:rFonts w:asciiTheme="majorBidi" w:hAnsiTheme="majorBidi" w:cs="David"/>
          <w:sz w:val="24"/>
          <w:szCs w:val="24"/>
          <w:rtl/>
        </w:rPr>
        <w:t>למנהל, שהוא הגורם המוסמך כ</w:t>
      </w:r>
      <w:r w:rsidR="00C275AB">
        <w:rPr>
          <w:rFonts w:asciiTheme="majorBidi" w:hAnsiTheme="majorBidi" w:cs="David"/>
          <w:sz w:val="24"/>
          <w:szCs w:val="24"/>
          <w:rtl/>
        </w:rPr>
        <w:t xml:space="preserve">עת לעניין הרישוי: </w:t>
      </w:r>
      <w:r w:rsidRPr="001E539E">
        <w:rPr>
          <w:rFonts w:asciiTheme="majorBidi" w:hAnsiTheme="majorBidi" w:cs="David"/>
          <w:sz w:val="24"/>
          <w:szCs w:val="24"/>
          <w:rtl/>
        </w:rPr>
        <w:t xml:space="preserve">"המנהל" - עובד המשרד הממונה על ניהול תדרי רדיו וכפוף במישרין למנהל הכללי </w:t>
      </w:r>
      <w:r w:rsidRPr="001E539E">
        <w:rPr>
          <w:rFonts w:asciiTheme="majorBidi" w:hAnsiTheme="majorBidi" w:cs="David"/>
          <w:sz w:val="24"/>
          <w:szCs w:val="24"/>
          <w:rtl/>
        </w:rPr>
        <w:lastRenderedPageBreak/>
        <w:t xml:space="preserve">של המשרד". בהמשך לתיקון </w:t>
      </w:r>
      <w:r w:rsidR="004A4BD5">
        <w:rPr>
          <w:rFonts w:asciiTheme="majorBidi" w:hAnsiTheme="majorBidi" w:cs="David" w:hint="cs"/>
          <w:sz w:val="24"/>
          <w:szCs w:val="24"/>
          <w:rtl/>
        </w:rPr>
        <w:t>האמור מוצע להתאים את הצו</w:t>
      </w:r>
      <w:r w:rsidRPr="001E539E">
        <w:rPr>
          <w:rFonts w:asciiTheme="majorBidi" w:hAnsiTheme="majorBidi" w:cs="David"/>
          <w:sz w:val="24"/>
          <w:szCs w:val="24"/>
          <w:rtl/>
        </w:rPr>
        <w:t xml:space="preserve"> </w:t>
      </w:r>
      <w:r w:rsidR="004A4BD5">
        <w:rPr>
          <w:rFonts w:asciiTheme="majorBidi" w:hAnsiTheme="majorBidi" w:cs="David" w:hint="cs"/>
          <w:sz w:val="24"/>
          <w:szCs w:val="24"/>
          <w:rtl/>
        </w:rPr>
        <w:t>כך ש</w:t>
      </w:r>
      <w:r w:rsidRPr="001E539E">
        <w:rPr>
          <w:rFonts w:asciiTheme="majorBidi" w:hAnsiTheme="majorBidi" w:cs="David"/>
          <w:sz w:val="24"/>
          <w:szCs w:val="24"/>
          <w:rtl/>
        </w:rPr>
        <w:t xml:space="preserve">סמכויות הרישוי </w:t>
      </w:r>
      <w:r w:rsidR="004A4BD5">
        <w:rPr>
          <w:rFonts w:asciiTheme="majorBidi" w:hAnsiTheme="majorBidi" w:cs="David" w:hint="cs"/>
          <w:sz w:val="24"/>
          <w:szCs w:val="24"/>
          <w:rtl/>
        </w:rPr>
        <w:t>יהיו</w:t>
      </w:r>
      <w:r w:rsidRPr="001E539E">
        <w:rPr>
          <w:rFonts w:asciiTheme="majorBidi" w:hAnsiTheme="majorBidi" w:cs="David"/>
          <w:sz w:val="24"/>
          <w:szCs w:val="24"/>
          <w:rtl/>
        </w:rPr>
        <w:t xml:space="preserve"> נתונות ל"מנהל" כהגדרתו בפקודה.</w:t>
      </w:r>
    </w:p>
    <w:p w:rsidR="004E58C9" w:rsidRDefault="00CF5358" w:rsidP="005E225B">
      <w:pPr>
        <w:pStyle w:val="ae"/>
        <w:snapToGrid w:val="0"/>
        <w:spacing w:before="120" w:after="120" w:line="360" w:lineRule="auto"/>
        <w:ind w:left="360"/>
        <w:jc w:val="both"/>
        <w:rPr>
          <w:rFonts w:asciiTheme="majorBidi" w:hAnsiTheme="majorBidi" w:cs="David"/>
          <w:b/>
          <w:bCs/>
          <w:sz w:val="24"/>
          <w:szCs w:val="24"/>
          <w:rtl/>
        </w:rPr>
      </w:pPr>
      <w:r w:rsidRPr="00663732">
        <w:rPr>
          <w:rFonts w:asciiTheme="majorBidi" w:hAnsiTheme="majorBidi" w:cs="David" w:hint="cs"/>
          <w:b/>
          <w:bCs/>
          <w:sz w:val="24"/>
          <w:szCs w:val="24"/>
          <w:rtl/>
        </w:rPr>
        <w:t>פסקה 1(א)(2)</w:t>
      </w:r>
      <w:r w:rsidR="00AA0CA5" w:rsidRPr="00663732">
        <w:rPr>
          <w:rFonts w:asciiTheme="majorBidi" w:hAnsiTheme="majorBidi" w:cs="David"/>
          <w:b/>
          <w:bCs/>
          <w:sz w:val="24"/>
          <w:szCs w:val="24"/>
          <w:rtl/>
        </w:rPr>
        <w:tab/>
      </w:r>
      <w:r w:rsidR="004E58C9" w:rsidRPr="00663732">
        <w:rPr>
          <w:rFonts w:asciiTheme="majorBidi" w:hAnsiTheme="majorBidi" w:cs="David" w:hint="cs"/>
          <w:sz w:val="24"/>
          <w:szCs w:val="24"/>
          <w:rtl/>
        </w:rPr>
        <w:t xml:space="preserve">פסקת משנה (א) לצו </w:t>
      </w:r>
      <w:r w:rsidR="005E225B" w:rsidRPr="00663732">
        <w:rPr>
          <w:rFonts w:asciiTheme="majorBidi" w:hAnsiTheme="majorBidi" w:cs="David" w:hint="cs"/>
          <w:sz w:val="24"/>
          <w:szCs w:val="24"/>
          <w:rtl/>
        </w:rPr>
        <w:t xml:space="preserve">קובעת </w:t>
      </w:r>
      <w:r w:rsidR="004E58C9" w:rsidRPr="00663732">
        <w:rPr>
          <w:rFonts w:asciiTheme="majorBidi" w:hAnsiTheme="majorBidi" w:cs="David" w:hint="cs"/>
          <w:sz w:val="24"/>
          <w:szCs w:val="24"/>
          <w:rtl/>
        </w:rPr>
        <w:t xml:space="preserve">כי מכשירים הפועלים בתדרי אינפרא אדום </w:t>
      </w:r>
      <w:r w:rsidR="00716363" w:rsidRPr="00663732">
        <w:rPr>
          <w:rFonts w:asciiTheme="majorBidi" w:hAnsiTheme="majorBidi" w:cs="David" w:hint="cs"/>
          <w:sz w:val="24"/>
          <w:szCs w:val="24"/>
          <w:rtl/>
        </w:rPr>
        <w:t xml:space="preserve">(בתחום </w:t>
      </w:r>
      <w:r w:rsidR="004E58C9" w:rsidRPr="00663732">
        <w:rPr>
          <w:rFonts w:asciiTheme="majorBidi" w:hAnsiTheme="majorBidi" w:cs="David" w:hint="cs"/>
          <w:sz w:val="24"/>
          <w:szCs w:val="24"/>
          <w:rtl/>
        </w:rPr>
        <w:t xml:space="preserve">1,000 </w:t>
      </w:r>
      <w:r w:rsidR="00CC67C9" w:rsidRPr="00663732">
        <w:rPr>
          <w:rFonts w:asciiTheme="majorBidi" w:hAnsiTheme="majorBidi" w:cs="David" w:hint="cs"/>
          <w:sz w:val="24"/>
          <w:szCs w:val="24"/>
          <w:rtl/>
        </w:rPr>
        <w:t>-</w:t>
      </w:r>
      <w:r w:rsidR="004E58C9" w:rsidRPr="00663732">
        <w:rPr>
          <w:rFonts w:asciiTheme="majorBidi" w:hAnsiTheme="majorBidi" w:cs="David" w:hint="cs"/>
          <w:sz w:val="24"/>
          <w:szCs w:val="24"/>
          <w:rtl/>
        </w:rPr>
        <w:t xml:space="preserve"> 430,000 גיה"ץ), שהספקם אינו עולה על 200 מיליוואט, פטורים מרישוי וטעונים אישור התאמה. </w:t>
      </w:r>
      <w:r w:rsidR="00403D45" w:rsidRPr="00663732">
        <w:rPr>
          <w:rFonts w:asciiTheme="majorBidi" w:hAnsiTheme="majorBidi" w:cs="David" w:hint="cs"/>
          <w:sz w:val="24"/>
          <w:szCs w:val="24"/>
          <w:rtl/>
        </w:rPr>
        <w:t>לפי ה</w:t>
      </w:r>
      <w:r w:rsidR="00716363" w:rsidRPr="00663732">
        <w:rPr>
          <w:rFonts w:asciiTheme="majorBidi" w:hAnsiTheme="majorBidi" w:cs="David" w:hint="cs"/>
          <w:sz w:val="24"/>
          <w:szCs w:val="24"/>
          <w:rtl/>
        </w:rPr>
        <w:t>חלטת</w:t>
      </w:r>
      <w:r w:rsidR="00403D45" w:rsidRPr="00663732">
        <w:rPr>
          <w:rFonts w:asciiTheme="majorBidi" w:hAnsiTheme="majorBidi" w:cs="David" w:hint="cs"/>
          <w:sz w:val="24"/>
          <w:szCs w:val="24"/>
          <w:rtl/>
        </w:rPr>
        <w:t xml:space="preserve"> ועדת התדרים, מכשירים אלחוטיים הפועלים בתחום תדרים זה אינם</w:t>
      </w:r>
      <w:r w:rsidR="00911D91" w:rsidRPr="00663732">
        <w:rPr>
          <w:rFonts w:asciiTheme="majorBidi" w:hAnsiTheme="majorBidi" w:cs="David" w:hint="cs"/>
          <w:sz w:val="24"/>
          <w:szCs w:val="24"/>
          <w:rtl/>
        </w:rPr>
        <w:t xml:space="preserve"> צפוי</w:t>
      </w:r>
      <w:r w:rsidR="00403D45" w:rsidRPr="00663732">
        <w:rPr>
          <w:rFonts w:asciiTheme="majorBidi" w:hAnsiTheme="majorBidi" w:cs="David" w:hint="cs"/>
          <w:sz w:val="24"/>
          <w:szCs w:val="24"/>
          <w:rtl/>
        </w:rPr>
        <w:t>ים</w:t>
      </w:r>
      <w:r w:rsidR="00911D91" w:rsidRPr="00663732">
        <w:rPr>
          <w:rFonts w:asciiTheme="majorBidi" w:hAnsiTheme="majorBidi" w:cs="David" w:hint="cs"/>
          <w:sz w:val="24"/>
          <w:szCs w:val="24"/>
          <w:rtl/>
        </w:rPr>
        <w:t xml:space="preserve"> לגרום לשיבושים או להפרעות אלחוטיות</w:t>
      </w:r>
      <w:r w:rsidR="00403D45" w:rsidRPr="00663732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1F4CFE" w:rsidRPr="00663732">
        <w:rPr>
          <w:rFonts w:asciiTheme="majorBidi" w:hAnsiTheme="majorBidi" w:cs="David" w:hint="cs"/>
          <w:sz w:val="24"/>
          <w:szCs w:val="24"/>
          <w:rtl/>
        </w:rPr>
        <w:t>משמעותיות למכשירים הפועלים כדין</w:t>
      </w:r>
      <w:r w:rsidR="00403D45" w:rsidRPr="00663732">
        <w:rPr>
          <w:rFonts w:asciiTheme="majorBidi" w:hAnsiTheme="majorBidi" w:cs="David" w:hint="cs"/>
          <w:sz w:val="24"/>
          <w:szCs w:val="24"/>
          <w:rtl/>
        </w:rPr>
        <w:t xml:space="preserve">. לפיכך מוצע לקבוע </w:t>
      </w:r>
      <w:r w:rsidR="0028253E" w:rsidRPr="00663732">
        <w:rPr>
          <w:rFonts w:asciiTheme="majorBidi" w:hAnsiTheme="majorBidi" w:cs="David" w:hint="cs"/>
          <w:sz w:val="24"/>
          <w:szCs w:val="24"/>
          <w:rtl/>
        </w:rPr>
        <w:t xml:space="preserve">כי </w:t>
      </w:r>
      <w:r w:rsidR="00403D45" w:rsidRPr="00663732">
        <w:rPr>
          <w:rFonts w:asciiTheme="majorBidi" w:hAnsiTheme="majorBidi" w:cs="David" w:hint="cs"/>
          <w:sz w:val="24"/>
          <w:szCs w:val="24"/>
          <w:rtl/>
        </w:rPr>
        <w:t xml:space="preserve">תחום </w:t>
      </w:r>
      <w:r w:rsidR="0028253E" w:rsidRPr="00663732">
        <w:rPr>
          <w:rFonts w:asciiTheme="majorBidi" w:hAnsiTheme="majorBidi" w:cs="David" w:hint="cs"/>
          <w:sz w:val="24"/>
          <w:szCs w:val="24"/>
          <w:rtl/>
        </w:rPr>
        <w:t xml:space="preserve">תדרים </w:t>
      </w:r>
      <w:r w:rsidR="00403D45" w:rsidRPr="00663732">
        <w:rPr>
          <w:rFonts w:asciiTheme="majorBidi" w:hAnsiTheme="majorBidi" w:cs="David" w:hint="cs"/>
          <w:sz w:val="24"/>
          <w:szCs w:val="24"/>
          <w:rtl/>
        </w:rPr>
        <w:t xml:space="preserve">זה </w:t>
      </w:r>
      <w:r w:rsidR="001F4CFE" w:rsidRPr="00663732">
        <w:rPr>
          <w:rFonts w:asciiTheme="majorBidi" w:hAnsiTheme="majorBidi" w:cs="David" w:hint="cs"/>
          <w:sz w:val="24"/>
          <w:szCs w:val="24"/>
          <w:rtl/>
        </w:rPr>
        <w:t xml:space="preserve">פטור מרישוי </w:t>
      </w:r>
      <w:r w:rsidR="0028253E" w:rsidRPr="00663732">
        <w:rPr>
          <w:rFonts w:asciiTheme="majorBidi" w:hAnsiTheme="majorBidi" w:cs="David" w:hint="cs"/>
          <w:sz w:val="24"/>
          <w:szCs w:val="24"/>
          <w:rtl/>
        </w:rPr>
        <w:t xml:space="preserve">ואינו טעון </w:t>
      </w:r>
      <w:r w:rsidR="001F4CFE" w:rsidRPr="00663732">
        <w:rPr>
          <w:rFonts w:asciiTheme="majorBidi" w:hAnsiTheme="majorBidi" w:cs="David" w:hint="cs"/>
          <w:sz w:val="24"/>
          <w:szCs w:val="24"/>
          <w:rtl/>
        </w:rPr>
        <w:t>קבלת אישור התאמה</w:t>
      </w:r>
      <w:r w:rsidR="0028253E" w:rsidRPr="00663732">
        <w:rPr>
          <w:rFonts w:asciiTheme="majorBidi" w:hAnsiTheme="majorBidi" w:cs="David" w:hint="cs"/>
          <w:sz w:val="24"/>
          <w:szCs w:val="24"/>
          <w:rtl/>
        </w:rPr>
        <w:t>. בהתאם לכך מוצע למחוק את פסקת משנה (א)</w:t>
      </w:r>
      <w:r w:rsidR="00DB0B91" w:rsidRPr="00663732">
        <w:rPr>
          <w:rFonts w:asciiTheme="majorBidi" w:hAnsiTheme="majorBidi" w:cs="David" w:hint="cs"/>
          <w:sz w:val="24"/>
          <w:szCs w:val="24"/>
          <w:rtl/>
        </w:rPr>
        <w:t xml:space="preserve"> לצו</w:t>
      </w:r>
      <w:r w:rsidR="001F4CFE" w:rsidRPr="00663732">
        <w:rPr>
          <w:rFonts w:asciiTheme="majorBidi" w:hAnsiTheme="majorBidi" w:cs="David" w:hint="cs"/>
          <w:sz w:val="24"/>
          <w:szCs w:val="24"/>
          <w:rtl/>
        </w:rPr>
        <w:t xml:space="preserve">, </w:t>
      </w:r>
      <w:r w:rsidR="0028253E" w:rsidRPr="00663732">
        <w:rPr>
          <w:rFonts w:asciiTheme="majorBidi" w:hAnsiTheme="majorBidi" w:cs="David" w:hint="cs"/>
          <w:sz w:val="24"/>
          <w:szCs w:val="24"/>
          <w:rtl/>
        </w:rPr>
        <w:t>ולכלול את תחום התדרים</w:t>
      </w:r>
      <w:r w:rsidR="00716363" w:rsidRPr="00663732">
        <w:rPr>
          <w:rFonts w:asciiTheme="majorBidi" w:hAnsiTheme="majorBidi" w:cs="David" w:hint="cs"/>
          <w:sz w:val="24"/>
          <w:szCs w:val="24"/>
          <w:rtl/>
        </w:rPr>
        <w:t xml:space="preserve"> האמור</w:t>
      </w:r>
      <w:r w:rsidR="0028253E" w:rsidRPr="00663732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1F4CFE" w:rsidRPr="00663732">
        <w:rPr>
          <w:rFonts w:asciiTheme="majorBidi" w:hAnsiTheme="majorBidi" w:cs="David" w:hint="cs"/>
          <w:sz w:val="24"/>
          <w:szCs w:val="24"/>
          <w:rtl/>
        </w:rPr>
        <w:t>תחת סעיף 1א לצו</w:t>
      </w:r>
      <w:r w:rsidR="0028253E" w:rsidRPr="00663732">
        <w:rPr>
          <w:rFonts w:asciiTheme="majorBidi" w:hAnsiTheme="majorBidi" w:cs="David" w:hint="cs"/>
          <w:sz w:val="24"/>
          <w:szCs w:val="24"/>
          <w:rtl/>
        </w:rPr>
        <w:t>, שעניינו פטור מרישוי ללא צורך ב</w:t>
      </w:r>
      <w:r w:rsidR="00716363" w:rsidRPr="00663732">
        <w:rPr>
          <w:rFonts w:asciiTheme="majorBidi" w:hAnsiTheme="majorBidi" w:cs="David" w:hint="cs"/>
          <w:sz w:val="24"/>
          <w:szCs w:val="24"/>
          <w:rtl/>
        </w:rPr>
        <w:t xml:space="preserve">קבלת </w:t>
      </w:r>
      <w:r w:rsidR="0028253E" w:rsidRPr="00663732">
        <w:rPr>
          <w:rFonts w:asciiTheme="majorBidi" w:hAnsiTheme="majorBidi" w:cs="David" w:hint="cs"/>
          <w:sz w:val="24"/>
          <w:szCs w:val="24"/>
          <w:rtl/>
        </w:rPr>
        <w:t>אישור התאמה</w:t>
      </w:r>
      <w:r w:rsidR="001F4CFE" w:rsidRPr="00663732">
        <w:rPr>
          <w:rFonts w:asciiTheme="majorBidi" w:hAnsiTheme="majorBidi" w:cs="David" w:hint="cs"/>
          <w:sz w:val="24"/>
          <w:szCs w:val="24"/>
          <w:rtl/>
        </w:rPr>
        <w:t>.</w:t>
      </w:r>
      <w:r w:rsidR="0028253E">
        <w:rPr>
          <w:rFonts w:asciiTheme="majorBidi" w:hAnsiTheme="majorBidi" w:cs="David" w:hint="cs"/>
          <w:sz w:val="24"/>
          <w:szCs w:val="24"/>
          <w:rtl/>
        </w:rPr>
        <w:t xml:space="preserve"> </w:t>
      </w:r>
    </w:p>
    <w:p w:rsidR="00AA0CA5" w:rsidRDefault="004E58C9" w:rsidP="00C275AB">
      <w:pPr>
        <w:pStyle w:val="ae"/>
        <w:snapToGrid w:val="0"/>
        <w:spacing w:before="120" w:after="120" w:line="360" w:lineRule="auto"/>
        <w:ind w:left="360"/>
        <w:jc w:val="both"/>
        <w:rPr>
          <w:rFonts w:asciiTheme="majorBidi" w:hAnsiTheme="majorBidi" w:cs="David"/>
          <w:b/>
          <w:bCs/>
          <w:sz w:val="24"/>
          <w:szCs w:val="24"/>
          <w:rtl/>
        </w:rPr>
      </w:pPr>
      <w:r>
        <w:rPr>
          <w:rFonts w:asciiTheme="majorBidi" w:hAnsiTheme="majorBidi" w:cs="David" w:hint="cs"/>
          <w:b/>
          <w:bCs/>
          <w:sz w:val="24"/>
          <w:szCs w:val="24"/>
          <w:rtl/>
        </w:rPr>
        <w:t>פסקה 1(א)(3)</w:t>
      </w:r>
      <w:r>
        <w:rPr>
          <w:rFonts w:asciiTheme="majorBidi" w:hAnsiTheme="majorBidi" w:cs="David"/>
          <w:b/>
          <w:bCs/>
          <w:sz w:val="24"/>
          <w:szCs w:val="24"/>
          <w:rtl/>
        </w:rPr>
        <w:tab/>
      </w:r>
      <w:r w:rsidR="009B3486">
        <w:rPr>
          <w:rFonts w:asciiTheme="majorBidi" w:hAnsiTheme="majorBidi" w:cs="David" w:hint="cs"/>
          <w:sz w:val="24"/>
          <w:szCs w:val="24"/>
          <w:rtl/>
        </w:rPr>
        <w:t xml:space="preserve">פסקת משנה (ד) </w:t>
      </w:r>
      <w:r w:rsidR="004A4BD5">
        <w:rPr>
          <w:rFonts w:asciiTheme="majorBidi" w:hAnsiTheme="majorBidi" w:cs="David" w:hint="cs"/>
          <w:sz w:val="24"/>
          <w:szCs w:val="24"/>
          <w:rtl/>
        </w:rPr>
        <w:t>ל</w:t>
      </w:r>
      <w:r w:rsidR="002E3425">
        <w:rPr>
          <w:rFonts w:asciiTheme="majorBidi" w:hAnsiTheme="majorBidi" w:cs="David" w:hint="cs"/>
          <w:sz w:val="24"/>
          <w:szCs w:val="24"/>
          <w:rtl/>
        </w:rPr>
        <w:t>סעיף</w:t>
      </w:r>
      <w:r w:rsidR="00CD7F7B">
        <w:rPr>
          <w:rFonts w:asciiTheme="majorBidi" w:hAnsiTheme="majorBidi" w:cs="David" w:hint="cs"/>
          <w:sz w:val="24"/>
          <w:szCs w:val="24"/>
          <w:rtl/>
        </w:rPr>
        <w:t xml:space="preserve"> 1</w:t>
      </w:r>
      <w:r w:rsidR="009B3486">
        <w:rPr>
          <w:rFonts w:asciiTheme="majorBidi" w:hAnsiTheme="majorBidi" w:cs="David" w:hint="cs"/>
          <w:sz w:val="24"/>
          <w:szCs w:val="24"/>
          <w:rtl/>
        </w:rPr>
        <w:t xml:space="preserve"> קובעת כי מכשירים הפועלים בתוך </w:t>
      </w:r>
      <w:r w:rsidR="009B3486" w:rsidRPr="009B3486">
        <w:rPr>
          <w:rFonts w:asciiTheme="majorBidi" w:hAnsiTheme="majorBidi" w:cs="David"/>
          <w:sz w:val="24"/>
          <w:szCs w:val="24"/>
          <w:rtl/>
        </w:rPr>
        <w:t>פס</w:t>
      </w:r>
      <w:r w:rsidR="00244C18">
        <w:rPr>
          <w:rFonts w:asciiTheme="majorBidi" w:hAnsiTheme="majorBidi" w:cs="David" w:hint="cs"/>
          <w:sz w:val="24"/>
          <w:szCs w:val="24"/>
          <w:rtl/>
        </w:rPr>
        <w:t>י</w:t>
      </w:r>
      <w:r w:rsidR="009B3486" w:rsidRPr="009B3486">
        <w:rPr>
          <w:rFonts w:asciiTheme="majorBidi" w:hAnsiTheme="majorBidi" w:cs="David"/>
          <w:sz w:val="24"/>
          <w:szCs w:val="24"/>
          <w:rtl/>
        </w:rPr>
        <w:t xml:space="preserve"> תדרים 315 ו-325 מה"ץ, שהספקם אינו עולה על 100 מיליוואט</w:t>
      </w:r>
      <w:r w:rsidR="009B3486">
        <w:rPr>
          <w:rFonts w:asciiTheme="majorBidi" w:hAnsiTheme="majorBidi" w:cs="David" w:hint="cs"/>
          <w:sz w:val="24"/>
          <w:szCs w:val="24"/>
          <w:rtl/>
        </w:rPr>
        <w:t xml:space="preserve">, </w:t>
      </w:r>
      <w:r w:rsidR="009B3486" w:rsidRPr="009B3486">
        <w:rPr>
          <w:rFonts w:asciiTheme="majorBidi" w:hAnsiTheme="majorBidi" w:cs="David" w:hint="cs"/>
          <w:sz w:val="24"/>
          <w:szCs w:val="24"/>
          <w:rtl/>
        </w:rPr>
        <w:t>פטורים מרישוי וטעונים אישור התאמה</w:t>
      </w:r>
      <w:r w:rsidR="009B3486">
        <w:rPr>
          <w:rFonts w:asciiTheme="majorBidi" w:hAnsiTheme="majorBidi" w:cs="David" w:hint="cs"/>
          <w:sz w:val="24"/>
          <w:szCs w:val="24"/>
          <w:rtl/>
        </w:rPr>
        <w:t xml:space="preserve">. </w:t>
      </w:r>
      <w:r w:rsidR="00FE7705">
        <w:rPr>
          <w:rFonts w:asciiTheme="majorBidi" w:hAnsiTheme="majorBidi" w:cs="David" w:hint="cs"/>
          <w:sz w:val="24"/>
          <w:szCs w:val="24"/>
          <w:rtl/>
        </w:rPr>
        <w:t xml:space="preserve">בתחום תדרים זה </w:t>
      </w:r>
      <w:r w:rsidR="00FE7705" w:rsidRPr="00C275AB">
        <w:rPr>
          <w:rFonts w:asciiTheme="majorBidi" w:hAnsiTheme="majorBidi" w:cs="David" w:hint="cs"/>
          <w:sz w:val="24"/>
          <w:szCs w:val="24"/>
          <w:rtl/>
        </w:rPr>
        <w:t xml:space="preserve">פועלים מכשירים המשמשים לפיקוד והתראה על רכבים שיוצרו בארה"ב. </w:t>
      </w:r>
      <w:r w:rsidR="009B3486" w:rsidRPr="00C275AB">
        <w:rPr>
          <w:rFonts w:asciiTheme="majorBidi" w:hAnsiTheme="majorBidi" w:cs="David" w:hint="cs"/>
          <w:sz w:val="24"/>
          <w:szCs w:val="24"/>
          <w:rtl/>
        </w:rPr>
        <w:t>לפי הדירקטיבה האמריקאית</w:t>
      </w:r>
      <w:r w:rsidR="004A4BD5" w:rsidRPr="00C275A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4A4BD5" w:rsidRPr="00C275AB">
        <w:rPr>
          <w:rFonts w:asciiTheme="majorBidi" w:hAnsiTheme="majorBidi" w:cs="David" w:hint="eastAsia"/>
          <w:sz w:val="24"/>
          <w:szCs w:val="24"/>
          <w:rtl/>
        </w:rPr>
        <w:t>הרלבנטית</w:t>
      </w:r>
      <w:r w:rsidR="004A4BD5" w:rsidRPr="00C275AB">
        <w:rPr>
          <w:rFonts w:asciiTheme="majorBidi" w:hAnsiTheme="majorBidi" w:cs="David"/>
          <w:sz w:val="24"/>
          <w:szCs w:val="24"/>
          <w:rtl/>
        </w:rPr>
        <w:t xml:space="preserve"> </w:t>
      </w:r>
      <w:r w:rsidR="004A4BD5" w:rsidRPr="00C275AB">
        <w:rPr>
          <w:rFonts w:asciiTheme="majorBidi" w:hAnsiTheme="majorBidi" w:cs="David" w:hint="eastAsia"/>
          <w:sz w:val="24"/>
          <w:szCs w:val="24"/>
          <w:rtl/>
        </w:rPr>
        <w:t>ל</w:t>
      </w:r>
      <w:r w:rsidR="00843915" w:rsidRPr="00C275AB">
        <w:rPr>
          <w:rFonts w:asciiTheme="majorBidi" w:hAnsiTheme="majorBidi" w:cs="David" w:hint="eastAsia"/>
          <w:sz w:val="24"/>
          <w:szCs w:val="24"/>
          <w:rtl/>
        </w:rPr>
        <w:t>מכשירים</w:t>
      </w:r>
      <w:r w:rsidR="00843915" w:rsidRPr="00C275AB">
        <w:rPr>
          <w:rFonts w:asciiTheme="majorBidi" w:hAnsiTheme="majorBidi" w:cs="David"/>
          <w:sz w:val="24"/>
          <w:szCs w:val="24"/>
          <w:rtl/>
        </w:rPr>
        <w:t xml:space="preserve"> </w:t>
      </w:r>
      <w:r w:rsidR="00843915" w:rsidRPr="00C275AB">
        <w:rPr>
          <w:rFonts w:asciiTheme="majorBidi" w:hAnsiTheme="majorBidi" w:cs="David" w:hint="eastAsia"/>
          <w:sz w:val="24"/>
          <w:szCs w:val="24"/>
          <w:rtl/>
        </w:rPr>
        <w:t>הפועלים</w:t>
      </w:r>
      <w:r w:rsidR="00843915" w:rsidRPr="00C275AB">
        <w:rPr>
          <w:rFonts w:asciiTheme="majorBidi" w:hAnsiTheme="majorBidi" w:cs="David"/>
          <w:sz w:val="24"/>
          <w:szCs w:val="24"/>
          <w:rtl/>
        </w:rPr>
        <w:t xml:space="preserve"> </w:t>
      </w:r>
      <w:r w:rsidR="00843915" w:rsidRPr="00C275AB">
        <w:rPr>
          <w:rFonts w:asciiTheme="majorBidi" w:hAnsiTheme="majorBidi" w:cs="David" w:hint="eastAsia"/>
          <w:sz w:val="24"/>
          <w:szCs w:val="24"/>
          <w:rtl/>
        </w:rPr>
        <w:t>בפס</w:t>
      </w:r>
      <w:r w:rsidR="00843915" w:rsidRPr="00C275AB">
        <w:rPr>
          <w:rFonts w:asciiTheme="majorBidi" w:hAnsiTheme="majorBidi" w:cs="David"/>
          <w:sz w:val="24"/>
          <w:szCs w:val="24"/>
          <w:rtl/>
        </w:rPr>
        <w:t xml:space="preserve"> </w:t>
      </w:r>
      <w:r w:rsidR="00843915" w:rsidRPr="00C275AB">
        <w:rPr>
          <w:rFonts w:asciiTheme="majorBidi" w:hAnsiTheme="majorBidi" w:cs="David" w:hint="eastAsia"/>
          <w:sz w:val="24"/>
          <w:szCs w:val="24"/>
          <w:rtl/>
        </w:rPr>
        <w:t>תדרים</w:t>
      </w:r>
      <w:r w:rsidR="00843915" w:rsidRPr="00C275AB">
        <w:rPr>
          <w:rFonts w:asciiTheme="majorBidi" w:hAnsiTheme="majorBidi" w:cs="David"/>
          <w:sz w:val="24"/>
          <w:szCs w:val="24"/>
          <w:rtl/>
        </w:rPr>
        <w:t xml:space="preserve"> </w:t>
      </w:r>
      <w:r w:rsidR="00843915" w:rsidRPr="00C275AB">
        <w:rPr>
          <w:rFonts w:asciiTheme="majorBidi" w:hAnsiTheme="majorBidi" w:cs="David" w:hint="eastAsia"/>
          <w:sz w:val="24"/>
          <w:szCs w:val="24"/>
          <w:rtl/>
        </w:rPr>
        <w:t>זה</w:t>
      </w:r>
      <w:r w:rsidR="00843915" w:rsidRPr="00C275A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9B3486" w:rsidRPr="00C275AB">
        <w:rPr>
          <w:rFonts w:asciiTheme="majorBidi" w:hAnsiTheme="majorBidi" w:cs="David" w:hint="cs"/>
          <w:sz w:val="24"/>
          <w:szCs w:val="24"/>
          <w:rtl/>
        </w:rPr>
        <w:t>לעניין</w:t>
      </w:r>
      <w:r w:rsidR="009B3486">
        <w:rPr>
          <w:rFonts w:asciiTheme="majorBidi" w:hAnsiTheme="majorBidi" w:cs="David" w:hint="cs"/>
          <w:sz w:val="24"/>
          <w:szCs w:val="24"/>
          <w:rtl/>
        </w:rPr>
        <w:t xml:space="preserve"> רישוי ספקטרום (</w:t>
      </w:r>
      <w:r w:rsidR="009B3486">
        <w:rPr>
          <w:rFonts w:asciiTheme="majorBidi" w:hAnsiTheme="majorBidi" w:cs="David" w:hint="cs"/>
          <w:sz w:val="24"/>
          <w:szCs w:val="24"/>
        </w:rPr>
        <w:t>FCC</w:t>
      </w:r>
      <w:r w:rsidR="00832BA2">
        <w:rPr>
          <w:rFonts w:asciiTheme="majorBidi" w:hAnsiTheme="majorBidi" w:cs="David"/>
          <w:sz w:val="24"/>
          <w:szCs w:val="24"/>
        </w:rPr>
        <w:t xml:space="preserve"> 15.231</w:t>
      </w:r>
      <w:r w:rsidR="009B3486" w:rsidRPr="009B3486">
        <w:rPr>
          <w:rFonts w:asciiTheme="majorBidi" w:hAnsiTheme="majorBidi" w:cs="David" w:hint="cs"/>
          <w:sz w:val="24"/>
          <w:szCs w:val="24"/>
          <w:rtl/>
        </w:rPr>
        <w:t>)</w:t>
      </w:r>
      <w:r w:rsidR="009B3486">
        <w:rPr>
          <w:rFonts w:asciiTheme="majorBidi" w:hAnsiTheme="majorBidi" w:cs="David" w:hint="cs"/>
          <w:sz w:val="24"/>
          <w:szCs w:val="24"/>
          <w:rtl/>
        </w:rPr>
        <w:t xml:space="preserve">, הספקי השידור המותרים בפס תדרים זה </w:t>
      </w:r>
      <w:r w:rsidR="004A4BD5">
        <w:rPr>
          <w:rFonts w:asciiTheme="majorBidi" w:hAnsiTheme="majorBidi" w:cs="David" w:hint="cs"/>
          <w:sz w:val="24"/>
          <w:szCs w:val="24"/>
          <w:rtl/>
        </w:rPr>
        <w:t xml:space="preserve">הוא </w:t>
      </w:r>
      <w:r w:rsidR="009B3486">
        <w:rPr>
          <w:rFonts w:asciiTheme="majorBidi" w:hAnsiTheme="majorBidi" w:cs="David" w:hint="cs"/>
          <w:sz w:val="24"/>
          <w:szCs w:val="24"/>
          <w:rtl/>
        </w:rPr>
        <w:t xml:space="preserve">10 מיקרוואט. לאור </w:t>
      </w:r>
      <w:r w:rsidR="007D0C2F">
        <w:rPr>
          <w:rFonts w:asciiTheme="majorBidi" w:hAnsiTheme="majorBidi" w:cs="David" w:hint="cs"/>
          <w:sz w:val="24"/>
          <w:szCs w:val="24"/>
          <w:rtl/>
        </w:rPr>
        <w:t xml:space="preserve">האמור </w:t>
      </w:r>
      <w:r w:rsidR="009B3486">
        <w:rPr>
          <w:rFonts w:asciiTheme="majorBidi" w:hAnsiTheme="majorBidi" w:cs="David" w:hint="cs"/>
          <w:sz w:val="24"/>
          <w:szCs w:val="24"/>
          <w:rtl/>
        </w:rPr>
        <w:t xml:space="preserve">ועדת התדרים </w:t>
      </w:r>
      <w:r w:rsidR="00244C18">
        <w:rPr>
          <w:rFonts w:asciiTheme="majorBidi" w:hAnsiTheme="majorBidi" w:cs="David" w:hint="cs"/>
          <w:sz w:val="24"/>
          <w:szCs w:val="24"/>
          <w:rtl/>
        </w:rPr>
        <w:t xml:space="preserve">החליטה על עדכון </w:t>
      </w:r>
      <w:r w:rsidR="009B3486">
        <w:rPr>
          <w:rFonts w:asciiTheme="majorBidi" w:hAnsiTheme="majorBidi" w:cs="David" w:hint="cs"/>
          <w:sz w:val="24"/>
          <w:szCs w:val="24"/>
          <w:rtl/>
        </w:rPr>
        <w:t xml:space="preserve">הספקי השידור והשימושים המותרים </w:t>
      </w:r>
      <w:r w:rsidR="007D0C2F">
        <w:rPr>
          <w:rFonts w:asciiTheme="majorBidi" w:hAnsiTheme="majorBidi" w:cs="David" w:hint="cs"/>
          <w:sz w:val="24"/>
          <w:szCs w:val="24"/>
          <w:rtl/>
        </w:rPr>
        <w:t>כאמור לעיל</w:t>
      </w:r>
      <w:r w:rsidR="009B3486">
        <w:rPr>
          <w:rFonts w:asciiTheme="majorBidi" w:hAnsiTheme="majorBidi" w:cs="David" w:hint="cs"/>
          <w:sz w:val="24"/>
          <w:szCs w:val="24"/>
          <w:rtl/>
        </w:rPr>
        <w:t xml:space="preserve">. מוצע </w:t>
      </w:r>
      <w:r w:rsidR="00244C18">
        <w:rPr>
          <w:rFonts w:asciiTheme="majorBidi" w:hAnsiTheme="majorBidi" w:cs="David" w:hint="cs"/>
          <w:sz w:val="24"/>
          <w:szCs w:val="24"/>
          <w:rtl/>
        </w:rPr>
        <w:t>לתקן את הסעיף בהתאם להחלט</w:t>
      </w:r>
      <w:r w:rsidR="009B3486">
        <w:rPr>
          <w:rFonts w:asciiTheme="majorBidi" w:hAnsiTheme="majorBidi" w:cs="David" w:hint="cs"/>
          <w:sz w:val="24"/>
          <w:szCs w:val="24"/>
          <w:rtl/>
        </w:rPr>
        <w:t xml:space="preserve">ת ועדת התדרים. </w:t>
      </w:r>
    </w:p>
    <w:p w:rsidR="00160A00" w:rsidRDefault="00CF5358" w:rsidP="004E58C9">
      <w:pPr>
        <w:pStyle w:val="ae"/>
        <w:snapToGrid w:val="0"/>
        <w:spacing w:before="120" w:after="120" w:line="360" w:lineRule="auto"/>
        <w:ind w:left="360"/>
        <w:jc w:val="both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b/>
          <w:bCs/>
          <w:sz w:val="24"/>
          <w:szCs w:val="24"/>
          <w:rtl/>
        </w:rPr>
        <w:t>פסקה 1(א)(</w:t>
      </w:r>
      <w:r w:rsidR="004E58C9">
        <w:rPr>
          <w:rFonts w:asciiTheme="majorBidi" w:hAnsiTheme="majorBidi" w:cs="David" w:hint="cs"/>
          <w:b/>
          <w:bCs/>
          <w:sz w:val="24"/>
          <w:szCs w:val="24"/>
          <w:rtl/>
        </w:rPr>
        <w:t>4</w:t>
      </w:r>
      <w:r>
        <w:rPr>
          <w:rFonts w:asciiTheme="majorBidi" w:hAnsiTheme="majorBidi" w:cs="David" w:hint="cs"/>
          <w:b/>
          <w:bCs/>
          <w:sz w:val="24"/>
          <w:szCs w:val="24"/>
          <w:rtl/>
        </w:rPr>
        <w:t>)</w:t>
      </w:r>
      <w:r>
        <w:rPr>
          <w:rFonts w:asciiTheme="majorBidi" w:hAnsiTheme="majorBidi" w:cs="David"/>
          <w:b/>
          <w:bCs/>
          <w:sz w:val="24"/>
          <w:szCs w:val="24"/>
          <w:rtl/>
        </w:rPr>
        <w:tab/>
      </w:r>
      <w:r w:rsidR="004A4BD5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</w:t>
      </w:r>
      <w:r w:rsidR="00244C18" w:rsidRPr="00161853">
        <w:rPr>
          <w:rFonts w:asciiTheme="majorBidi" w:hAnsiTheme="majorBidi" w:cs="David" w:hint="cs"/>
          <w:sz w:val="24"/>
          <w:szCs w:val="24"/>
          <w:rtl/>
        </w:rPr>
        <w:t xml:space="preserve">פסקת משנה (טז) </w:t>
      </w:r>
      <w:r w:rsidR="004A4BD5">
        <w:rPr>
          <w:rFonts w:asciiTheme="majorBidi" w:hAnsiTheme="majorBidi" w:cs="David" w:hint="cs"/>
          <w:sz w:val="24"/>
          <w:szCs w:val="24"/>
          <w:rtl/>
        </w:rPr>
        <w:t>ל</w:t>
      </w:r>
      <w:r w:rsidR="008946F8">
        <w:rPr>
          <w:rFonts w:asciiTheme="majorBidi" w:hAnsiTheme="majorBidi" w:cs="David" w:hint="cs"/>
          <w:sz w:val="24"/>
          <w:szCs w:val="24"/>
          <w:rtl/>
        </w:rPr>
        <w:t>סעיף</w:t>
      </w:r>
      <w:r w:rsidR="004A4BD5">
        <w:rPr>
          <w:rFonts w:asciiTheme="majorBidi" w:hAnsiTheme="majorBidi" w:cs="David" w:hint="cs"/>
          <w:sz w:val="24"/>
          <w:szCs w:val="24"/>
          <w:rtl/>
        </w:rPr>
        <w:t xml:space="preserve"> 1 בצו</w:t>
      </w:r>
      <w:r w:rsidR="00244C18" w:rsidRPr="00161853">
        <w:rPr>
          <w:rFonts w:asciiTheme="majorBidi" w:hAnsiTheme="majorBidi" w:cs="David" w:hint="cs"/>
          <w:sz w:val="24"/>
          <w:szCs w:val="24"/>
          <w:rtl/>
        </w:rPr>
        <w:t xml:space="preserve"> קובעת כי מכשירים הפועלים </w:t>
      </w:r>
      <w:r w:rsidR="004A4BD5">
        <w:rPr>
          <w:rFonts w:asciiTheme="majorBidi" w:hAnsiTheme="majorBidi" w:cs="David" w:hint="cs"/>
          <w:sz w:val="24"/>
          <w:szCs w:val="24"/>
          <w:rtl/>
        </w:rPr>
        <w:t>ב</w:t>
      </w:r>
      <w:r w:rsidR="00244C18" w:rsidRPr="00161853">
        <w:rPr>
          <w:rFonts w:asciiTheme="majorBidi" w:hAnsiTheme="majorBidi" w:cs="David"/>
          <w:sz w:val="24"/>
          <w:szCs w:val="24"/>
          <w:rtl/>
        </w:rPr>
        <w:t>פס תדרים</w:t>
      </w:r>
      <w:r w:rsidR="00161853" w:rsidRPr="00161853">
        <w:rPr>
          <w:rFonts w:asciiTheme="majorBidi" w:hAnsiTheme="majorBidi" w:cs="David" w:hint="cs"/>
          <w:sz w:val="24"/>
          <w:szCs w:val="24"/>
          <w:rtl/>
        </w:rPr>
        <w:t xml:space="preserve"> 446.0-446.1 </w:t>
      </w:r>
      <w:r w:rsidR="00244C18" w:rsidRPr="00161853">
        <w:rPr>
          <w:rFonts w:asciiTheme="majorBidi" w:hAnsiTheme="majorBidi" w:cs="David"/>
          <w:sz w:val="24"/>
          <w:szCs w:val="24"/>
          <w:rtl/>
        </w:rPr>
        <w:t>מה"ץ</w:t>
      </w:r>
      <w:r w:rsidR="00244C18" w:rsidRPr="00161853">
        <w:rPr>
          <w:rFonts w:asciiTheme="majorBidi" w:hAnsiTheme="majorBidi" w:cs="David" w:hint="cs"/>
          <w:sz w:val="24"/>
          <w:szCs w:val="24"/>
          <w:rtl/>
        </w:rPr>
        <w:t xml:space="preserve"> פטורים מרישוי וטעונים אישור התאמה</w:t>
      </w:r>
      <w:r w:rsidR="00161853" w:rsidRPr="00161853">
        <w:rPr>
          <w:rFonts w:asciiTheme="majorBidi" w:hAnsiTheme="majorBidi" w:cs="David" w:hint="cs"/>
          <w:sz w:val="24"/>
          <w:szCs w:val="24"/>
          <w:rtl/>
        </w:rPr>
        <w:t>.</w:t>
      </w:r>
      <w:r w:rsidR="00244C18" w:rsidRPr="00161853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640EDB">
        <w:rPr>
          <w:rFonts w:asciiTheme="majorBidi" w:hAnsiTheme="majorBidi" w:cs="David" w:hint="cs"/>
          <w:sz w:val="24"/>
          <w:szCs w:val="24"/>
          <w:rtl/>
        </w:rPr>
        <w:t xml:space="preserve">לאור </w:t>
      </w:r>
      <w:r w:rsidR="00EE4932">
        <w:rPr>
          <w:rFonts w:asciiTheme="majorBidi" w:hAnsiTheme="majorBidi" w:cs="David" w:hint="cs"/>
          <w:sz w:val="24"/>
          <w:szCs w:val="24"/>
          <w:rtl/>
        </w:rPr>
        <w:t xml:space="preserve">התאמת הרגולציה לתקנים </w:t>
      </w:r>
      <w:r w:rsidR="009B3486" w:rsidRPr="00161853">
        <w:rPr>
          <w:rFonts w:asciiTheme="majorBidi" w:hAnsiTheme="majorBidi" w:cs="David" w:hint="cs"/>
          <w:sz w:val="24"/>
          <w:szCs w:val="24"/>
          <w:rtl/>
        </w:rPr>
        <w:t xml:space="preserve">האירופאים לעניין </w:t>
      </w:r>
      <w:r w:rsidR="00F84C18">
        <w:rPr>
          <w:rFonts w:asciiTheme="majorBidi" w:hAnsiTheme="majorBidi" w:cs="David" w:hint="cs"/>
          <w:sz w:val="24"/>
          <w:szCs w:val="24"/>
          <w:rtl/>
        </w:rPr>
        <w:t>פס תדרים זה</w:t>
      </w:r>
      <w:r w:rsidR="00161853" w:rsidRPr="00161853">
        <w:rPr>
          <w:rFonts w:asciiTheme="majorBidi" w:hAnsiTheme="majorBidi" w:cs="David" w:hint="cs"/>
          <w:sz w:val="24"/>
          <w:szCs w:val="24"/>
          <w:rtl/>
        </w:rPr>
        <w:t xml:space="preserve"> (</w:t>
      </w:r>
      <w:r w:rsidR="00161853">
        <w:rPr>
          <w:rFonts w:asciiTheme="majorBidi" w:hAnsiTheme="majorBidi" w:cs="David" w:hint="cs"/>
          <w:sz w:val="24"/>
          <w:szCs w:val="24"/>
          <w:rtl/>
        </w:rPr>
        <w:t xml:space="preserve">תקן </w:t>
      </w:r>
      <w:r w:rsidR="00161853" w:rsidRPr="00161853">
        <w:rPr>
          <w:rFonts w:asciiTheme="majorBidi" w:hAnsiTheme="majorBidi" w:cs="David"/>
          <w:sz w:val="24"/>
          <w:szCs w:val="24"/>
        </w:rPr>
        <w:t>EN</w:t>
      </w:r>
      <w:r w:rsidR="009528D9">
        <w:rPr>
          <w:rFonts w:asciiTheme="majorBidi" w:hAnsiTheme="majorBidi" w:cs="David"/>
          <w:sz w:val="24"/>
          <w:szCs w:val="24"/>
        </w:rPr>
        <w:t xml:space="preserve"> </w:t>
      </w:r>
      <w:r w:rsidR="00161853" w:rsidRPr="00161853">
        <w:rPr>
          <w:rFonts w:asciiTheme="majorBidi" w:hAnsiTheme="majorBidi" w:cs="David"/>
          <w:sz w:val="24"/>
          <w:szCs w:val="24"/>
        </w:rPr>
        <w:t>303 405</w:t>
      </w:r>
      <w:r w:rsidR="00161853">
        <w:rPr>
          <w:rFonts w:asciiTheme="majorBidi" w:hAnsiTheme="majorBidi" w:cs="David" w:hint="cs"/>
          <w:sz w:val="24"/>
          <w:szCs w:val="24"/>
          <w:rtl/>
        </w:rPr>
        <w:t xml:space="preserve"> ותקן</w:t>
      </w:r>
      <w:r w:rsidR="00161853" w:rsidRPr="00161853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161853" w:rsidRPr="00161853">
        <w:rPr>
          <w:rFonts w:asciiTheme="majorBidi" w:hAnsiTheme="majorBidi" w:cs="David"/>
          <w:sz w:val="24"/>
          <w:szCs w:val="24"/>
        </w:rPr>
        <w:t xml:space="preserve">EN </w:t>
      </w:r>
      <w:r w:rsidR="009528D9">
        <w:rPr>
          <w:rFonts w:asciiTheme="majorBidi" w:hAnsiTheme="majorBidi" w:cs="David"/>
          <w:sz w:val="24"/>
          <w:szCs w:val="24"/>
        </w:rPr>
        <w:t xml:space="preserve">300 </w:t>
      </w:r>
      <w:r w:rsidR="00161853" w:rsidRPr="00161853">
        <w:rPr>
          <w:rFonts w:asciiTheme="majorBidi" w:hAnsiTheme="majorBidi" w:cs="David"/>
          <w:sz w:val="24"/>
          <w:szCs w:val="24"/>
        </w:rPr>
        <w:t>296</w:t>
      </w:r>
      <w:r w:rsidR="00161853" w:rsidRPr="00161853">
        <w:rPr>
          <w:rFonts w:asciiTheme="majorBidi" w:hAnsiTheme="majorBidi" w:cs="David" w:hint="cs"/>
          <w:sz w:val="24"/>
          <w:szCs w:val="24"/>
          <w:rtl/>
        </w:rPr>
        <w:t>)</w:t>
      </w:r>
      <w:r w:rsidR="00EE4932">
        <w:rPr>
          <w:rFonts w:asciiTheme="majorBidi" w:hAnsiTheme="majorBidi" w:cs="David" w:hint="cs"/>
          <w:sz w:val="24"/>
          <w:szCs w:val="24"/>
          <w:rtl/>
        </w:rPr>
        <w:t xml:space="preserve">, החליטה </w:t>
      </w:r>
      <w:r w:rsidR="00161853">
        <w:rPr>
          <w:rFonts w:asciiTheme="majorBidi" w:hAnsiTheme="majorBidi" w:cs="David" w:hint="cs"/>
          <w:sz w:val="24"/>
          <w:szCs w:val="24"/>
          <w:rtl/>
        </w:rPr>
        <w:t>ועדת התדרים</w:t>
      </w:r>
      <w:r w:rsidR="00F84C18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161853">
        <w:rPr>
          <w:rFonts w:asciiTheme="majorBidi" w:hAnsiTheme="majorBidi" w:cs="David" w:hint="cs"/>
          <w:sz w:val="24"/>
          <w:szCs w:val="24"/>
          <w:rtl/>
        </w:rPr>
        <w:t>על עדכון התנאים ההנדסיים בנוגע לפס התדרים.</w:t>
      </w:r>
      <w:r w:rsidR="00161853" w:rsidRPr="00161853">
        <w:rPr>
          <w:rFonts w:asciiTheme="majorBidi" w:hAnsiTheme="majorBidi" w:cs="David" w:hint="cs"/>
          <w:sz w:val="24"/>
          <w:szCs w:val="24"/>
          <w:rtl/>
        </w:rPr>
        <w:t xml:space="preserve"> מוצע ל</w:t>
      </w:r>
      <w:r w:rsidR="00161853">
        <w:rPr>
          <w:rFonts w:asciiTheme="majorBidi" w:hAnsiTheme="majorBidi" w:cs="David" w:hint="cs"/>
          <w:sz w:val="24"/>
          <w:szCs w:val="24"/>
          <w:rtl/>
        </w:rPr>
        <w:t xml:space="preserve">תקן את </w:t>
      </w:r>
      <w:r w:rsidR="002E3425">
        <w:rPr>
          <w:rFonts w:asciiTheme="majorBidi" w:hAnsiTheme="majorBidi" w:cs="David" w:hint="cs"/>
          <w:sz w:val="24"/>
          <w:szCs w:val="24"/>
          <w:rtl/>
        </w:rPr>
        <w:t>פ</w:t>
      </w:r>
      <w:r w:rsidR="008946F8">
        <w:rPr>
          <w:rFonts w:asciiTheme="majorBidi" w:hAnsiTheme="majorBidi" w:cs="David" w:hint="cs"/>
          <w:sz w:val="24"/>
          <w:szCs w:val="24"/>
          <w:rtl/>
        </w:rPr>
        <w:t>סק</w:t>
      </w:r>
      <w:r w:rsidR="002E3425">
        <w:rPr>
          <w:rFonts w:asciiTheme="majorBidi" w:hAnsiTheme="majorBidi" w:cs="David" w:hint="cs"/>
          <w:sz w:val="24"/>
          <w:szCs w:val="24"/>
          <w:rtl/>
        </w:rPr>
        <w:t xml:space="preserve">ת </w:t>
      </w:r>
      <w:r w:rsidR="008946F8">
        <w:rPr>
          <w:rFonts w:asciiTheme="majorBidi" w:hAnsiTheme="majorBidi" w:cs="David" w:hint="cs"/>
          <w:sz w:val="24"/>
          <w:szCs w:val="24"/>
          <w:rtl/>
        </w:rPr>
        <w:t>ה</w:t>
      </w:r>
      <w:r w:rsidR="002E3425">
        <w:rPr>
          <w:rFonts w:asciiTheme="majorBidi" w:hAnsiTheme="majorBidi" w:cs="David" w:hint="cs"/>
          <w:sz w:val="24"/>
          <w:szCs w:val="24"/>
          <w:rtl/>
        </w:rPr>
        <w:t>משנה</w:t>
      </w:r>
      <w:r w:rsidR="004A4BD5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161853">
        <w:rPr>
          <w:rFonts w:asciiTheme="majorBidi" w:hAnsiTheme="majorBidi" w:cs="David" w:hint="cs"/>
          <w:sz w:val="24"/>
          <w:szCs w:val="24"/>
          <w:rtl/>
        </w:rPr>
        <w:t>בהתאם להחלטת ועדת התדרים.</w:t>
      </w:r>
    </w:p>
    <w:p w:rsidR="00161853" w:rsidRDefault="00433FF3" w:rsidP="004E58C9">
      <w:pPr>
        <w:pStyle w:val="ae"/>
        <w:snapToGrid w:val="0"/>
        <w:spacing w:before="120" w:after="120" w:line="360" w:lineRule="auto"/>
        <w:ind w:left="360"/>
        <w:jc w:val="both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b/>
          <w:bCs/>
          <w:sz w:val="24"/>
          <w:szCs w:val="24"/>
          <w:rtl/>
        </w:rPr>
        <w:t>פסקה 1(א)(</w:t>
      </w:r>
      <w:r w:rsidR="004E58C9">
        <w:rPr>
          <w:rFonts w:asciiTheme="majorBidi" w:hAnsiTheme="majorBidi" w:cs="David" w:hint="cs"/>
          <w:b/>
          <w:bCs/>
          <w:sz w:val="24"/>
          <w:szCs w:val="24"/>
          <w:rtl/>
        </w:rPr>
        <w:t>5</w:t>
      </w:r>
      <w:r>
        <w:rPr>
          <w:rFonts w:asciiTheme="majorBidi" w:hAnsiTheme="majorBidi" w:cs="David" w:hint="cs"/>
          <w:b/>
          <w:bCs/>
          <w:sz w:val="24"/>
          <w:szCs w:val="24"/>
          <w:rtl/>
        </w:rPr>
        <w:t>)</w:t>
      </w:r>
      <w:r>
        <w:rPr>
          <w:rFonts w:asciiTheme="majorBidi" w:hAnsiTheme="majorBidi" w:cs="David"/>
          <w:b/>
          <w:bCs/>
          <w:sz w:val="24"/>
          <w:szCs w:val="24"/>
          <w:rtl/>
        </w:rPr>
        <w:tab/>
      </w:r>
      <w:r w:rsidR="004A4BD5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</w:t>
      </w:r>
      <w:r w:rsidR="0005732D">
        <w:rPr>
          <w:rFonts w:asciiTheme="majorBidi" w:hAnsiTheme="majorBidi" w:cs="David" w:hint="cs"/>
          <w:sz w:val="24"/>
          <w:szCs w:val="24"/>
          <w:rtl/>
        </w:rPr>
        <w:t xml:space="preserve">בהתאם לתקינה האירופאית </w:t>
      </w:r>
      <w:r w:rsidR="00F84C18">
        <w:rPr>
          <w:rFonts w:asciiTheme="majorBidi" w:hAnsiTheme="majorBidi" w:cs="David" w:hint="cs"/>
          <w:sz w:val="24"/>
          <w:szCs w:val="24"/>
          <w:rtl/>
        </w:rPr>
        <w:t>החליטה</w:t>
      </w:r>
      <w:r w:rsidR="0005732D">
        <w:rPr>
          <w:rFonts w:asciiTheme="majorBidi" w:hAnsiTheme="majorBidi" w:cs="David" w:hint="cs"/>
          <w:sz w:val="24"/>
          <w:szCs w:val="24"/>
          <w:rtl/>
        </w:rPr>
        <w:t xml:space="preserve"> ועדת התדרים</w:t>
      </w:r>
      <w:r w:rsidR="00FB64DF">
        <w:rPr>
          <w:rFonts w:asciiTheme="majorBidi" w:hAnsiTheme="majorBidi" w:cs="David" w:hint="cs"/>
          <w:sz w:val="24"/>
          <w:szCs w:val="24"/>
          <w:rtl/>
        </w:rPr>
        <w:t xml:space="preserve"> להועיד את פסי התדרים </w:t>
      </w:r>
      <w:r w:rsidR="00F844DA">
        <w:rPr>
          <w:rFonts w:asciiTheme="majorBidi" w:hAnsiTheme="majorBidi" w:cs="David" w:hint="cs"/>
          <w:sz w:val="24"/>
          <w:szCs w:val="24"/>
          <w:rtl/>
        </w:rPr>
        <w:t>המפורטים בתיקון</w:t>
      </w:r>
      <w:r w:rsidR="003E45DF">
        <w:rPr>
          <w:rFonts w:asciiTheme="majorBidi" w:hAnsiTheme="majorBidi" w:cs="David" w:hint="cs"/>
          <w:sz w:val="24"/>
          <w:szCs w:val="24"/>
          <w:rtl/>
        </w:rPr>
        <w:t xml:space="preserve"> זה </w:t>
      </w:r>
      <w:r w:rsidR="005C2C36">
        <w:rPr>
          <w:rFonts w:asciiTheme="majorBidi" w:hAnsiTheme="majorBidi" w:cs="David" w:hint="cs"/>
          <w:sz w:val="24"/>
          <w:szCs w:val="24"/>
          <w:rtl/>
        </w:rPr>
        <w:t xml:space="preserve">לצו </w:t>
      </w:r>
      <w:r w:rsidR="003E45DF">
        <w:rPr>
          <w:rFonts w:asciiTheme="majorBidi" w:hAnsiTheme="majorBidi" w:cs="David" w:hint="cs"/>
          <w:sz w:val="24"/>
          <w:szCs w:val="24"/>
          <w:rtl/>
        </w:rPr>
        <w:t>ולהקצותם</w:t>
      </w:r>
      <w:r w:rsidR="00C275A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FB64DF">
        <w:rPr>
          <w:rFonts w:asciiTheme="majorBidi" w:hAnsiTheme="majorBidi" w:cs="David" w:hint="cs"/>
          <w:sz w:val="24"/>
          <w:szCs w:val="24"/>
          <w:rtl/>
        </w:rPr>
        <w:t>לשימוש הציבור</w:t>
      </w:r>
      <w:r w:rsidR="007F3DCA">
        <w:rPr>
          <w:rFonts w:asciiTheme="majorBidi" w:hAnsiTheme="majorBidi" w:cs="David" w:hint="cs"/>
          <w:sz w:val="24"/>
          <w:szCs w:val="24"/>
          <w:rtl/>
        </w:rPr>
        <w:t>. לפיכך מוצע</w:t>
      </w:r>
      <w:r w:rsidR="00FB64DF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05732D">
        <w:rPr>
          <w:rFonts w:asciiTheme="majorBidi" w:hAnsiTheme="majorBidi" w:cs="David" w:hint="cs"/>
          <w:sz w:val="24"/>
          <w:szCs w:val="24"/>
          <w:rtl/>
        </w:rPr>
        <w:t xml:space="preserve">לפטור </w:t>
      </w:r>
      <w:r w:rsidR="009528D9">
        <w:rPr>
          <w:rFonts w:asciiTheme="majorBidi" w:hAnsiTheme="majorBidi" w:cs="David" w:hint="cs"/>
          <w:sz w:val="24"/>
          <w:szCs w:val="24"/>
          <w:rtl/>
        </w:rPr>
        <w:t>מכשירים אלחוטיים הפועלים ב</w:t>
      </w:r>
      <w:r w:rsidR="0005732D">
        <w:rPr>
          <w:rFonts w:asciiTheme="majorBidi" w:hAnsiTheme="majorBidi" w:cs="David" w:hint="cs"/>
          <w:sz w:val="24"/>
          <w:szCs w:val="24"/>
          <w:rtl/>
        </w:rPr>
        <w:t xml:space="preserve">פסי תדרים </w:t>
      </w:r>
      <w:r w:rsidR="00F844DA">
        <w:rPr>
          <w:rFonts w:asciiTheme="majorBidi" w:hAnsiTheme="majorBidi" w:cs="David" w:hint="cs"/>
          <w:sz w:val="24"/>
          <w:szCs w:val="24"/>
          <w:rtl/>
        </w:rPr>
        <w:t>אלו</w:t>
      </w:r>
      <w:r w:rsidR="007A34CE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05732D">
        <w:rPr>
          <w:rFonts w:asciiTheme="majorBidi" w:hAnsiTheme="majorBidi" w:cs="David" w:hint="cs"/>
          <w:sz w:val="24"/>
          <w:szCs w:val="24"/>
          <w:rtl/>
        </w:rPr>
        <w:t>מהדרישה לקבל רישיון</w:t>
      </w:r>
      <w:r w:rsidR="006C1797">
        <w:rPr>
          <w:rFonts w:asciiTheme="majorBidi" w:hAnsiTheme="majorBidi" w:cs="David" w:hint="cs"/>
          <w:sz w:val="24"/>
          <w:szCs w:val="24"/>
          <w:rtl/>
        </w:rPr>
        <w:t xml:space="preserve">. מוצע להוסיף לצו רשימת תנאים הנדסיים </w:t>
      </w:r>
      <w:r w:rsidR="004A4BD5">
        <w:rPr>
          <w:rFonts w:asciiTheme="majorBidi" w:hAnsiTheme="majorBidi" w:cs="David" w:hint="cs"/>
          <w:sz w:val="24"/>
          <w:szCs w:val="24"/>
          <w:rtl/>
        </w:rPr>
        <w:t>המנויים ב</w:t>
      </w:r>
      <w:r w:rsidR="002E3425">
        <w:rPr>
          <w:rFonts w:asciiTheme="majorBidi" w:hAnsiTheme="majorBidi" w:cs="David" w:hint="cs"/>
          <w:sz w:val="24"/>
          <w:szCs w:val="24"/>
          <w:rtl/>
        </w:rPr>
        <w:t>פסק</w:t>
      </w:r>
      <w:r w:rsidR="008946F8">
        <w:rPr>
          <w:rFonts w:asciiTheme="majorBidi" w:hAnsiTheme="majorBidi" w:cs="David" w:hint="cs"/>
          <w:sz w:val="24"/>
          <w:szCs w:val="24"/>
          <w:rtl/>
        </w:rPr>
        <w:t xml:space="preserve">ות </w:t>
      </w:r>
      <w:r w:rsidR="002E3425">
        <w:rPr>
          <w:rFonts w:asciiTheme="majorBidi" w:hAnsiTheme="majorBidi" w:cs="David" w:hint="cs"/>
          <w:sz w:val="24"/>
          <w:szCs w:val="24"/>
          <w:rtl/>
        </w:rPr>
        <w:t>ה</w:t>
      </w:r>
      <w:r w:rsidR="004A4BD5">
        <w:rPr>
          <w:rFonts w:asciiTheme="majorBidi" w:hAnsiTheme="majorBidi" w:cs="David" w:hint="cs"/>
          <w:sz w:val="24"/>
          <w:szCs w:val="24"/>
          <w:rtl/>
        </w:rPr>
        <w:t xml:space="preserve">משנה </w:t>
      </w:r>
      <w:r w:rsidR="006C1797">
        <w:rPr>
          <w:rFonts w:asciiTheme="majorBidi" w:hAnsiTheme="majorBidi" w:cs="David" w:hint="cs"/>
          <w:sz w:val="24"/>
          <w:szCs w:val="24"/>
          <w:rtl/>
        </w:rPr>
        <w:t>(כא) עד (לו) ו</w:t>
      </w:r>
      <w:r w:rsidR="0005732D">
        <w:rPr>
          <w:rFonts w:asciiTheme="majorBidi" w:hAnsiTheme="majorBidi" w:cs="David" w:hint="cs"/>
          <w:sz w:val="24"/>
          <w:szCs w:val="24"/>
          <w:rtl/>
        </w:rPr>
        <w:t>לק</w:t>
      </w:r>
      <w:r w:rsidR="00F84C18">
        <w:rPr>
          <w:rFonts w:asciiTheme="majorBidi" w:hAnsiTheme="majorBidi" w:cs="David" w:hint="cs"/>
          <w:sz w:val="24"/>
          <w:szCs w:val="24"/>
          <w:rtl/>
        </w:rPr>
        <w:t xml:space="preserve">בוע כי </w:t>
      </w:r>
      <w:r w:rsidR="007A34CE">
        <w:rPr>
          <w:rFonts w:asciiTheme="majorBidi" w:hAnsiTheme="majorBidi" w:cs="David" w:hint="cs"/>
          <w:sz w:val="24"/>
          <w:szCs w:val="24"/>
          <w:rtl/>
        </w:rPr>
        <w:t xml:space="preserve">מכשירים </w:t>
      </w:r>
      <w:r w:rsidR="006C1797">
        <w:rPr>
          <w:rFonts w:asciiTheme="majorBidi" w:hAnsiTheme="majorBidi" w:cs="David" w:hint="cs"/>
          <w:sz w:val="24"/>
          <w:szCs w:val="24"/>
          <w:rtl/>
        </w:rPr>
        <w:t xml:space="preserve">העומדים בתנאים הנדסיים אלו </w:t>
      </w:r>
      <w:r w:rsidR="007A34CE">
        <w:rPr>
          <w:rFonts w:asciiTheme="majorBidi" w:hAnsiTheme="majorBidi" w:cs="David" w:hint="cs"/>
          <w:sz w:val="24"/>
          <w:szCs w:val="24"/>
          <w:rtl/>
        </w:rPr>
        <w:t xml:space="preserve">פטורים מחובת רישוי וטעונים קבלת אישור התאמה מאת המנהל. </w:t>
      </w:r>
    </w:p>
    <w:p w:rsidR="0088450E" w:rsidRDefault="0088450E" w:rsidP="00433FF3">
      <w:pPr>
        <w:pStyle w:val="ae"/>
        <w:snapToGrid w:val="0"/>
        <w:spacing w:before="120" w:after="120" w:line="360" w:lineRule="auto"/>
        <w:ind w:left="360"/>
        <w:jc w:val="both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b/>
          <w:bCs/>
          <w:sz w:val="24"/>
          <w:szCs w:val="24"/>
          <w:rtl/>
        </w:rPr>
        <w:t>סעיף</w:t>
      </w:r>
      <w:r w:rsidR="00433FF3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קטן 1(ב)</w:t>
      </w:r>
      <w:r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="David" w:hint="cs"/>
          <w:b/>
          <w:bCs/>
          <w:sz w:val="24"/>
          <w:szCs w:val="24"/>
          <w:rtl/>
        </w:rPr>
        <w:tab/>
      </w:r>
      <w:r w:rsidRPr="00D33A7F">
        <w:rPr>
          <w:rFonts w:asciiTheme="majorBidi" w:hAnsiTheme="majorBidi" w:cs="David" w:hint="eastAsia"/>
          <w:sz w:val="24"/>
          <w:szCs w:val="24"/>
          <w:rtl/>
        </w:rPr>
        <w:t>מוצע</w:t>
      </w:r>
      <w:r w:rsidRPr="00D33A7F">
        <w:rPr>
          <w:rFonts w:asciiTheme="majorBidi" w:hAnsiTheme="majorBidi" w:cs="David"/>
          <w:sz w:val="24"/>
          <w:szCs w:val="24"/>
          <w:rtl/>
        </w:rPr>
        <w:t xml:space="preserve"> </w:t>
      </w:r>
      <w:r w:rsidRPr="00D33A7F">
        <w:rPr>
          <w:rFonts w:asciiTheme="majorBidi" w:hAnsiTheme="majorBidi" w:cs="David" w:hint="eastAsia"/>
          <w:sz w:val="24"/>
          <w:szCs w:val="24"/>
          <w:rtl/>
        </w:rPr>
        <w:t>לתקן</w:t>
      </w:r>
      <w:r w:rsidRPr="00D33A7F">
        <w:rPr>
          <w:rFonts w:asciiTheme="majorBidi" w:hAnsiTheme="majorBidi" w:cs="David"/>
          <w:sz w:val="24"/>
          <w:szCs w:val="24"/>
          <w:rtl/>
        </w:rPr>
        <w:t xml:space="preserve"> </w:t>
      </w:r>
      <w:r w:rsidRPr="00D33A7F">
        <w:rPr>
          <w:rFonts w:asciiTheme="majorBidi" w:hAnsiTheme="majorBidi" w:cs="David" w:hint="eastAsia"/>
          <w:sz w:val="24"/>
          <w:szCs w:val="24"/>
          <w:rtl/>
        </w:rPr>
        <w:t>את</w:t>
      </w:r>
      <w:r>
        <w:rPr>
          <w:rFonts w:asciiTheme="majorBidi" w:hAnsiTheme="majorBidi" w:cs="David" w:hint="cs"/>
          <w:sz w:val="24"/>
          <w:szCs w:val="24"/>
          <w:rtl/>
        </w:rPr>
        <w:t xml:space="preserve"> סעיף 1(ב) לצו בהתאם לתיקון ההגדרה "מכשיר אלחוטי".</w:t>
      </w:r>
      <w:r w:rsidRPr="00D33A7F">
        <w:rPr>
          <w:rFonts w:asciiTheme="majorBidi" w:hAnsiTheme="majorBidi" w:cs="David"/>
          <w:sz w:val="24"/>
          <w:szCs w:val="24"/>
          <w:rtl/>
        </w:rPr>
        <w:t xml:space="preserve"> </w:t>
      </w:r>
    </w:p>
    <w:p w:rsidR="00FF5424" w:rsidRDefault="00FF5424" w:rsidP="00433FF3">
      <w:pPr>
        <w:pStyle w:val="ae"/>
        <w:snapToGrid w:val="0"/>
        <w:spacing w:before="120" w:after="120" w:line="360" w:lineRule="auto"/>
        <w:ind w:left="360"/>
        <w:jc w:val="both"/>
        <w:rPr>
          <w:rFonts w:asciiTheme="majorBidi" w:hAnsiTheme="majorBidi" w:cs="David"/>
          <w:sz w:val="24"/>
          <w:szCs w:val="24"/>
          <w:rtl/>
        </w:rPr>
      </w:pPr>
    </w:p>
    <w:p w:rsidR="0028253E" w:rsidRPr="0028253E" w:rsidRDefault="0028253E" w:rsidP="00433FF3">
      <w:pPr>
        <w:pStyle w:val="ae"/>
        <w:snapToGrid w:val="0"/>
        <w:spacing w:before="120" w:after="120" w:line="360" w:lineRule="auto"/>
        <w:ind w:left="360"/>
        <w:jc w:val="both"/>
        <w:rPr>
          <w:rFonts w:asciiTheme="majorBidi" w:hAnsiTheme="majorBidi" w:cs="David"/>
          <w:b/>
          <w:bCs/>
          <w:sz w:val="24"/>
          <w:szCs w:val="24"/>
        </w:rPr>
      </w:pPr>
      <w:r w:rsidRPr="0028253E">
        <w:rPr>
          <w:rFonts w:asciiTheme="majorBidi" w:hAnsiTheme="majorBidi" w:cs="David" w:hint="cs"/>
          <w:b/>
          <w:bCs/>
          <w:sz w:val="24"/>
          <w:szCs w:val="24"/>
          <w:rtl/>
        </w:rPr>
        <w:t>סעיף 2</w:t>
      </w:r>
    </w:p>
    <w:p w:rsidR="00FF5424" w:rsidRPr="0088450E" w:rsidRDefault="0028253E" w:rsidP="005E225B">
      <w:pPr>
        <w:pStyle w:val="ae"/>
        <w:snapToGrid w:val="0"/>
        <w:spacing w:before="120" w:after="120" w:line="360" w:lineRule="auto"/>
        <w:ind w:left="360"/>
        <w:jc w:val="both"/>
        <w:rPr>
          <w:rFonts w:asciiTheme="majorBidi" w:hAnsiTheme="majorBidi" w:cs="David"/>
          <w:sz w:val="24"/>
          <w:szCs w:val="24"/>
        </w:rPr>
      </w:pPr>
      <w:r w:rsidRPr="00663732">
        <w:rPr>
          <w:rFonts w:asciiTheme="majorBidi" w:hAnsiTheme="majorBidi" w:cs="David" w:hint="cs"/>
          <w:b/>
          <w:bCs/>
          <w:sz w:val="24"/>
          <w:szCs w:val="24"/>
          <w:rtl/>
        </w:rPr>
        <w:t>סעיף קטן 2(א)</w:t>
      </w:r>
      <w:r w:rsidRPr="00663732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663732">
        <w:rPr>
          <w:rFonts w:asciiTheme="majorBidi" w:hAnsiTheme="majorBidi" w:cs="David"/>
          <w:sz w:val="24"/>
          <w:szCs w:val="24"/>
          <w:rtl/>
        </w:rPr>
        <w:tab/>
      </w:r>
      <w:r w:rsidR="00F85F11" w:rsidRPr="00663732">
        <w:rPr>
          <w:rFonts w:asciiTheme="majorBidi" w:hAnsiTheme="majorBidi" w:cs="David" w:hint="cs"/>
          <w:sz w:val="24"/>
          <w:szCs w:val="24"/>
          <w:rtl/>
        </w:rPr>
        <w:t xml:space="preserve">כאמור </w:t>
      </w:r>
      <w:r w:rsidR="005E225B" w:rsidRPr="00663732">
        <w:rPr>
          <w:rFonts w:asciiTheme="majorBidi" w:hAnsiTheme="majorBidi" w:cs="David" w:hint="cs"/>
          <w:sz w:val="24"/>
          <w:szCs w:val="24"/>
          <w:rtl/>
        </w:rPr>
        <w:t>בדברי ההסבר ל</w:t>
      </w:r>
      <w:r w:rsidR="00DB0B91" w:rsidRPr="00663732">
        <w:rPr>
          <w:rFonts w:asciiTheme="majorBidi" w:hAnsiTheme="majorBidi" w:cs="David" w:hint="cs"/>
          <w:sz w:val="24"/>
          <w:szCs w:val="24"/>
          <w:rtl/>
        </w:rPr>
        <w:t>פסקה 1(א)(2)</w:t>
      </w:r>
      <w:r w:rsidR="00F85F11" w:rsidRPr="00663732">
        <w:rPr>
          <w:rFonts w:asciiTheme="majorBidi" w:hAnsiTheme="majorBidi" w:cs="David" w:hint="cs"/>
          <w:sz w:val="24"/>
          <w:szCs w:val="24"/>
          <w:rtl/>
        </w:rPr>
        <w:t xml:space="preserve">, מוצע לקבוע כי תחום תדרי אינפרא אדום פטור מרישוי ואינו טעון קבלת אישור התאמה. לפיכך מוצע </w:t>
      </w:r>
      <w:r w:rsidR="002A54F2" w:rsidRPr="00663732">
        <w:rPr>
          <w:rFonts w:asciiTheme="majorBidi" w:hAnsiTheme="majorBidi" w:cs="David" w:hint="cs"/>
          <w:sz w:val="24"/>
          <w:szCs w:val="24"/>
          <w:rtl/>
        </w:rPr>
        <w:t xml:space="preserve">להוסיף את סעיף קטן 3, העוסק בתדרי אינפרא אדום, </w:t>
      </w:r>
      <w:r w:rsidR="005E225B" w:rsidRPr="00663732">
        <w:rPr>
          <w:rFonts w:asciiTheme="majorBidi" w:hAnsiTheme="majorBidi" w:cs="David" w:hint="cs"/>
          <w:sz w:val="24"/>
          <w:szCs w:val="24"/>
          <w:rtl/>
        </w:rPr>
        <w:t>ל</w:t>
      </w:r>
      <w:r w:rsidR="00F85F11" w:rsidRPr="00663732">
        <w:rPr>
          <w:rFonts w:asciiTheme="majorBidi" w:hAnsiTheme="majorBidi" w:cs="David" w:hint="cs"/>
          <w:sz w:val="24"/>
          <w:szCs w:val="24"/>
          <w:rtl/>
        </w:rPr>
        <w:t>סעיף 1א לצו, שעניינו מכשירים אלחוטיים הפטורים מרישוי</w:t>
      </w:r>
      <w:r w:rsidR="002A54F2" w:rsidRPr="00663732">
        <w:rPr>
          <w:rFonts w:asciiTheme="majorBidi" w:hAnsiTheme="majorBidi" w:cs="David" w:hint="cs"/>
          <w:sz w:val="24"/>
          <w:szCs w:val="24"/>
          <w:rtl/>
        </w:rPr>
        <w:t xml:space="preserve">. זאת </w:t>
      </w:r>
      <w:r w:rsidR="005E225B" w:rsidRPr="00663732">
        <w:rPr>
          <w:rFonts w:asciiTheme="majorBidi" w:hAnsiTheme="majorBidi" w:cs="David" w:hint="cs"/>
          <w:sz w:val="24"/>
          <w:szCs w:val="24"/>
          <w:rtl/>
        </w:rPr>
        <w:t>בהתאמה</w:t>
      </w:r>
      <w:r w:rsidR="002A54F2" w:rsidRPr="00663732">
        <w:rPr>
          <w:rFonts w:asciiTheme="majorBidi" w:hAnsiTheme="majorBidi" w:cs="David" w:hint="cs"/>
          <w:sz w:val="24"/>
          <w:szCs w:val="24"/>
          <w:rtl/>
        </w:rPr>
        <w:t xml:space="preserve"> למחיקת פ</w:t>
      </w:r>
      <w:r w:rsidR="00CC67C9" w:rsidRPr="00663732">
        <w:rPr>
          <w:rFonts w:asciiTheme="majorBidi" w:hAnsiTheme="majorBidi" w:cs="David" w:hint="cs"/>
          <w:sz w:val="24"/>
          <w:szCs w:val="24"/>
          <w:rtl/>
        </w:rPr>
        <w:t>סקת משנה (א) ל</w:t>
      </w:r>
      <w:r w:rsidR="002A54F2" w:rsidRPr="00663732">
        <w:rPr>
          <w:rFonts w:asciiTheme="majorBidi" w:hAnsiTheme="majorBidi" w:cs="David" w:hint="cs"/>
          <w:sz w:val="24"/>
          <w:szCs w:val="24"/>
          <w:rtl/>
        </w:rPr>
        <w:t>סעיף 1 ב</w:t>
      </w:r>
      <w:r w:rsidR="00CC67C9" w:rsidRPr="00663732">
        <w:rPr>
          <w:rFonts w:asciiTheme="majorBidi" w:hAnsiTheme="majorBidi" w:cs="David" w:hint="cs"/>
          <w:sz w:val="24"/>
          <w:szCs w:val="24"/>
          <w:rtl/>
        </w:rPr>
        <w:t>צו</w:t>
      </w:r>
      <w:r w:rsidR="002A54F2" w:rsidRPr="00663732">
        <w:rPr>
          <w:rFonts w:asciiTheme="majorBidi" w:hAnsiTheme="majorBidi" w:cs="David" w:hint="cs"/>
          <w:sz w:val="24"/>
          <w:szCs w:val="24"/>
          <w:rtl/>
        </w:rPr>
        <w:t>, שעניינו מכשירים הטעונים אישור התאמה</w:t>
      </w:r>
      <w:r w:rsidR="00114240" w:rsidRPr="00663732">
        <w:rPr>
          <w:rFonts w:asciiTheme="majorBidi" w:hAnsiTheme="majorBidi" w:cs="David" w:hint="cs"/>
          <w:sz w:val="24"/>
          <w:szCs w:val="24"/>
          <w:rtl/>
        </w:rPr>
        <w:t>.</w:t>
      </w:r>
      <w:r w:rsidR="00DB0B91" w:rsidRPr="00663732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114240" w:rsidRPr="00663732">
        <w:rPr>
          <w:rFonts w:asciiTheme="majorBidi" w:hAnsiTheme="majorBidi" w:cs="David" w:hint="cs"/>
          <w:sz w:val="24"/>
          <w:szCs w:val="24"/>
          <w:rtl/>
        </w:rPr>
        <w:t xml:space="preserve">כמו כן, מוצע לתקן את תחום התדרים </w:t>
      </w:r>
      <w:r w:rsidR="00CC67C9" w:rsidRPr="00663732">
        <w:rPr>
          <w:rFonts w:asciiTheme="majorBidi" w:hAnsiTheme="majorBidi" w:cs="David" w:hint="cs"/>
          <w:sz w:val="24"/>
          <w:szCs w:val="24"/>
          <w:rtl/>
        </w:rPr>
        <w:t xml:space="preserve">הקבועים בסעיף זה; בפסקת משנה (א) לצו, תדרי אינפרא אדום הוגדרו בתחום 1,000 - 430,000 גיה"ץ. עם זאת, </w:t>
      </w:r>
      <w:r w:rsidR="00FF5424" w:rsidRPr="00663732">
        <w:rPr>
          <w:rFonts w:asciiTheme="majorBidi" w:hAnsiTheme="majorBidi" w:cs="David" w:hint="cs"/>
          <w:sz w:val="24"/>
          <w:szCs w:val="24"/>
          <w:rtl/>
        </w:rPr>
        <w:t>פקודת הטלגרף מסדירה את השימוש בתחום תדרי הרדיו המוגדרים בפקודה כתדרי גלים אלקטרומגנטיים בתחום שאינו עולה על 3,000 גיה"ץ.</w:t>
      </w:r>
      <w:r w:rsidR="00CC67C9" w:rsidRPr="00663732">
        <w:rPr>
          <w:rFonts w:asciiTheme="majorBidi" w:hAnsiTheme="majorBidi" w:cs="David" w:hint="cs"/>
          <w:sz w:val="24"/>
          <w:szCs w:val="24"/>
          <w:rtl/>
        </w:rPr>
        <w:t xml:space="preserve"> לפיכך, מוצע לתקן את תחום האינפרא האדום בהתאם למוגדר בפקודה, לתחום של 1,000 </w:t>
      </w:r>
      <w:r w:rsidR="00CC67C9" w:rsidRPr="00663732">
        <w:rPr>
          <w:rFonts w:asciiTheme="majorBidi" w:hAnsiTheme="majorBidi" w:cs="David"/>
          <w:sz w:val="24"/>
          <w:szCs w:val="24"/>
          <w:rtl/>
        </w:rPr>
        <w:t>–</w:t>
      </w:r>
      <w:r w:rsidR="00CC67C9" w:rsidRPr="00663732">
        <w:rPr>
          <w:rFonts w:asciiTheme="majorBidi" w:hAnsiTheme="majorBidi" w:cs="David" w:hint="cs"/>
          <w:sz w:val="24"/>
          <w:szCs w:val="24"/>
          <w:rtl/>
        </w:rPr>
        <w:t xml:space="preserve"> 3,000 גיה"ץ בלבד.</w:t>
      </w:r>
      <w:r w:rsidR="00CC67C9">
        <w:rPr>
          <w:rFonts w:asciiTheme="majorBidi" w:hAnsiTheme="majorBidi" w:cs="David" w:hint="cs"/>
          <w:sz w:val="24"/>
          <w:szCs w:val="24"/>
          <w:rtl/>
        </w:rPr>
        <w:t xml:space="preserve"> </w:t>
      </w:r>
    </w:p>
    <w:p w:rsidR="000561A5" w:rsidRPr="009240AF" w:rsidRDefault="000561A5" w:rsidP="007B5AE2">
      <w:pPr>
        <w:snapToGrid w:val="0"/>
        <w:spacing w:before="120" w:after="120" w:line="360" w:lineRule="auto"/>
        <w:ind w:firstLine="0"/>
        <w:rPr>
          <w:rFonts w:asciiTheme="majorBidi" w:hAnsiTheme="majorBidi" w:cs="David"/>
          <w:sz w:val="24"/>
          <w:szCs w:val="24"/>
          <w:rtl/>
        </w:rPr>
      </w:pPr>
    </w:p>
    <w:sectPr w:rsidR="000561A5" w:rsidRPr="009240AF" w:rsidSect="000E1772">
      <w:footerReference w:type="default" r:id="rId8"/>
      <w:pgSz w:w="11906" w:h="16838"/>
      <w:pgMar w:top="851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35" w:rsidRDefault="00710135" w:rsidP="004E219C">
      <w:pPr>
        <w:spacing w:before="0" w:line="240" w:lineRule="auto"/>
      </w:pPr>
      <w:r>
        <w:separator/>
      </w:r>
    </w:p>
  </w:endnote>
  <w:endnote w:type="continuationSeparator" w:id="0">
    <w:p w:rsidR="00710135" w:rsidRDefault="00710135" w:rsidP="004E21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altName w:val="Arial"/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393266691"/>
      <w:docPartObj>
        <w:docPartGallery w:val="Page Numbers (Bottom of Page)"/>
        <w:docPartUnique/>
      </w:docPartObj>
    </w:sdtPr>
    <w:sdtEndPr/>
    <w:sdtContent>
      <w:p w:rsidR="00260AAB" w:rsidRDefault="00260AAB">
        <w:pPr>
          <w:pStyle w:val="ab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7C63D6" w:rsidRPr="007C63D6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260AAB" w:rsidRDefault="00260A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35" w:rsidRDefault="00710135" w:rsidP="004E219C">
      <w:pPr>
        <w:spacing w:before="0" w:line="240" w:lineRule="auto"/>
      </w:pPr>
      <w:r>
        <w:separator/>
      </w:r>
    </w:p>
  </w:footnote>
  <w:footnote w:type="continuationSeparator" w:id="0">
    <w:p w:rsidR="00710135" w:rsidRDefault="00710135" w:rsidP="004E219C">
      <w:pPr>
        <w:spacing w:before="0" w:line="240" w:lineRule="auto"/>
      </w:pPr>
      <w:r>
        <w:continuationSeparator/>
      </w:r>
    </w:p>
  </w:footnote>
  <w:footnote w:id="1">
    <w:p w:rsidR="00CF5358" w:rsidRPr="00DD7200" w:rsidRDefault="00CF5358" w:rsidP="005E1F4B">
      <w:pPr>
        <w:pStyle w:val="a5"/>
        <w:rPr>
          <w:rtl/>
        </w:rPr>
      </w:pPr>
      <w:r w:rsidRPr="00DD7200">
        <w:rPr>
          <w:rStyle w:val="a7"/>
        </w:rPr>
        <w:footnoteRef/>
      </w:r>
      <w:r w:rsidRPr="00DD7200">
        <w:rPr>
          <w:rtl/>
        </w:rPr>
        <w:t xml:space="preserve"> דיני מדינת ישראל, נוסח חדש 25, עמ' 505; ס"ח </w:t>
      </w:r>
      <w:r>
        <w:rPr>
          <w:rFonts w:hint="cs"/>
          <w:rtl/>
        </w:rPr>
        <w:t>התשע"ח, עמ' 459.</w:t>
      </w:r>
    </w:p>
  </w:footnote>
  <w:footnote w:id="2">
    <w:p w:rsidR="00FB4C24" w:rsidRDefault="00FB4C24" w:rsidP="005E1F4B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ק"ת התשמ"ב, עמ' 525; התשע"ו, עמ' 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679D0"/>
    <w:multiLevelType w:val="hybridMultilevel"/>
    <w:tmpl w:val="6E5C558C"/>
    <w:lvl w:ilvl="0" w:tplc="C9E29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06B8"/>
    <w:multiLevelType w:val="hybridMultilevel"/>
    <w:tmpl w:val="6E5C558C"/>
    <w:lvl w:ilvl="0" w:tplc="C9E29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0823"/>
    <w:multiLevelType w:val="hybridMultilevel"/>
    <w:tmpl w:val="2FC4D3D2"/>
    <w:lvl w:ilvl="0" w:tplc="F95A8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A4BEB"/>
    <w:multiLevelType w:val="hybridMultilevel"/>
    <w:tmpl w:val="0CE0515A"/>
    <w:lvl w:ilvl="0" w:tplc="5CA244FE">
      <w:start w:val="1"/>
      <w:numFmt w:val="decimal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60A9"/>
    <w:multiLevelType w:val="hybridMultilevel"/>
    <w:tmpl w:val="0CE0515A"/>
    <w:lvl w:ilvl="0" w:tplc="5CA244FE">
      <w:start w:val="1"/>
      <w:numFmt w:val="decimal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125B0"/>
    <w:multiLevelType w:val="hybridMultilevel"/>
    <w:tmpl w:val="8CFC298A"/>
    <w:lvl w:ilvl="0" w:tplc="C9E29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C6AED"/>
    <w:multiLevelType w:val="hybridMultilevel"/>
    <w:tmpl w:val="8CFC298A"/>
    <w:lvl w:ilvl="0" w:tplc="C9E29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22F69"/>
    <w:multiLevelType w:val="hybridMultilevel"/>
    <w:tmpl w:val="6E5C558C"/>
    <w:lvl w:ilvl="0" w:tplc="C9E29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36908"/>
    <w:multiLevelType w:val="hybridMultilevel"/>
    <w:tmpl w:val="6E5C558C"/>
    <w:lvl w:ilvl="0" w:tplc="C9E29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A7CE9"/>
    <w:multiLevelType w:val="hybridMultilevel"/>
    <w:tmpl w:val="6E5C558C"/>
    <w:lvl w:ilvl="0" w:tplc="C9E29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37AD0"/>
    <w:multiLevelType w:val="hybridMultilevel"/>
    <w:tmpl w:val="8238282E"/>
    <w:lvl w:ilvl="0" w:tplc="D3D4E8B2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046E9"/>
    <w:multiLevelType w:val="hybridMultilevel"/>
    <w:tmpl w:val="6E5C558C"/>
    <w:lvl w:ilvl="0" w:tplc="C9E29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1612E"/>
    <w:multiLevelType w:val="hybridMultilevel"/>
    <w:tmpl w:val="6E5C558C"/>
    <w:lvl w:ilvl="0" w:tplc="C9E29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63DD4"/>
    <w:multiLevelType w:val="hybridMultilevel"/>
    <w:tmpl w:val="2FC4D3D2"/>
    <w:lvl w:ilvl="0" w:tplc="F95A8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B78DE"/>
    <w:multiLevelType w:val="hybridMultilevel"/>
    <w:tmpl w:val="D736E4C2"/>
    <w:lvl w:ilvl="0" w:tplc="CA7A2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24046"/>
    <w:multiLevelType w:val="hybridMultilevel"/>
    <w:tmpl w:val="2FC4D3D2"/>
    <w:lvl w:ilvl="0" w:tplc="F95A8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97E68"/>
    <w:multiLevelType w:val="hybridMultilevel"/>
    <w:tmpl w:val="F62A6AD6"/>
    <w:lvl w:ilvl="0" w:tplc="0F3A6C04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453756"/>
    <w:multiLevelType w:val="hybridMultilevel"/>
    <w:tmpl w:val="6E5C558C"/>
    <w:lvl w:ilvl="0" w:tplc="C9E29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C2FCE"/>
    <w:multiLevelType w:val="hybridMultilevel"/>
    <w:tmpl w:val="2FC4D3D2"/>
    <w:lvl w:ilvl="0" w:tplc="F95A8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60CB9"/>
    <w:multiLevelType w:val="hybridMultilevel"/>
    <w:tmpl w:val="6E5C558C"/>
    <w:lvl w:ilvl="0" w:tplc="C9E29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A594C"/>
    <w:multiLevelType w:val="hybridMultilevel"/>
    <w:tmpl w:val="1F00AE90"/>
    <w:lvl w:ilvl="0" w:tplc="D3D4E8B2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F62D9"/>
    <w:multiLevelType w:val="hybridMultilevel"/>
    <w:tmpl w:val="6E5C558C"/>
    <w:lvl w:ilvl="0" w:tplc="C9E29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421BD"/>
    <w:multiLevelType w:val="hybridMultilevel"/>
    <w:tmpl w:val="6E5C558C"/>
    <w:lvl w:ilvl="0" w:tplc="C9E29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1182B"/>
    <w:multiLevelType w:val="hybridMultilevel"/>
    <w:tmpl w:val="FD46144C"/>
    <w:lvl w:ilvl="0" w:tplc="F95A8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6115D"/>
    <w:multiLevelType w:val="hybridMultilevel"/>
    <w:tmpl w:val="1F00AE90"/>
    <w:lvl w:ilvl="0" w:tplc="D3D4E8B2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7A6C46"/>
    <w:multiLevelType w:val="hybridMultilevel"/>
    <w:tmpl w:val="3250AF54"/>
    <w:lvl w:ilvl="0" w:tplc="C248D0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64250"/>
    <w:multiLevelType w:val="hybridMultilevel"/>
    <w:tmpl w:val="6E5C558C"/>
    <w:lvl w:ilvl="0" w:tplc="C9E29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2"/>
  </w:num>
  <w:num w:numId="4">
    <w:abstractNumId w:val="15"/>
  </w:num>
  <w:num w:numId="5">
    <w:abstractNumId w:val="18"/>
  </w:num>
  <w:num w:numId="6">
    <w:abstractNumId w:val="23"/>
  </w:num>
  <w:num w:numId="7">
    <w:abstractNumId w:val="2"/>
  </w:num>
  <w:num w:numId="8">
    <w:abstractNumId w:val="6"/>
  </w:num>
  <w:num w:numId="9">
    <w:abstractNumId w:val="7"/>
  </w:num>
  <w:num w:numId="10">
    <w:abstractNumId w:val="12"/>
  </w:num>
  <w:num w:numId="11">
    <w:abstractNumId w:val="4"/>
  </w:num>
  <w:num w:numId="12">
    <w:abstractNumId w:val="3"/>
  </w:num>
  <w:num w:numId="13">
    <w:abstractNumId w:val="26"/>
  </w:num>
  <w:num w:numId="14">
    <w:abstractNumId w:val="14"/>
  </w:num>
  <w:num w:numId="15">
    <w:abstractNumId w:val="16"/>
  </w:num>
  <w:num w:numId="16">
    <w:abstractNumId w:val="24"/>
  </w:num>
  <w:num w:numId="17">
    <w:abstractNumId w:val="5"/>
  </w:num>
  <w:num w:numId="18">
    <w:abstractNumId w:val="10"/>
  </w:num>
  <w:num w:numId="19">
    <w:abstractNumId w:val="0"/>
  </w:num>
  <w:num w:numId="20">
    <w:abstractNumId w:val="11"/>
  </w:num>
  <w:num w:numId="21">
    <w:abstractNumId w:val="9"/>
  </w:num>
  <w:num w:numId="22">
    <w:abstractNumId w:val="17"/>
  </w:num>
  <w:num w:numId="23">
    <w:abstractNumId w:val="19"/>
  </w:num>
  <w:num w:numId="24">
    <w:abstractNumId w:val="13"/>
  </w:num>
  <w:num w:numId="25">
    <w:abstractNumId w:val="1"/>
  </w:num>
  <w:num w:numId="26">
    <w:abstractNumId w:val="27"/>
  </w:num>
  <w:num w:numId="27">
    <w:abstractNumId w:val="8"/>
  </w:num>
  <w:num w:numId="28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F9"/>
    <w:rsid w:val="000022F3"/>
    <w:rsid w:val="000145C4"/>
    <w:rsid w:val="0002024D"/>
    <w:rsid w:val="00020591"/>
    <w:rsid w:val="0002279E"/>
    <w:rsid w:val="00023615"/>
    <w:rsid w:val="000248DE"/>
    <w:rsid w:val="00027D6C"/>
    <w:rsid w:val="00027E63"/>
    <w:rsid w:val="00030B05"/>
    <w:rsid w:val="00031A85"/>
    <w:rsid w:val="0003376B"/>
    <w:rsid w:val="0003558F"/>
    <w:rsid w:val="000362B2"/>
    <w:rsid w:val="00037DEB"/>
    <w:rsid w:val="00042092"/>
    <w:rsid w:val="000505C0"/>
    <w:rsid w:val="000561A5"/>
    <w:rsid w:val="000567FF"/>
    <w:rsid w:val="0005732D"/>
    <w:rsid w:val="00060AF6"/>
    <w:rsid w:val="000629DE"/>
    <w:rsid w:val="00063125"/>
    <w:rsid w:val="0006624A"/>
    <w:rsid w:val="0007002C"/>
    <w:rsid w:val="000703F6"/>
    <w:rsid w:val="0007049D"/>
    <w:rsid w:val="00070C34"/>
    <w:rsid w:val="00073C08"/>
    <w:rsid w:val="00074879"/>
    <w:rsid w:val="00082794"/>
    <w:rsid w:val="00090D2C"/>
    <w:rsid w:val="00097AE6"/>
    <w:rsid w:val="000A43BF"/>
    <w:rsid w:val="000A6E85"/>
    <w:rsid w:val="000B0917"/>
    <w:rsid w:val="000B1F11"/>
    <w:rsid w:val="000B567F"/>
    <w:rsid w:val="000B66E7"/>
    <w:rsid w:val="000B7160"/>
    <w:rsid w:val="000D3DA4"/>
    <w:rsid w:val="000D741E"/>
    <w:rsid w:val="000E1772"/>
    <w:rsid w:val="000F2C59"/>
    <w:rsid w:val="001037FF"/>
    <w:rsid w:val="001068EF"/>
    <w:rsid w:val="00114240"/>
    <w:rsid w:val="0012210D"/>
    <w:rsid w:val="0012395D"/>
    <w:rsid w:val="0012483B"/>
    <w:rsid w:val="00124DBF"/>
    <w:rsid w:val="00130231"/>
    <w:rsid w:val="00130E5E"/>
    <w:rsid w:val="0013563C"/>
    <w:rsid w:val="00135E8C"/>
    <w:rsid w:val="0014067B"/>
    <w:rsid w:val="001421B5"/>
    <w:rsid w:val="00143A10"/>
    <w:rsid w:val="00144060"/>
    <w:rsid w:val="00147223"/>
    <w:rsid w:val="0015392E"/>
    <w:rsid w:val="00154846"/>
    <w:rsid w:val="0015553B"/>
    <w:rsid w:val="00155954"/>
    <w:rsid w:val="00156444"/>
    <w:rsid w:val="00156728"/>
    <w:rsid w:val="00157597"/>
    <w:rsid w:val="00160A00"/>
    <w:rsid w:val="001613D7"/>
    <w:rsid w:val="001617E3"/>
    <w:rsid w:val="00161853"/>
    <w:rsid w:val="001625AC"/>
    <w:rsid w:val="001625EC"/>
    <w:rsid w:val="001632E9"/>
    <w:rsid w:val="0016358D"/>
    <w:rsid w:val="00164D70"/>
    <w:rsid w:val="00173A70"/>
    <w:rsid w:val="00181752"/>
    <w:rsid w:val="001837DB"/>
    <w:rsid w:val="00184D94"/>
    <w:rsid w:val="00187B88"/>
    <w:rsid w:val="00191EC8"/>
    <w:rsid w:val="001925A0"/>
    <w:rsid w:val="001940DD"/>
    <w:rsid w:val="0019584F"/>
    <w:rsid w:val="001974AE"/>
    <w:rsid w:val="001A428F"/>
    <w:rsid w:val="001A4F4B"/>
    <w:rsid w:val="001A5363"/>
    <w:rsid w:val="001A5959"/>
    <w:rsid w:val="001A724B"/>
    <w:rsid w:val="001A7F60"/>
    <w:rsid w:val="001B754D"/>
    <w:rsid w:val="001C0612"/>
    <w:rsid w:val="001C228D"/>
    <w:rsid w:val="001C311D"/>
    <w:rsid w:val="001C5973"/>
    <w:rsid w:val="001C748C"/>
    <w:rsid w:val="001D0309"/>
    <w:rsid w:val="001D1B2D"/>
    <w:rsid w:val="001D4E46"/>
    <w:rsid w:val="001D6F9B"/>
    <w:rsid w:val="001E4CBD"/>
    <w:rsid w:val="001E539E"/>
    <w:rsid w:val="001E6CD2"/>
    <w:rsid w:val="001E7C6B"/>
    <w:rsid w:val="001F2453"/>
    <w:rsid w:val="001F4CFE"/>
    <w:rsid w:val="00200421"/>
    <w:rsid w:val="00200C99"/>
    <w:rsid w:val="00203F27"/>
    <w:rsid w:val="00204747"/>
    <w:rsid w:val="00211738"/>
    <w:rsid w:val="00212A62"/>
    <w:rsid w:val="00217DD2"/>
    <w:rsid w:val="00220738"/>
    <w:rsid w:val="00221AFA"/>
    <w:rsid w:val="002236D0"/>
    <w:rsid w:val="00224339"/>
    <w:rsid w:val="00225747"/>
    <w:rsid w:val="002314DC"/>
    <w:rsid w:val="002361D1"/>
    <w:rsid w:val="00236338"/>
    <w:rsid w:val="00236FB2"/>
    <w:rsid w:val="00240F77"/>
    <w:rsid w:val="00244C18"/>
    <w:rsid w:val="00260AAB"/>
    <w:rsid w:val="0026112C"/>
    <w:rsid w:val="00261860"/>
    <w:rsid w:val="00263D2D"/>
    <w:rsid w:val="00267CE5"/>
    <w:rsid w:val="00274CBB"/>
    <w:rsid w:val="00280DC3"/>
    <w:rsid w:val="00281155"/>
    <w:rsid w:val="0028253E"/>
    <w:rsid w:val="0028302F"/>
    <w:rsid w:val="00284121"/>
    <w:rsid w:val="0029398B"/>
    <w:rsid w:val="00293D0D"/>
    <w:rsid w:val="00297C8D"/>
    <w:rsid w:val="002A54F2"/>
    <w:rsid w:val="002A651D"/>
    <w:rsid w:val="002A7F14"/>
    <w:rsid w:val="002B2682"/>
    <w:rsid w:val="002B33F4"/>
    <w:rsid w:val="002B5113"/>
    <w:rsid w:val="002B71D0"/>
    <w:rsid w:val="002C2C6A"/>
    <w:rsid w:val="002C3A7D"/>
    <w:rsid w:val="002C43D0"/>
    <w:rsid w:val="002C5393"/>
    <w:rsid w:val="002C5931"/>
    <w:rsid w:val="002C76B5"/>
    <w:rsid w:val="002D0492"/>
    <w:rsid w:val="002D0C3E"/>
    <w:rsid w:val="002D1623"/>
    <w:rsid w:val="002D2323"/>
    <w:rsid w:val="002D43A4"/>
    <w:rsid w:val="002D6229"/>
    <w:rsid w:val="002E3425"/>
    <w:rsid w:val="002F01C8"/>
    <w:rsid w:val="002F1447"/>
    <w:rsid w:val="002F37A5"/>
    <w:rsid w:val="00300A77"/>
    <w:rsid w:val="00303875"/>
    <w:rsid w:val="00306453"/>
    <w:rsid w:val="00327210"/>
    <w:rsid w:val="00327919"/>
    <w:rsid w:val="0033066B"/>
    <w:rsid w:val="00332EA8"/>
    <w:rsid w:val="003366C7"/>
    <w:rsid w:val="0034353C"/>
    <w:rsid w:val="0034410E"/>
    <w:rsid w:val="00344D97"/>
    <w:rsid w:val="00345C4A"/>
    <w:rsid w:val="003474AD"/>
    <w:rsid w:val="003561D7"/>
    <w:rsid w:val="00356879"/>
    <w:rsid w:val="00364602"/>
    <w:rsid w:val="00366FBE"/>
    <w:rsid w:val="00367B03"/>
    <w:rsid w:val="00371FA8"/>
    <w:rsid w:val="00372496"/>
    <w:rsid w:val="0037328B"/>
    <w:rsid w:val="00373DDB"/>
    <w:rsid w:val="0037667D"/>
    <w:rsid w:val="00380A0F"/>
    <w:rsid w:val="00380E7A"/>
    <w:rsid w:val="00387A9E"/>
    <w:rsid w:val="0039180E"/>
    <w:rsid w:val="003A27DB"/>
    <w:rsid w:val="003A67D7"/>
    <w:rsid w:val="003B09A9"/>
    <w:rsid w:val="003C126F"/>
    <w:rsid w:val="003D0826"/>
    <w:rsid w:val="003D5CD9"/>
    <w:rsid w:val="003D6834"/>
    <w:rsid w:val="003D7CBE"/>
    <w:rsid w:val="003D7F4F"/>
    <w:rsid w:val="003E0FE1"/>
    <w:rsid w:val="003E11DB"/>
    <w:rsid w:val="003E239D"/>
    <w:rsid w:val="003E24DF"/>
    <w:rsid w:val="003E45DF"/>
    <w:rsid w:val="003E67BA"/>
    <w:rsid w:val="003F0239"/>
    <w:rsid w:val="003F0801"/>
    <w:rsid w:val="003F1141"/>
    <w:rsid w:val="003F3DC7"/>
    <w:rsid w:val="00402A6B"/>
    <w:rsid w:val="00403D45"/>
    <w:rsid w:val="00416863"/>
    <w:rsid w:val="00422224"/>
    <w:rsid w:val="0042472D"/>
    <w:rsid w:val="00424950"/>
    <w:rsid w:val="004255D9"/>
    <w:rsid w:val="00425D72"/>
    <w:rsid w:val="00426439"/>
    <w:rsid w:val="0043102E"/>
    <w:rsid w:val="0043128A"/>
    <w:rsid w:val="004322CF"/>
    <w:rsid w:val="0043293A"/>
    <w:rsid w:val="00433FF3"/>
    <w:rsid w:val="004343D1"/>
    <w:rsid w:val="00442347"/>
    <w:rsid w:val="004431B7"/>
    <w:rsid w:val="00457369"/>
    <w:rsid w:val="00460A0A"/>
    <w:rsid w:val="00460DC2"/>
    <w:rsid w:val="00463C78"/>
    <w:rsid w:val="00463FAE"/>
    <w:rsid w:val="00464483"/>
    <w:rsid w:val="0047595B"/>
    <w:rsid w:val="004768BE"/>
    <w:rsid w:val="004779F6"/>
    <w:rsid w:val="004818A5"/>
    <w:rsid w:val="00481DA7"/>
    <w:rsid w:val="004860E1"/>
    <w:rsid w:val="00490901"/>
    <w:rsid w:val="004915F2"/>
    <w:rsid w:val="00495921"/>
    <w:rsid w:val="00495A31"/>
    <w:rsid w:val="00496059"/>
    <w:rsid w:val="004A3A7E"/>
    <w:rsid w:val="004A4BD5"/>
    <w:rsid w:val="004A51E3"/>
    <w:rsid w:val="004B0CD5"/>
    <w:rsid w:val="004B12DD"/>
    <w:rsid w:val="004B1C3F"/>
    <w:rsid w:val="004B3031"/>
    <w:rsid w:val="004B3DAC"/>
    <w:rsid w:val="004C045D"/>
    <w:rsid w:val="004C473A"/>
    <w:rsid w:val="004C4A5F"/>
    <w:rsid w:val="004D18E2"/>
    <w:rsid w:val="004D3EF4"/>
    <w:rsid w:val="004D6575"/>
    <w:rsid w:val="004D66F6"/>
    <w:rsid w:val="004D69C2"/>
    <w:rsid w:val="004D79B9"/>
    <w:rsid w:val="004E219C"/>
    <w:rsid w:val="004E4A7B"/>
    <w:rsid w:val="004E4DB8"/>
    <w:rsid w:val="004E58C9"/>
    <w:rsid w:val="004E602F"/>
    <w:rsid w:val="004F2DFA"/>
    <w:rsid w:val="00504888"/>
    <w:rsid w:val="00504902"/>
    <w:rsid w:val="00506E5D"/>
    <w:rsid w:val="005076B7"/>
    <w:rsid w:val="005133BB"/>
    <w:rsid w:val="00517101"/>
    <w:rsid w:val="00521BD2"/>
    <w:rsid w:val="00522869"/>
    <w:rsid w:val="0052690F"/>
    <w:rsid w:val="00527255"/>
    <w:rsid w:val="005276A9"/>
    <w:rsid w:val="00534B62"/>
    <w:rsid w:val="005356C0"/>
    <w:rsid w:val="00535AC7"/>
    <w:rsid w:val="0054146B"/>
    <w:rsid w:val="00542663"/>
    <w:rsid w:val="005505F7"/>
    <w:rsid w:val="005507CD"/>
    <w:rsid w:val="00550AAD"/>
    <w:rsid w:val="0056548B"/>
    <w:rsid w:val="0057386F"/>
    <w:rsid w:val="00573CB9"/>
    <w:rsid w:val="005748F1"/>
    <w:rsid w:val="0057633A"/>
    <w:rsid w:val="00582E5B"/>
    <w:rsid w:val="005841EC"/>
    <w:rsid w:val="0058447A"/>
    <w:rsid w:val="00586384"/>
    <w:rsid w:val="0058643B"/>
    <w:rsid w:val="005871B4"/>
    <w:rsid w:val="00593F2F"/>
    <w:rsid w:val="005955B9"/>
    <w:rsid w:val="00595B8D"/>
    <w:rsid w:val="00597376"/>
    <w:rsid w:val="00597637"/>
    <w:rsid w:val="00597ED7"/>
    <w:rsid w:val="005A06BF"/>
    <w:rsid w:val="005A1CE4"/>
    <w:rsid w:val="005A43CA"/>
    <w:rsid w:val="005B6D1E"/>
    <w:rsid w:val="005C1F12"/>
    <w:rsid w:val="005C2C36"/>
    <w:rsid w:val="005D19CC"/>
    <w:rsid w:val="005E07BD"/>
    <w:rsid w:val="005E1258"/>
    <w:rsid w:val="005E1F4B"/>
    <w:rsid w:val="005E1F54"/>
    <w:rsid w:val="005E225B"/>
    <w:rsid w:val="005E329F"/>
    <w:rsid w:val="005E6F4A"/>
    <w:rsid w:val="005E7E0A"/>
    <w:rsid w:val="005F0778"/>
    <w:rsid w:val="005F2A80"/>
    <w:rsid w:val="005F403B"/>
    <w:rsid w:val="005F789A"/>
    <w:rsid w:val="006126C4"/>
    <w:rsid w:val="006144E1"/>
    <w:rsid w:val="0061647A"/>
    <w:rsid w:val="00616EF5"/>
    <w:rsid w:val="00620950"/>
    <w:rsid w:val="0062129E"/>
    <w:rsid w:val="006233B7"/>
    <w:rsid w:val="006264AF"/>
    <w:rsid w:val="00630C7C"/>
    <w:rsid w:val="0063508A"/>
    <w:rsid w:val="00640EDB"/>
    <w:rsid w:val="006432C9"/>
    <w:rsid w:val="0064344B"/>
    <w:rsid w:val="00650799"/>
    <w:rsid w:val="006540E4"/>
    <w:rsid w:val="00655A8F"/>
    <w:rsid w:val="00663732"/>
    <w:rsid w:val="006644BB"/>
    <w:rsid w:val="00664F51"/>
    <w:rsid w:val="00666570"/>
    <w:rsid w:val="00666F16"/>
    <w:rsid w:val="00667F56"/>
    <w:rsid w:val="00670044"/>
    <w:rsid w:val="006728BC"/>
    <w:rsid w:val="00675E7E"/>
    <w:rsid w:val="006918D3"/>
    <w:rsid w:val="00691B64"/>
    <w:rsid w:val="00696E8E"/>
    <w:rsid w:val="006A074E"/>
    <w:rsid w:val="006A73C8"/>
    <w:rsid w:val="006B06F9"/>
    <w:rsid w:val="006B2203"/>
    <w:rsid w:val="006B34A8"/>
    <w:rsid w:val="006B3942"/>
    <w:rsid w:val="006B532A"/>
    <w:rsid w:val="006C1797"/>
    <w:rsid w:val="006C32E2"/>
    <w:rsid w:val="006D00BF"/>
    <w:rsid w:val="006D7568"/>
    <w:rsid w:val="006D7E6F"/>
    <w:rsid w:val="006E0023"/>
    <w:rsid w:val="006E0345"/>
    <w:rsid w:val="006E0A96"/>
    <w:rsid w:val="006E14B5"/>
    <w:rsid w:val="006E1656"/>
    <w:rsid w:val="006E1808"/>
    <w:rsid w:val="006E246E"/>
    <w:rsid w:val="006E3BB2"/>
    <w:rsid w:val="006F416F"/>
    <w:rsid w:val="00705915"/>
    <w:rsid w:val="00710135"/>
    <w:rsid w:val="00710860"/>
    <w:rsid w:val="00714D05"/>
    <w:rsid w:val="00716363"/>
    <w:rsid w:val="007211AD"/>
    <w:rsid w:val="0072336E"/>
    <w:rsid w:val="00724B8E"/>
    <w:rsid w:val="007258B5"/>
    <w:rsid w:val="00725AE1"/>
    <w:rsid w:val="00725F11"/>
    <w:rsid w:val="00730FB5"/>
    <w:rsid w:val="0073467D"/>
    <w:rsid w:val="007367C8"/>
    <w:rsid w:val="00737DA7"/>
    <w:rsid w:val="00740632"/>
    <w:rsid w:val="00744BDF"/>
    <w:rsid w:val="00751FFD"/>
    <w:rsid w:val="0075278A"/>
    <w:rsid w:val="00753187"/>
    <w:rsid w:val="00753498"/>
    <w:rsid w:val="0075389E"/>
    <w:rsid w:val="007545CF"/>
    <w:rsid w:val="0075502E"/>
    <w:rsid w:val="00755B0D"/>
    <w:rsid w:val="007567DE"/>
    <w:rsid w:val="00756E71"/>
    <w:rsid w:val="00757008"/>
    <w:rsid w:val="00757303"/>
    <w:rsid w:val="00760C46"/>
    <w:rsid w:val="00761EB3"/>
    <w:rsid w:val="007652AF"/>
    <w:rsid w:val="00765F35"/>
    <w:rsid w:val="007675E1"/>
    <w:rsid w:val="00771022"/>
    <w:rsid w:val="00777DF9"/>
    <w:rsid w:val="00791631"/>
    <w:rsid w:val="00793CFA"/>
    <w:rsid w:val="00795DEC"/>
    <w:rsid w:val="007963F9"/>
    <w:rsid w:val="007A088B"/>
    <w:rsid w:val="007A34CE"/>
    <w:rsid w:val="007A41DA"/>
    <w:rsid w:val="007A459F"/>
    <w:rsid w:val="007A4A62"/>
    <w:rsid w:val="007A6942"/>
    <w:rsid w:val="007B16E1"/>
    <w:rsid w:val="007B1EDD"/>
    <w:rsid w:val="007B320E"/>
    <w:rsid w:val="007B3447"/>
    <w:rsid w:val="007B4617"/>
    <w:rsid w:val="007B5AE2"/>
    <w:rsid w:val="007B7B1E"/>
    <w:rsid w:val="007C2F39"/>
    <w:rsid w:val="007C63D6"/>
    <w:rsid w:val="007C73D6"/>
    <w:rsid w:val="007C7FE6"/>
    <w:rsid w:val="007D0593"/>
    <w:rsid w:val="007D0C2F"/>
    <w:rsid w:val="007D12C7"/>
    <w:rsid w:val="007E1BE3"/>
    <w:rsid w:val="007E3460"/>
    <w:rsid w:val="007E615A"/>
    <w:rsid w:val="007E708E"/>
    <w:rsid w:val="007F0B37"/>
    <w:rsid w:val="007F3DCA"/>
    <w:rsid w:val="007F69DE"/>
    <w:rsid w:val="008020C6"/>
    <w:rsid w:val="00803BB5"/>
    <w:rsid w:val="008047DE"/>
    <w:rsid w:val="0081039F"/>
    <w:rsid w:val="008113D1"/>
    <w:rsid w:val="00813BE4"/>
    <w:rsid w:val="00817125"/>
    <w:rsid w:val="008171A3"/>
    <w:rsid w:val="00820B85"/>
    <w:rsid w:val="008213B4"/>
    <w:rsid w:val="00825545"/>
    <w:rsid w:val="008269AB"/>
    <w:rsid w:val="0083092D"/>
    <w:rsid w:val="00832595"/>
    <w:rsid w:val="00832BA2"/>
    <w:rsid w:val="0083405F"/>
    <w:rsid w:val="00834C4A"/>
    <w:rsid w:val="00836D34"/>
    <w:rsid w:val="0084358B"/>
    <w:rsid w:val="008435FB"/>
    <w:rsid w:val="00843915"/>
    <w:rsid w:val="00846C5D"/>
    <w:rsid w:val="0085046B"/>
    <w:rsid w:val="00852B94"/>
    <w:rsid w:val="00852E01"/>
    <w:rsid w:val="00853D79"/>
    <w:rsid w:val="00853E1A"/>
    <w:rsid w:val="008545FD"/>
    <w:rsid w:val="00855242"/>
    <w:rsid w:val="00856E1F"/>
    <w:rsid w:val="008611B3"/>
    <w:rsid w:val="00867D90"/>
    <w:rsid w:val="00872A4E"/>
    <w:rsid w:val="00872EC2"/>
    <w:rsid w:val="008775FE"/>
    <w:rsid w:val="00880323"/>
    <w:rsid w:val="0088450E"/>
    <w:rsid w:val="00887B04"/>
    <w:rsid w:val="008912FE"/>
    <w:rsid w:val="00891A01"/>
    <w:rsid w:val="008946F8"/>
    <w:rsid w:val="0089508D"/>
    <w:rsid w:val="00895A63"/>
    <w:rsid w:val="00896136"/>
    <w:rsid w:val="008A1917"/>
    <w:rsid w:val="008A1F9A"/>
    <w:rsid w:val="008A46B7"/>
    <w:rsid w:val="008A4EB2"/>
    <w:rsid w:val="008B0E47"/>
    <w:rsid w:val="008B196D"/>
    <w:rsid w:val="008B1E86"/>
    <w:rsid w:val="008B1E9A"/>
    <w:rsid w:val="008D1CD8"/>
    <w:rsid w:val="008D270B"/>
    <w:rsid w:val="008D5835"/>
    <w:rsid w:val="008D58D0"/>
    <w:rsid w:val="008E3427"/>
    <w:rsid w:val="008E51CC"/>
    <w:rsid w:val="008E7376"/>
    <w:rsid w:val="00911AED"/>
    <w:rsid w:val="00911D91"/>
    <w:rsid w:val="00913007"/>
    <w:rsid w:val="00913154"/>
    <w:rsid w:val="009200B9"/>
    <w:rsid w:val="0092257D"/>
    <w:rsid w:val="009240AF"/>
    <w:rsid w:val="00932F74"/>
    <w:rsid w:val="00933C8D"/>
    <w:rsid w:val="00946293"/>
    <w:rsid w:val="00950BE1"/>
    <w:rsid w:val="00950E61"/>
    <w:rsid w:val="009528D9"/>
    <w:rsid w:val="00956C20"/>
    <w:rsid w:val="0096015D"/>
    <w:rsid w:val="00962027"/>
    <w:rsid w:val="00966DF8"/>
    <w:rsid w:val="00973242"/>
    <w:rsid w:val="00977983"/>
    <w:rsid w:val="00980A0E"/>
    <w:rsid w:val="00981C89"/>
    <w:rsid w:val="00986FB2"/>
    <w:rsid w:val="0098772D"/>
    <w:rsid w:val="009940BD"/>
    <w:rsid w:val="0099502A"/>
    <w:rsid w:val="00995761"/>
    <w:rsid w:val="009B3486"/>
    <w:rsid w:val="009B3BC5"/>
    <w:rsid w:val="009B53B6"/>
    <w:rsid w:val="009B77BA"/>
    <w:rsid w:val="009C6C17"/>
    <w:rsid w:val="009D1748"/>
    <w:rsid w:val="009D5EE1"/>
    <w:rsid w:val="009D66AD"/>
    <w:rsid w:val="009D7C95"/>
    <w:rsid w:val="009E0D70"/>
    <w:rsid w:val="009F65F5"/>
    <w:rsid w:val="00A00501"/>
    <w:rsid w:val="00A044BD"/>
    <w:rsid w:val="00A05642"/>
    <w:rsid w:val="00A073F5"/>
    <w:rsid w:val="00A07D44"/>
    <w:rsid w:val="00A13E36"/>
    <w:rsid w:val="00A162F8"/>
    <w:rsid w:val="00A205F3"/>
    <w:rsid w:val="00A207F9"/>
    <w:rsid w:val="00A23ADF"/>
    <w:rsid w:val="00A31BF4"/>
    <w:rsid w:val="00A32A6C"/>
    <w:rsid w:val="00A345A4"/>
    <w:rsid w:val="00A415C2"/>
    <w:rsid w:val="00A50A9D"/>
    <w:rsid w:val="00A617E0"/>
    <w:rsid w:val="00A64DCC"/>
    <w:rsid w:val="00A7463B"/>
    <w:rsid w:val="00A75608"/>
    <w:rsid w:val="00A92C82"/>
    <w:rsid w:val="00A93AC5"/>
    <w:rsid w:val="00A95A66"/>
    <w:rsid w:val="00A96113"/>
    <w:rsid w:val="00A964D8"/>
    <w:rsid w:val="00A9676D"/>
    <w:rsid w:val="00AA0CA5"/>
    <w:rsid w:val="00AA47B4"/>
    <w:rsid w:val="00AA7E16"/>
    <w:rsid w:val="00AB104A"/>
    <w:rsid w:val="00AB1E2B"/>
    <w:rsid w:val="00AB3B91"/>
    <w:rsid w:val="00AB42C8"/>
    <w:rsid w:val="00AB5BB2"/>
    <w:rsid w:val="00AB6598"/>
    <w:rsid w:val="00AC16D1"/>
    <w:rsid w:val="00AC170B"/>
    <w:rsid w:val="00AC2C9C"/>
    <w:rsid w:val="00AC3F90"/>
    <w:rsid w:val="00AD006A"/>
    <w:rsid w:val="00AD26A3"/>
    <w:rsid w:val="00AD3874"/>
    <w:rsid w:val="00AD7574"/>
    <w:rsid w:val="00AE5B09"/>
    <w:rsid w:val="00AE781E"/>
    <w:rsid w:val="00AF3176"/>
    <w:rsid w:val="00AF3533"/>
    <w:rsid w:val="00AF69EE"/>
    <w:rsid w:val="00AF6FA1"/>
    <w:rsid w:val="00B05F43"/>
    <w:rsid w:val="00B0617C"/>
    <w:rsid w:val="00B12409"/>
    <w:rsid w:val="00B153B4"/>
    <w:rsid w:val="00B16A85"/>
    <w:rsid w:val="00B179A5"/>
    <w:rsid w:val="00B23F67"/>
    <w:rsid w:val="00B30C6B"/>
    <w:rsid w:val="00B33979"/>
    <w:rsid w:val="00B341EA"/>
    <w:rsid w:val="00B36A81"/>
    <w:rsid w:val="00B37613"/>
    <w:rsid w:val="00B37DFE"/>
    <w:rsid w:val="00B471FB"/>
    <w:rsid w:val="00B533AA"/>
    <w:rsid w:val="00B552E6"/>
    <w:rsid w:val="00B55ACE"/>
    <w:rsid w:val="00B55EEF"/>
    <w:rsid w:val="00B5667F"/>
    <w:rsid w:val="00B56CF3"/>
    <w:rsid w:val="00B607B7"/>
    <w:rsid w:val="00B637D6"/>
    <w:rsid w:val="00B6790D"/>
    <w:rsid w:val="00B704AF"/>
    <w:rsid w:val="00B70631"/>
    <w:rsid w:val="00B74719"/>
    <w:rsid w:val="00B81488"/>
    <w:rsid w:val="00B877BD"/>
    <w:rsid w:val="00B92FC7"/>
    <w:rsid w:val="00B931B7"/>
    <w:rsid w:val="00B96FE4"/>
    <w:rsid w:val="00BA565F"/>
    <w:rsid w:val="00BB0B88"/>
    <w:rsid w:val="00BB2E38"/>
    <w:rsid w:val="00BB5DCC"/>
    <w:rsid w:val="00BC049B"/>
    <w:rsid w:val="00BC12AB"/>
    <w:rsid w:val="00BC58C5"/>
    <w:rsid w:val="00BC661F"/>
    <w:rsid w:val="00BD339A"/>
    <w:rsid w:val="00BD421C"/>
    <w:rsid w:val="00BE281C"/>
    <w:rsid w:val="00BE407F"/>
    <w:rsid w:val="00BF1D5D"/>
    <w:rsid w:val="00BF5608"/>
    <w:rsid w:val="00BF6125"/>
    <w:rsid w:val="00BF62C8"/>
    <w:rsid w:val="00BF7EAF"/>
    <w:rsid w:val="00C0046A"/>
    <w:rsid w:val="00C06DD8"/>
    <w:rsid w:val="00C10480"/>
    <w:rsid w:val="00C1776D"/>
    <w:rsid w:val="00C2530E"/>
    <w:rsid w:val="00C25ACE"/>
    <w:rsid w:val="00C275AB"/>
    <w:rsid w:val="00C32D48"/>
    <w:rsid w:val="00C33F6F"/>
    <w:rsid w:val="00C3411F"/>
    <w:rsid w:val="00C37E26"/>
    <w:rsid w:val="00C426B6"/>
    <w:rsid w:val="00C456F8"/>
    <w:rsid w:val="00C46F65"/>
    <w:rsid w:val="00C52AAA"/>
    <w:rsid w:val="00C52C52"/>
    <w:rsid w:val="00C56AAB"/>
    <w:rsid w:val="00C62A6C"/>
    <w:rsid w:val="00C633F2"/>
    <w:rsid w:val="00C644DC"/>
    <w:rsid w:val="00C67A50"/>
    <w:rsid w:val="00C74FF1"/>
    <w:rsid w:val="00C76DCC"/>
    <w:rsid w:val="00C77EC1"/>
    <w:rsid w:val="00C80AFE"/>
    <w:rsid w:val="00C81025"/>
    <w:rsid w:val="00C81D69"/>
    <w:rsid w:val="00C83124"/>
    <w:rsid w:val="00C859D2"/>
    <w:rsid w:val="00C8604C"/>
    <w:rsid w:val="00C93FCD"/>
    <w:rsid w:val="00C95502"/>
    <w:rsid w:val="00CA1C14"/>
    <w:rsid w:val="00CA7EC4"/>
    <w:rsid w:val="00CB5519"/>
    <w:rsid w:val="00CC3641"/>
    <w:rsid w:val="00CC44D7"/>
    <w:rsid w:val="00CC4E58"/>
    <w:rsid w:val="00CC6664"/>
    <w:rsid w:val="00CC67C9"/>
    <w:rsid w:val="00CD0DB5"/>
    <w:rsid w:val="00CD1758"/>
    <w:rsid w:val="00CD2D3E"/>
    <w:rsid w:val="00CD499A"/>
    <w:rsid w:val="00CD4DD9"/>
    <w:rsid w:val="00CD7F7B"/>
    <w:rsid w:val="00CE26B9"/>
    <w:rsid w:val="00CE437E"/>
    <w:rsid w:val="00CE5BFB"/>
    <w:rsid w:val="00CE7B57"/>
    <w:rsid w:val="00CF37EB"/>
    <w:rsid w:val="00CF4CBB"/>
    <w:rsid w:val="00CF5358"/>
    <w:rsid w:val="00D00117"/>
    <w:rsid w:val="00D02CFC"/>
    <w:rsid w:val="00D057AF"/>
    <w:rsid w:val="00D057D2"/>
    <w:rsid w:val="00D1051F"/>
    <w:rsid w:val="00D10F68"/>
    <w:rsid w:val="00D1385C"/>
    <w:rsid w:val="00D14E32"/>
    <w:rsid w:val="00D1594E"/>
    <w:rsid w:val="00D174DD"/>
    <w:rsid w:val="00D21AE6"/>
    <w:rsid w:val="00D249B6"/>
    <w:rsid w:val="00D308DC"/>
    <w:rsid w:val="00D31E54"/>
    <w:rsid w:val="00D33A7F"/>
    <w:rsid w:val="00D34104"/>
    <w:rsid w:val="00D34EAE"/>
    <w:rsid w:val="00D40D18"/>
    <w:rsid w:val="00D4247B"/>
    <w:rsid w:val="00D44824"/>
    <w:rsid w:val="00D512BD"/>
    <w:rsid w:val="00D60512"/>
    <w:rsid w:val="00D64F37"/>
    <w:rsid w:val="00D654AD"/>
    <w:rsid w:val="00D65578"/>
    <w:rsid w:val="00D669AA"/>
    <w:rsid w:val="00D7690F"/>
    <w:rsid w:val="00D8252A"/>
    <w:rsid w:val="00D874A2"/>
    <w:rsid w:val="00D92C71"/>
    <w:rsid w:val="00D92EDF"/>
    <w:rsid w:val="00D92FD5"/>
    <w:rsid w:val="00D93F36"/>
    <w:rsid w:val="00D960ED"/>
    <w:rsid w:val="00D975B0"/>
    <w:rsid w:val="00DA1D66"/>
    <w:rsid w:val="00DA3C46"/>
    <w:rsid w:val="00DA7F44"/>
    <w:rsid w:val="00DB0B91"/>
    <w:rsid w:val="00DB441E"/>
    <w:rsid w:val="00DB5802"/>
    <w:rsid w:val="00DC7703"/>
    <w:rsid w:val="00DC7E0F"/>
    <w:rsid w:val="00DD1650"/>
    <w:rsid w:val="00DD2F6E"/>
    <w:rsid w:val="00DD3E05"/>
    <w:rsid w:val="00DD4328"/>
    <w:rsid w:val="00DD56FA"/>
    <w:rsid w:val="00DD5F25"/>
    <w:rsid w:val="00DD7516"/>
    <w:rsid w:val="00DE04C0"/>
    <w:rsid w:val="00DE0D00"/>
    <w:rsid w:val="00DF7FF4"/>
    <w:rsid w:val="00E00AE1"/>
    <w:rsid w:val="00E020BD"/>
    <w:rsid w:val="00E06FAA"/>
    <w:rsid w:val="00E071A8"/>
    <w:rsid w:val="00E0778D"/>
    <w:rsid w:val="00E13752"/>
    <w:rsid w:val="00E17CFC"/>
    <w:rsid w:val="00E236EC"/>
    <w:rsid w:val="00E24E13"/>
    <w:rsid w:val="00E305AA"/>
    <w:rsid w:val="00E33270"/>
    <w:rsid w:val="00E33BF4"/>
    <w:rsid w:val="00E33ED9"/>
    <w:rsid w:val="00E379C5"/>
    <w:rsid w:val="00E401F1"/>
    <w:rsid w:val="00E40F01"/>
    <w:rsid w:val="00E4119E"/>
    <w:rsid w:val="00E4303D"/>
    <w:rsid w:val="00E4550B"/>
    <w:rsid w:val="00E470A1"/>
    <w:rsid w:val="00E47201"/>
    <w:rsid w:val="00E47BCB"/>
    <w:rsid w:val="00E53250"/>
    <w:rsid w:val="00E537A3"/>
    <w:rsid w:val="00E55183"/>
    <w:rsid w:val="00E66DEE"/>
    <w:rsid w:val="00E71209"/>
    <w:rsid w:val="00E729D6"/>
    <w:rsid w:val="00E73B90"/>
    <w:rsid w:val="00E751A5"/>
    <w:rsid w:val="00E80281"/>
    <w:rsid w:val="00E869F6"/>
    <w:rsid w:val="00E90045"/>
    <w:rsid w:val="00E90A87"/>
    <w:rsid w:val="00E91D94"/>
    <w:rsid w:val="00E9206C"/>
    <w:rsid w:val="00E949A8"/>
    <w:rsid w:val="00E95DD4"/>
    <w:rsid w:val="00EA099E"/>
    <w:rsid w:val="00EA0BD8"/>
    <w:rsid w:val="00EA3AEA"/>
    <w:rsid w:val="00EA5731"/>
    <w:rsid w:val="00EA5C84"/>
    <w:rsid w:val="00EA795E"/>
    <w:rsid w:val="00EA7FDB"/>
    <w:rsid w:val="00EB05AB"/>
    <w:rsid w:val="00EB5B0B"/>
    <w:rsid w:val="00EB6566"/>
    <w:rsid w:val="00EC1361"/>
    <w:rsid w:val="00EC22D6"/>
    <w:rsid w:val="00EC449B"/>
    <w:rsid w:val="00EC66B4"/>
    <w:rsid w:val="00ED4791"/>
    <w:rsid w:val="00ED51F4"/>
    <w:rsid w:val="00ED6708"/>
    <w:rsid w:val="00EE1016"/>
    <w:rsid w:val="00EE4932"/>
    <w:rsid w:val="00EE4EFB"/>
    <w:rsid w:val="00EE75E9"/>
    <w:rsid w:val="00EF25F3"/>
    <w:rsid w:val="00EF302F"/>
    <w:rsid w:val="00EF7D4C"/>
    <w:rsid w:val="00EF7F7E"/>
    <w:rsid w:val="00F079C9"/>
    <w:rsid w:val="00F14A42"/>
    <w:rsid w:val="00F27842"/>
    <w:rsid w:val="00F36061"/>
    <w:rsid w:val="00F416F7"/>
    <w:rsid w:val="00F41F74"/>
    <w:rsid w:val="00F42661"/>
    <w:rsid w:val="00F43A8D"/>
    <w:rsid w:val="00F44B77"/>
    <w:rsid w:val="00F44BE9"/>
    <w:rsid w:val="00F54793"/>
    <w:rsid w:val="00F55BBC"/>
    <w:rsid w:val="00F61931"/>
    <w:rsid w:val="00F676EB"/>
    <w:rsid w:val="00F70D84"/>
    <w:rsid w:val="00F75C60"/>
    <w:rsid w:val="00F83D54"/>
    <w:rsid w:val="00F83DDB"/>
    <w:rsid w:val="00F8422F"/>
    <w:rsid w:val="00F844DA"/>
    <w:rsid w:val="00F84C18"/>
    <w:rsid w:val="00F84F43"/>
    <w:rsid w:val="00F85F11"/>
    <w:rsid w:val="00F86AAD"/>
    <w:rsid w:val="00F86EFE"/>
    <w:rsid w:val="00F90C8A"/>
    <w:rsid w:val="00F929D9"/>
    <w:rsid w:val="00F94DC7"/>
    <w:rsid w:val="00F965BE"/>
    <w:rsid w:val="00F9731A"/>
    <w:rsid w:val="00FB27DE"/>
    <w:rsid w:val="00FB4C24"/>
    <w:rsid w:val="00FB5995"/>
    <w:rsid w:val="00FB64DF"/>
    <w:rsid w:val="00FB7F65"/>
    <w:rsid w:val="00FC1BCA"/>
    <w:rsid w:val="00FC7558"/>
    <w:rsid w:val="00FC75CB"/>
    <w:rsid w:val="00FD286E"/>
    <w:rsid w:val="00FD611C"/>
    <w:rsid w:val="00FD6264"/>
    <w:rsid w:val="00FE7705"/>
    <w:rsid w:val="00FE7BC4"/>
    <w:rsid w:val="00FE7F45"/>
    <w:rsid w:val="00FF04BF"/>
    <w:rsid w:val="00FF177D"/>
    <w:rsid w:val="00FF1DE3"/>
    <w:rsid w:val="00FF2A66"/>
    <w:rsid w:val="00FF49B5"/>
    <w:rsid w:val="00FF5424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6ABB51-B0DA-4CCB-B96B-0CC3B4D3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6F9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1B754D"/>
    <w:pPr>
      <w:keepNext/>
      <w:widowControl/>
      <w:autoSpaceDE/>
      <w:autoSpaceDN/>
      <w:adjustRightInd/>
      <w:spacing w:before="0" w:line="240" w:lineRule="auto"/>
      <w:ind w:firstLine="0"/>
      <w:jc w:val="center"/>
      <w:textAlignment w:val="auto"/>
      <w:outlineLvl w:val="0"/>
    </w:pPr>
    <w:rPr>
      <w:rFonts w:ascii="Times New Roman" w:eastAsia="Times New Roman" w:hAnsi="Times New Roman" w:cs="David"/>
      <w:b/>
      <w:bCs/>
      <w:color w:val="auto"/>
      <w:spacing w:val="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54D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1B754D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rsid w:val="006B06F9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6B06F9"/>
  </w:style>
  <w:style w:type="paragraph" w:customStyle="1" w:styleId="TableBlock">
    <w:name w:val="Table Block"/>
    <w:basedOn w:val="TableText"/>
    <w:rsid w:val="006B06F9"/>
    <w:pPr>
      <w:ind w:right="0"/>
      <w:jc w:val="both"/>
    </w:pPr>
  </w:style>
  <w:style w:type="paragraph" w:customStyle="1" w:styleId="TableHead">
    <w:name w:val="Table Head"/>
    <w:basedOn w:val="TableText"/>
    <w:rsid w:val="006B06F9"/>
    <w:pPr>
      <w:ind w:right="0"/>
      <w:jc w:val="center"/>
    </w:pPr>
    <w:rPr>
      <w:b/>
      <w:bCs/>
    </w:rPr>
  </w:style>
  <w:style w:type="paragraph" w:customStyle="1" w:styleId="HeadMitparsemetBaze">
    <w:name w:val="Head MitparsemetBaze"/>
    <w:basedOn w:val="a"/>
    <w:rsid w:val="006B06F9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6B06F9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sberWriters">
    <w:name w:val="Hesber Writers"/>
    <w:basedOn w:val="Hesber"/>
    <w:rsid w:val="006B06F9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6B06F9"/>
    <w:pPr>
      <w:tabs>
        <w:tab w:val="left" w:pos="680"/>
        <w:tab w:val="left" w:pos="1020"/>
      </w:tabs>
      <w:ind w:firstLine="0"/>
    </w:pPr>
  </w:style>
  <w:style w:type="paragraph" w:customStyle="1" w:styleId="HeadDivreiHesber">
    <w:name w:val="Head DivreiHesber"/>
    <w:basedOn w:val="a"/>
    <w:rsid w:val="006B06F9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HeadHatzaotHok4Futer">
    <w:name w:val="Head HatzaotHok4Futer"/>
    <w:basedOn w:val="HeadHatzaotHok"/>
    <w:rsid w:val="006B06F9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semiHidden/>
    <w:rsid w:val="006B06F9"/>
    <w:pPr>
      <w:ind w:left="227" w:hanging="227"/>
    </w:pPr>
    <w:rPr>
      <w:sz w:val="14"/>
      <w:szCs w:val="22"/>
    </w:rPr>
  </w:style>
  <w:style w:type="character" w:customStyle="1" w:styleId="a4">
    <w:name w:val="טקסט הערת סיום תו"/>
    <w:basedOn w:val="a0"/>
    <w:link w:val="a3"/>
    <w:semiHidden/>
    <w:rsid w:val="006B06F9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6B06F9"/>
  </w:style>
  <w:style w:type="paragraph" w:customStyle="1" w:styleId="Hesber">
    <w:name w:val="Hesber"/>
    <w:basedOn w:val="a"/>
    <w:rsid w:val="006B06F9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5">
    <w:name w:val="footnote text"/>
    <w:basedOn w:val="a"/>
    <w:link w:val="a6"/>
    <w:autoRedefine/>
    <w:semiHidden/>
    <w:rsid w:val="006B06F9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6">
    <w:name w:val="טקסט הערת שוליים תו"/>
    <w:basedOn w:val="a0"/>
    <w:link w:val="a5"/>
    <w:semiHidden/>
    <w:rsid w:val="006B06F9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7">
    <w:name w:val="footnote reference"/>
    <w:aliases w:val="Footnote Reference"/>
    <w:basedOn w:val="a0"/>
    <w:semiHidden/>
    <w:rsid w:val="006B06F9"/>
    <w:rPr>
      <w:vertAlign w:val="superscript"/>
    </w:rPr>
  </w:style>
  <w:style w:type="paragraph" w:customStyle="1" w:styleId="HesberHeading">
    <w:name w:val="Hesber Heading"/>
    <w:basedOn w:val="Hesber"/>
    <w:rsid w:val="006B06F9"/>
    <w:pPr>
      <w:tabs>
        <w:tab w:val="left" w:pos="624"/>
        <w:tab w:val="left" w:pos="1247"/>
      </w:tabs>
      <w:ind w:firstLine="0"/>
    </w:pPr>
    <w:rPr>
      <w:b/>
      <w:bCs/>
    </w:rPr>
  </w:style>
  <w:style w:type="character" w:styleId="a8">
    <w:name w:val="endnote reference"/>
    <w:basedOn w:val="a0"/>
    <w:semiHidden/>
    <w:rsid w:val="006B06F9"/>
    <w:rPr>
      <w:vertAlign w:val="superscript"/>
    </w:rPr>
  </w:style>
  <w:style w:type="paragraph" w:customStyle="1" w:styleId="TableBlockOutdent">
    <w:name w:val="Table BlockOutdent"/>
    <w:basedOn w:val="TableBlock"/>
    <w:rsid w:val="006B06F9"/>
    <w:pPr>
      <w:ind w:left="624" w:hanging="624"/>
    </w:pPr>
  </w:style>
  <w:style w:type="paragraph" w:styleId="a9">
    <w:name w:val="header"/>
    <w:basedOn w:val="a"/>
    <w:link w:val="aa"/>
    <w:rsid w:val="006B06F9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6B06F9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b">
    <w:name w:val="footer"/>
    <w:basedOn w:val="a"/>
    <w:link w:val="ac"/>
    <w:uiPriority w:val="99"/>
    <w:rsid w:val="006B06F9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uiPriority w:val="99"/>
    <w:rsid w:val="006B06F9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d">
    <w:name w:val="page number"/>
    <w:basedOn w:val="a0"/>
    <w:rsid w:val="006B06F9"/>
  </w:style>
  <w:style w:type="paragraph" w:customStyle="1" w:styleId="Cover1-Reshumot">
    <w:name w:val="Cover 1-Reshumot"/>
    <w:basedOn w:val="a"/>
    <w:rsid w:val="006B06F9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6B06F9"/>
    <w:rPr>
      <w:sz w:val="36"/>
      <w:szCs w:val="52"/>
    </w:rPr>
  </w:style>
  <w:style w:type="paragraph" w:customStyle="1" w:styleId="Cover3-Haknesset">
    <w:name w:val="Cover 3-Haknesset"/>
    <w:basedOn w:val="Cover1-Reshumot"/>
    <w:rsid w:val="006B06F9"/>
    <w:rPr>
      <w:b/>
      <w:bCs/>
      <w:spacing w:val="60"/>
    </w:rPr>
  </w:style>
  <w:style w:type="paragraph" w:customStyle="1" w:styleId="Cover4-Date">
    <w:name w:val="Cover 4-Date"/>
    <w:basedOn w:val="a"/>
    <w:rsid w:val="006B06F9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6B06F9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character" w:customStyle="1" w:styleId="default">
    <w:name w:val="default"/>
    <w:rsid w:val="000B567F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0B567F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styleId="2">
    <w:name w:val="Body Text 2"/>
    <w:basedOn w:val="a"/>
    <w:link w:val="20"/>
    <w:rsid w:val="000B567F"/>
    <w:pPr>
      <w:widowControl/>
      <w:autoSpaceDE/>
      <w:autoSpaceDN/>
      <w:adjustRightInd/>
      <w:spacing w:before="0" w:line="240" w:lineRule="auto"/>
      <w:ind w:firstLine="0"/>
      <w:textAlignment w:val="auto"/>
    </w:pPr>
    <w:rPr>
      <w:rFonts w:ascii="Times New Roman" w:eastAsia="Times New Roman" w:hAnsi="Times New Roman" w:cs="David"/>
      <w:color w:val="auto"/>
      <w:spacing w:val="0"/>
      <w:sz w:val="24"/>
      <w:szCs w:val="24"/>
      <w:lang w:eastAsia="en-US"/>
    </w:rPr>
  </w:style>
  <w:style w:type="character" w:customStyle="1" w:styleId="20">
    <w:name w:val="גוף טקסט 2 תו"/>
    <w:basedOn w:val="a0"/>
    <w:link w:val="2"/>
    <w:rsid w:val="000B567F"/>
    <w:rPr>
      <w:rFonts w:ascii="Times New Roman" w:eastAsia="Times New Roman" w:hAnsi="Times New Roman" w:cs="David"/>
      <w:sz w:val="24"/>
      <w:szCs w:val="24"/>
    </w:rPr>
  </w:style>
  <w:style w:type="character" w:customStyle="1" w:styleId="10">
    <w:name w:val="כותרת 1 תו"/>
    <w:basedOn w:val="a0"/>
    <w:link w:val="1"/>
    <w:rsid w:val="001B754D"/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1B75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כותרת 5 תו"/>
    <w:basedOn w:val="a0"/>
    <w:link w:val="5"/>
    <w:uiPriority w:val="9"/>
    <w:semiHidden/>
    <w:rsid w:val="001B754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List Paragraph"/>
    <w:basedOn w:val="a"/>
    <w:uiPriority w:val="34"/>
    <w:qFormat/>
    <w:rsid w:val="001B754D"/>
    <w:pPr>
      <w:widowControl/>
      <w:autoSpaceDE/>
      <w:autoSpaceDN/>
      <w:adjustRightInd/>
      <w:spacing w:before="0" w:after="200" w:line="276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paragraph" w:customStyle="1" w:styleId="P22">
    <w:name w:val="P22"/>
    <w:basedOn w:val="P00"/>
    <w:rsid w:val="001B754D"/>
    <w:pPr>
      <w:tabs>
        <w:tab w:val="clear" w:pos="624"/>
        <w:tab w:val="clear" w:pos="1021"/>
      </w:tabs>
      <w:ind w:right="1021"/>
    </w:pPr>
  </w:style>
  <w:style w:type="paragraph" w:styleId="af">
    <w:name w:val="Balloon Text"/>
    <w:basedOn w:val="a"/>
    <w:link w:val="af0"/>
    <w:uiPriority w:val="99"/>
    <w:semiHidden/>
    <w:unhideWhenUsed/>
    <w:rsid w:val="00EC449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EC449B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character" w:customStyle="1" w:styleId="apple-converted-space">
    <w:name w:val="apple-converted-space"/>
    <w:basedOn w:val="a0"/>
    <w:rsid w:val="00E33ED9"/>
  </w:style>
  <w:style w:type="character" w:styleId="af1">
    <w:name w:val="annotation reference"/>
    <w:basedOn w:val="a0"/>
    <w:uiPriority w:val="99"/>
    <w:unhideWhenUsed/>
    <w:rsid w:val="00A162F8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A162F8"/>
    <w:pPr>
      <w:spacing w:line="240" w:lineRule="auto"/>
    </w:pPr>
    <w:rPr>
      <w:sz w:val="20"/>
      <w:szCs w:val="20"/>
    </w:rPr>
  </w:style>
  <w:style w:type="character" w:customStyle="1" w:styleId="af3">
    <w:name w:val="טקסט הערה תו"/>
    <w:basedOn w:val="a0"/>
    <w:link w:val="af2"/>
    <w:uiPriority w:val="99"/>
    <w:rsid w:val="00A162F8"/>
    <w:rPr>
      <w:rFonts w:ascii="Hadasa Roso SL" w:eastAsia="MS Mincho" w:hAnsi="Hadasa Roso SL" w:cs="Hadasa Roso SL"/>
      <w:color w:val="000000"/>
      <w:spacing w:val="1"/>
      <w:sz w:val="20"/>
      <w:szCs w:val="20"/>
      <w:lang w:eastAsia="ja-JP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162F8"/>
    <w:rPr>
      <w:b/>
      <w:bCs/>
    </w:rPr>
  </w:style>
  <w:style w:type="character" w:customStyle="1" w:styleId="af5">
    <w:name w:val="נושא הערה תו"/>
    <w:basedOn w:val="af3"/>
    <w:link w:val="af4"/>
    <w:uiPriority w:val="99"/>
    <w:semiHidden/>
    <w:rsid w:val="00A162F8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paragraph" w:styleId="af6">
    <w:name w:val="Revision"/>
    <w:hidden/>
    <w:uiPriority w:val="99"/>
    <w:semiHidden/>
    <w:rsid w:val="00A162F8"/>
    <w:pPr>
      <w:spacing w:after="0" w:line="240" w:lineRule="auto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customStyle="1" w:styleId="big-header">
    <w:name w:val="big-header"/>
    <w:basedOn w:val="a"/>
    <w:rsid w:val="006F416F"/>
    <w:pPr>
      <w:keepNext/>
      <w:keepLines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djustRightInd/>
      <w:spacing w:before="440" w:after="120" w:line="240" w:lineRule="auto"/>
      <w:ind w:left="2835" w:firstLine="0"/>
      <w:jc w:val="center"/>
      <w:textAlignment w:val="auto"/>
    </w:pPr>
    <w:rPr>
      <w:rFonts w:ascii="Times New Roman" w:eastAsia="Times New Roman" w:hAnsi="Times New Roman" w:cs="Times New Roman"/>
      <w:noProof/>
      <w:color w:val="auto"/>
      <w:spacing w:val="0"/>
      <w:sz w:val="20"/>
      <w:szCs w:val="3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0BA58B-2C99-4932-9AFC-7C93489D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2015</Words>
  <Characters>10079</Characters>
  <Application>Microsoft Office Word</Application>
  <DocSecurity>0</DocSecurity>
  <Lines>83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xadmin</dc:creator>
  <cp:keywords/>
  <dc:description/>
  <cp:lastModifiedBy>Merav Kaplan - Chamber Of Commerce</cp:lastModifiedBy>
  <cp:revision>2</cp:revision>
  <cp:lastPrinted>2020-03-01T12:16:00Z</cp:lastPrinted>
  <dcterms:created xsi:type="dcterms:W3CDTF">2020-03-18T06:29:00Z</dcterms:created>
  <dcterms:modified xsi:type="dcterms:W3CDTF">2020-03-18T06:29:00Z</dcterms:modified>
</cp:coreProperties>
</file>