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C2" w:rsidRDefault="00402AC2" w:rsidP="005F0271">
      <w:pPr>
        <w:jc w:val="center"/>
        <w:rPr>
          <w:b/>
          <w:bCs/>
          <w:sz w:val="26"/>
          <w:szCs w:val="26"/>
          <w:rtl/>
        </w:rPr>
      </w:pPr>
      <w:bookmarkStart w:id="0" w:name="_GoBack"/>
      <w:bookmarkEnd w:id="0"/>
      <w:r>
        <w:rPr>
          <w:noProof/>
        </w:rPr>
        <w:drawing>
          <wp:inline distT="0" distB="0" distL="0" distR="0" wp14:anchorId="11F7D3C3" wp14:editId="6B838C6B">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402AC2" w:rsidRDefault="00402AC2" w:rsidP="005F0271">
      <w:pPr>
        <w:rPr>
          <w:b/>
          <w:bCs/>
          <w:sz w:val="26"/>
          <w:szCs w:val="26"/>
          <w:rtl/>
        </w:rPr>
      </w:pPr>
      <w:r w:rsidRPr="00CB5068">
        <w:rPr>
          <w:b/>
          <w:bCs/>
          <w:sz w:val="26"/>
          <w:szCs w:val="26"/>
          <w:rtl/>
        </w:rPr>
        <w:t>תוכן עניינים</w:t>
      </w:r>
    </w:p>
    <w:p w:rsidR="00402AC2" w:rsidRDefault="00402AC2" w:rsidP="00402AC2">
      <w:pPr>
        <w:pStyle w:val="TOC1"/>
        <w:rPr>
          <w:rFonts w:asciiTheme="minorHAnsi" w:eastAsiaTheme="minorEastAsia" w:hAnsiTheme="minorHAnsi" w:cstheme="minorBidi"/>
          <w:bCs w:val="0"/>
          <w:noProof/>
          <w:sz w:val="22"/>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34556238" w:history="1">
        <w:r w:rsidRPr="005E3730">
          <w:rPr>
            <w:rStyle w:val="Hyperlink"/>
            <w:rFonts w:hint="eastAsia"/>
            <w:noProof/>
            <w:rtl/>
          </w:rPr>
          <w:t>טיוטת</w:t>
        </w:r>
        <w:r w:rsidRPr="005E3730">
          <w:rPr>
            <w:rStyle w:val="Hyperlink"/>
            <w:noProof/>
            <w:rtl/>
          </w:rPr>
          <w:t xml:space="preserve"> </w:t>
        </w:r>
        <w:r w:rsidRPr="005E3730">
          <w:rPr>
            <w:rStyle w:val="Hyperlink"/>
            <w:rFonts w:hint="eastAsia"/>
            <w:noProof/>
            <w:rtl/>
          </w:rPr>
          <w:t>צו</w:t>
        </w:r>
        <w:r>
          <w:rPr>
            <w:noProof/>
            <w:webHidden/>
          </w:rPr>
          <w:tab/>
        </w:r>
        <w:r>
          <w:rPr>
            <w:noProof/>
            <w:webHidden/>
          </w:rPr>
          <w:fldChar w:fldCharType="begin"/>
        </w:r>
        <w:r>
          <w:rPr>
            <w:noProof/>
            <w:webHidden/>
          </w:rPr>
          <w:instrText xml:space="preserve"> PAGEREF _Toc34556238 \h </w:instrText>
        </w:r>
        <w:r>
          <w:rPr>
            <w:noProof/>
            <w:webHidden/>
          </w:rPr>
        </w:r>
        <w:r>
          <w:rPr>
            <w:noProof/>
            <w:webHidden/>
          </w:rPr>
          <w:fldChar w:fldCharType="separate"/>
        </w:r>
        <w:r>
          <w:rPr>
            <w:noProof/>
            <w:webHidden/>
          </w:rPr>
          <w:t>2</w:t>
        </w:r>
        <w:r>
          <w:rPr>
            <w:noProof/>
            <w:webHidden/>
          </w:rPr>
          <w:fldChar w:fldCharType="end"/>
        </w:r>
      </w:hyperlink>
    </w:p>
    <w:p w:rsidR="00402AC2" w:rsidRDefault="00BD352F" w:rsidP="00402AC2">
      <w:pPr>
        <w:pStyle w:val="TOC4"/>
        <w:rPr>
          <w:rFonts w:cstheme="minorBidi"/>
        </w:rPr>
      </w:pPr>
      <w:hyperlink w:anchor="_Toc34556239" w:history="1">
        <w:r w:rsidR="00402AC2" w:rsidRPr="005E3730">
          <w:rPr>
            <w:rStyle w:val="Hyperlink"/>
            <w:rFonts w:hint="eastAsia"/>
            <w:rtl/>
          </w:rPr>
          <w:t>א</w:t>
        </w:r>
        <w:r w:rsidR="00402AC2" w:rsidRPr="005E3730">
          <w:rPr>
            <w:rStyle w:val="Hyperlink"/>
            <w:rtl/>
          </w:rPr>
          <w:t xml:space="preserve">. </w:t>
        </w:r>
        <w:r w:rsidR="00402AC2" w:rsidRPr="005E3730">
          <w:rPr>
            <w:rStyle w:val="Hyperlink"/>
            <w:rFonts w:hint="eastAsia"/>
            <w:rtl/>
          </w:rPr>
          <w:t>שם</w:t>
        </w:r>
        <w:r w:rsidR="00402AC2" w:rsidRPr="005E3730">
          <w:rPr>
            <w:rStyle w:val="Hyperlink"/>
            <w:rtl/>
          </w:rPr>
          <w:t xml:space="preserve"> </w:t>
        </w:r>
        <w:r w:rsidR="00402AC2" w:rsidRPr="005E3730">
          <w:rPr>
            <w:rStyle w:val="Hyperlink"/>
            <w:rFonts w:hint="eastAsia"/>
            <w:rtl/>
          </w:rPr>
          <w:t>הצו</w:t>
        </w:r>
        <w:r w:rsidR="00402AC2" w:rsidRPr="005E3730">
          <w:rPr>
            <w:rStyle w:val="Hyperlink"/>
            <w:rtl/>
          </w:rPr>
          <w:t xml:space="preserve"> </w:t>
        </w:r>
        <w:r w:rsidR="00402AC2" w:rsidRPr="005E3730">
          <w:rPr>
            <w:rStyle w:val="Hyperlink"/>
            <w:rFonts w:hint="eastAsia"/>
            <w:rtl/>
          </w:rPr>
          <w:t>המוצע</w:t>
        </w:r>
        <w:r w:rsidR="00402AC2">
          <w:rPr>
            <w:webHidden/>
          </w:rPr>
          <w:tab/>
        </w:r>
        <w:r w:rsidR="00402AC2">
          <w:rPr>
            <w:webHidden/>
          </w:rPr>
          <w:fldChar w:fldCharType="begin"/>
        </w:r>
        <w:r w:rsidR="00402AC2">
          <w:rPr>
            <w:webHidden/>
          </w:rPr>
          <w:instrText xml:space="preserve"> PAGEREF _Toc34556239 \h </w:instrText>
        </w:r>
        <w:r w:rsidR="00402AC2">
          <w:rPr>
            <w:webHidden/>
          </w:rPr>
        </w:r>
        <w:r w:rsidR="00402AC2">
          <w:rPr>
            <w:webHidden/>
          </w:rPr>
          <w:fldChar w:fldCharType="separate"/>
        </w:r>
        <w:r w:rsidR="00402AC2">
          <w:rPr>
            <w:webHidden/>
          </w:rPr>
          <w:t>2</w:t>
        </w:r>
        <w:r w:rsidR="00402AC2">
          <w:rPr>
            <w:webHidden/>
          </w:rPr>
          <w:fldChar w:fldCharType="end"/>
        </w:r>
      </w:hyperlink>
    </w:p>
    <w:p w:rsidR="00402AC2" w:rsidRDefault="00BD352F" w:rsidP="00402AC2">
      <w:pPr>
        <w:pStyle w:val="TOC4"/>
        <w:rPr>
          <w:rFonts w:cstheme="minorBidi"/>
        </w:rPr>
      </w:pPr>
      <w:hyperlink w:anchor="_Toc34556240" w:history="1">
        <w:r w:rsidR="00402AC2" w:rsidRPr="005E3730">
          <w:rPr>
            <w:rStyle w:val="Hyperlink"/>
            <w:rFonts w:hint="eastAsia"/>
            <w:rtl/>
          </w:rPr>
          <w:t>ב</w:t>
        </w:r>
        <w:r w:rsidR="00402AC2" w:rsidRPr="005E3730">
          <w:rPr>
            <w:rStyle w:val="Hyperlink"/>
            <w:rtl/>
          </w:rPr>
          <w:t xml:space="preserve">. </w:t>
        </w:r>
        <w:r w:rsidR="00402AC2" w:rsidRPr="005E3730">
          <w:rPr>
            <w:rStyle w:val="Hyperlink"/>
            <w:rFonts w:hint="eastAsia"/>
            <w:rtl/>
          </w:rPr>
          <w:t>מטרת</w:t>
        </w:r>
        <w:r w:rsidR="00402AC2" w:rsidRPr="005E3730">
          <w:rPr>
            <w:rStyle w:val="Hyperlink"/>
            <w:rtl/>
          </w:rPr>
          <w:t xml:space="preserve"> </w:t>
        </w:r>
        <w:r w:rsidR="00402AC2" w:rsidRPr="005E3730">
          <w:rPr>
            <w:rStyle w:val="Hyperlink"/>
            <w:rFonts w:hint="eastAsia"/>
            <w:rtl/>
          </w:rPr>
          <w:t>הצו</w:t>
        </w:r>
        <w:r w:rsidR="00402AC2" w:rsidRPr="005E3730">
          <w:rPr>
            <w:rStyle w:val="Hyperlink"/>
            <w:rtl/>
          </w:rPr>
          <w:t xml:space="preserve"> </w:t>
        </w:r>
        <w:r w:rsidR="00402AC2" w:rsidRPr="005E3730">
          <w:rPr>
            <w:rStyle w:val="Hyperlink"/>
            <w:rFonts w:hint="eastAsia"/>
            <w:rtl/>
          </w:rPr>
          <w:t>המוצע</w:t>
        </w:r>
        <w:r w:rsidR="00402AC2" w:rsidRPr="005E3730">
          <w:rPr>
            <w:rStyle w:val="Hyperlink"/>
            <w:rtl/>
          </w:rPr>
          <w:t xml:space="preserve"> </w:t>
        </w:r>
        <w:r w:rsidR="00402AC2" w:rsidRPr="005E3730">
          <w:rPr>
            <w:rStyle w:val="Hyperlink"/>
            <w:rFonts w:hint="eastAsia"/>
            <w:rtl/>
          </w:rPr>
          <w:t>והצורך</w:t>
        </w:r>
        <w:r w:rsidR="00402AC2" w:rsidRPr="005E3730">
          <w:rPr>
            <w:rStyle w:val="Hyperlink"/>
            <w:rtl/>
          </w:rPr>
          <w:t xml:space="preserve"> </w:t>
        </w:r>
        <w:r w:rsidR="00402AC2" w:rsidRPr="005E3730">
          <w:rPr>
            <w:rStyle w:val="Hyperlink"/>
            <w:rFonts w:hint="eastAsia"/>
            <w:rtl/>
          </w:rPr>
          <w:t>בו</w:t>
        </w:r>
        <w:r w:rsidR="00402AC2">
          <w:rPr>
            <w:webHidden/>
          </w:rPr>
          <w:tab/>
        </w:r>
        <w:r w:rsidR="00402AC2">
          <w:rPr>
            <w:webHidden/>
          </w:rPr>
          <w:fldChar w:fldCharType="begin"/>
        </w:r>
        <w:r w:rsidR="00402AC2">
          <w:rPr>
            <w:webHidden/>
          </w:rPr>
          <w:instrText xml:space="preserve"> PAGEREF _Toc34556240 \h </w:instrText>
        </w:r>
        <w:r w:rsidR="00402AC2">
          <w:rPr>
            <w:webHidden/>
          </w:rPr>
        </w:r>
        <w:r w:rsidR="00402AC2">
          <w:rPr>
            <w:webHidden/>
          </w:rPr>
          <w:fldChar w:fldCharType="separate"/>
        </w:r>
        <w:r w:rsidR="00402AC2">
          <w:rPr>
            <w:webHidden/>
          </w:rPr>
          <w:t>2</w:t>
        </w:r>
        <w:r w:rsidR="00402AC2">
          <w:rPr>
            <w:webHidden/>
          </w:rPr>
          <w:fldChar w:fldCharType="end"/>
        </w:r>
      </w:hyperlink>
    </w:p>
    <w:p w:rsidR="00402AC2" w:rsidRDefault="00BD352F" w:rsidP="00402AC2">
      <w:pPr>
        <w:pStyle w:val="TOC4"/>
        <w:rPr>
          <w:rFonts w:cstheme="minorBidi"/>
        </w:rPr>
      </w:pPr>
      <w:hyperlink w:anchor="_Toc34556241" w:history="1">
        <w:r w:rsidR="00402AC2" w:rsidRPr="005E3730">
          <w:rPr>
            <w:rStyle w:val="Hyperlink"/>
            <w:rFonts w:hint="eastAsia"/>
            <w:rtl/>
          </w:rPr>
          <w:t>ג</w:t>
        </w:r>
        <w:r w:rsidR="00402AC2" w:rsidRPr="005E3730">
          <w:rPr>
            <w:rStyle w:val="Hyperlink"/>
            <w:rtl/>
          </w:rPr>
          <w:t xml:space="preserve">. </w:t>
        </w:r>
        <w:r w:rsidR="00402AC2" w:rsidRPr="005E3730">
          <w:rPr>
            <w:rStyle w:val="Hyperlink"/>
            <w:rFonts w:hint="eastAsia"/>
            <w:rtl/>
          </w:rPr>
          <w:t>להלן</w:t>
        </w:r>
        <w:r w:rsidR="00402AC2" w:rsidRPr="005E3730">
          <w:rPr>
            <w:rStyle w:val="Hyperlink"/>
            <w:rtl/>
          </w:rPr>
          <w:t xml:space="preserve"> </w:t>
        </w:r>
        <w:r w:rsidR="00402AC2" w:rsidRPr="005E3730">
          <w:rPr>
            <w:rStyle w:val="Hyperlink"/>
            <w:rFonts w:hint="eastAsia"/>
            <w:rtl/>
          </w:rPr>
          <w:t>נוסח</w:t>
        </w:r>
        <w:r w:rsidR="00402AC2" w:rsidRPr="005E3730">
          <w:rPr>
            <w:rStyle w:val="Hyperlink"/>
            <w:rtl/>
          </w:rPr>
          <w:t xml:space="preserve"> </w:t>
        </w:r>
        <w:r w:rsidR="00402AC2" w:rsidRPr="005E3730">
          <w:rPr>
            <w:rStyle w:val="Hyperlink"/>
            <w:rFonts w:hint="eastAsia"/>
            <w:rtl/>
          </w:rPr>
          <w:t>טיוטת</w:t>
        </w:r>
        <w:r w:rsidR="00402AC2" w:rsidRPr="005E3730">
          <w:rPr>
            <w:rStyle w:val="Hyperlink"/>
            <w:rtl/>
          </w:rPr>
          <w:t xml:space="preserve"> </w:t>
        </w:r>
        <w:r w:rsidR="00402AC2" w:rsidRPr="005E3730">
          <w:rPr>
            <w:rStyle w:val="Hyperlink"/>
            <w:rFonts w:hint="eastAsia"/>
            <w:rtl/>
          </w:rPr>
          <w:t>הצו</w:t>
        </w:r>
        <w:r w:rsidR="00402AC2" w:rsidRPr="005E3730">
          <w:rPr>
            <w:rStyle w:val="Hyperlink"/>
            <w:rtl/>
          </w:rPr>
          <w:t xml:space="preserve"> </w:t>
        </w:r>
        <w:r w:rsidR="00402AC2" w:rsidRPr="005E3730">
          <w:rPr>
            <w:rStyle w:val="Hyperlink"/>
            <w:rFonts w:hint="eastAsia"/>
            <w:rtl/>
          </w:rPr>
          <w:t>המוצע</w:t>
        </w:r>
        <w:r w:rsidR="00402AC2" w:rsidRPr="005E3730">
          <w:rPr>
            <w:rStyle w:val="Hyperlink"/>
            <w:rtl/>
          </w:rPr>
          <w:t>:</w:t>
        </w:r>
        <w:r w:rsidR="00402AC2">
          <w:rPr>
            <w:webHidden/>
          </w:rPr>
          <w:tab/>
        </w:r>
        <w:r w:rsidR="00402AC2">
          <w:rPr>
            <w:webHidden/>
          </w:rPr>
          <w:fldChar w:fldCharType="begin"/>
        </w:r>
        <w:r w:rsidR="00402AC2">
          <w:rPr>
            <w:webHidden/>
          </w:rPr>
          <w:instrText xml:space="preserve"> PAGEREF _Toc34556241 \h </w:instrText>
        </w:r>
        <w:r w:rsidR="00402AC2">
          <w:rPr>
            <w:webHidden/>
          </w:rPr>
        </w:r>
        <w:r w:rsidR="00402AC2">
          <w:rPr>
            <w:webHidden/>
          </w:rPr>
          <w:fldChar w:fldCharType="separate"/>
        </w:r>
        <w:r w:rsidR="00402AC2">
          <w:rPr>
            <w:webHidden/>
          </w:rPr>
          <w:t>2</w:t>
        </w:r>
        <w:r w:rsidR="00402AC2">
          <w:rPr>
            <w:webHidden/>
          </w:rPr>
          <w:fldChar w:fldCharType="end"/>
        </w:r>
      </w:hyperlink>
    </w:p>
    <w:p w:rsidR="00402AC2" w:rsidRDefault="00BD352F" w:rsidP="00402AC2">
      <w:pPr>
        <w:pStyle w:val="TOC1"/>
        <w:rPr>
          <w:rFonts w:asciiTheme="minorHAnsi" w:eastAsiaTheme="minorEastAsia" w:hAnsiTheme="minorHAnsi" w:cstheme="minorBidi"/>
          <w:bCs w:val="0"/>
          <w:noProof/>
          <w:sz w:val="22"/>
        </w:rPr>
      </w:pPr>
      <w:hyperlink w:anchor="_Toc34556242" w:history="1">
        <w:r w:rsidR="00402AC2" w:rsidRPr="005E3730">
          <w:rPr>
            <w:rStyle w:val="Hyperlink"/>
            <w:rFonts w:hint="eastAsia"/>
            <w:noProof/>
            <w:rtl/>
          </w:rPr>
          <w:t>צו</w:t>
        </w:r>
        <w:r w:rsidR="00402AC2" w:rsidRPr="005E3730">
          <w:rPr>
            <w:rStyle w:val="Hyperlink"/>
            <w:noProof/>
            <w:rtl/>
          </w:rPr>
          <w:t xml:space="preserve"> </w:t>
        </w:r>
        <w:r w:rsidR="00402AC2" w:rsidRPr="005E3730">
          <w:rPr>
            <w:rStyle w:val="Hyperlink"/>
            <w:rFonts w:hint="eastAsia"/>
            <w:noProof/>
            <w:rtl/>
          </w:rPr>
          <w:t>התקנים</w:t>
        </w:r>
        <w:r w:rsidR="00402AC2" w:rsidRPr="005E3730">
          <w:rPr>
            <w:rStyle w:val="Hyperlink"/>
            <w:noProof/>
            <w:rtl/>
          </w:rPr>
          <w:t xml:space="preserve"> (</w:t>
        </w:r>
        <w:r w:rsidR="00402AC2" w:rsidRPr="005E3730">
          <w:rPr>
            <w:rStyle w:val="Hyperlink"/>
            <w:rFonts w:hint="eastAsia"/>
            <w:noProof/>
            <w:rtl/>
          </w:rPr>
          <w:t>פטור</w:t>
        </w:r>
        <w:r w:rsidR="00402AC2" w:rsidRPr="005E3730">
          <w:rPr>
            <w:rStyle w:val="Hyperlink"/>
            <w:noProof/>
            <w:rtl/>
          </w:rPr>
          <w:t xml:space="preserve"> </w:t>
        </w:r>
        <w:r w:rsidR="00402AC2" w:rsidRPr="005E3730">
          <w:rPr>
            <w:rStyle w:val="Hyperlink"/>
            <w:rFonts w:hint="eastAsia"/>
            <w:noProof/>
            <w:rtl/>
          </w:rPr>
          <w:t>ממילוי</w:t>
        </w:r>
        <w:r w:rsidR="00402AC2" w:rsidRPr="005E3730">
          <w:rPr>
            <w:rStyle w:val="Hyperlink"/>
            <w:noProof/>
            <w:rtl/>
          </w:rPr>
          <w:t xml:space="preserve"> </w:t>
        </w:r>
        <w:r w:rsidR="00402AC2" w:rsidRPr="005E3730">
          <w:rPr>
            <w:rStyle w:val="Hyperlink"/>
            <w:rFonts w:hint="eastAsia"/>
            <w:noProof/>
            <w:rtl/>
          </w:rPr>
          <w:t>אחר</w:t>
        </w:r>
        <w:r w:rsidR="00402AC2" w:rsidRPr="005E3730">
          <w:rPr>
            <w:rStyle w:val="Hyperlink"/>
            <w:noProof/>
            <w:rtl/>
          </w:rPr>
          <w:t xml:space="preserve"> </w:t>
        </w:r>
        <w:r w:rsidR="00402AC2" w:rsidRPr="005E3730">
          <w:rPr>
            <w:rStyle w:val="Hyperlink"/>
            <w:rFonts w:hint="eastAsia"/>
            <w:noProof/>
            <w:rtl/>
          </w:rPr>
          <w:t>דרישות</w:t>
        </w:r>
        <w:r w:rsidR="00402AC2" w:rsidRPr="005E3730">
          <w:rPr>
            <w:rStyle w:val="Hyperlink"/>
            <w:noProof/>
            <w:rtl/>
          </w:rPr>
          <w:t xml:space="preserve"> </w:t>
        </w:r>
        <w:r w:rsidR="00402AC2" w:rsidRPr="005E3730">
          <w:rPr>
            <w:rStyle w:val="Hyperlink"/>
            <w:rFonts w:hint="eastAsia"/>
            <w:noProof/>
            <w:rtl/>
          </w:rPr>
          <w:t>תקנים</w:t>
        </w:r>
        <w:r w:rsidR="00402AC2" w:rsidRPr="005E3730">
          <w:rPr>
            <w:rStyle w:val="Hyperlink"/>
            <w:noProof/>
            <w:rtl/>
          </w:rPr>
          <w:t xml:space="preserve"> </w:t>
        </w:r>
        <w:r w:rsidR="00402AC2" w:rsidRPr="005E3730">
          <w:rPr>
            <w:rStyle w:val="Hyperlink"/>
            <w:rFonts w:hint="eastAsia"/>
            <w:noProof/>
            <w:rtl/>
          </w:rPr>
          <w:t>רשמיים</w:t>
        </w:r>
        <w:r w:rsidR="00402AC2" w:rsidRPr="005E3730">
          <w:rPr>
            <w:rStyle w:val="Hyperlink"/>
            <w:noProof/>
            <w:rtl/>
          </w:rPr>
          <w:t>)(</w:t>
        </w:r>
        <w:r w:rsidR="00402AC2" w:rsidRPr="005E3730">
          <w:rPr>
            <w:rStyle w:val="Hyperlink"/>
            <w:rFonts w:hint="eastAsia"/>
            <w:noProof/>
            <w:rtl/>
          </w:rPr>
          <w:t>מס</w:t>
        </w:r>
        <w:r w:rsidR="00402AC2" w:rsidRPr="005E3730">
          <w:rPr>
            <w:rStyle w:val="Hyperlink"/>
            <w:noProof/>
            <w:rtl/>
          </w:rPr>
          <w:t xml:space="preserve">' 2), </w:t>
        </w:r>
        <w:r w:rsidR="00402AC2" w:rsidRPr="005E3730">
          <w:rPr>
            <w:rStyle w:val="Hyperlink"/>
            <w:rFonts w:hint="eastAsia"/>
            <w:noProof/>
            <w:rtl/>
          </w:rPr>
          <w:t>התש</w:t>
        </w:r>
        <w:r w:rsidR="00402AC2" w:rsidRPr="005E3730">
          <w:rPr>
            <w:rStyle w:val="Hyperlink"/>
            <w:noProof/>
            <w:rtl/>
          </w:rPr>
          <w:t>"</w:t>
        </w:r>
        <w:r w:rsidR="00402AC2" w:rsidRPr="005E3730">
          <w:rPr>
            <w:rStyle w:val="Hyperlink"/>
            <w:rFonts w:hint="eastAsia"/>
            <w:noProof/>
            <w:rtl/>
          </w:rPr>
          <w:t>ף</w:t>
        </w:r>
        <w:r w:rsidR="00402AC2" w:rsidRPr="005E3730">
          <w:rPr>
            <w:rStyle w:val="Hyperlink"/>
            <w:noProof/>
            <w:rtl/>
          </w:rPr>
          <w:t>–2020</w:t>
        </w:r>
        <w:r w:rsidR="00402AC2">
          <w:rPr>
            <w:noProof/>
            <w:webHidden/>
          </w:rPr>
          <w:tab/>
        </w:r>
        <w:r w:rsidR="00402AC2">
          <w:rPr>
            <w:noProof/>
            <w:webHidden/>
          </w:rPr>
          <w:fldChar w:fldCharType="begin"/>
        </w:r>
        <w:r w:rsidR="00402AC2">
          <w:rPr>
            <w:noProof/>
            <w:webHidden/>
          </w:rPr>
          <w:instrText xml:space="preserve"> PAGEREF _Toc34556242 \h </w:instrText>
        </w:r>
        <w:r w:rsidR="00402AC2">
          <w:rPr>
            <w:noProof/>
            <w:webHidden/>
          </w:rPr>
        </w:r>
        <w:r w:rsidR="00402AC2">
          <w:rPr>
            <w:noProof/>
            <w:webHidden/>
          </w:rPr>
          <w:fldChar w:fldCharType="separate"/>
        </w:r>
        <w:r w:rsidR="00402AC2">
          <w:rPr>
            <w:noProof/>
            <w:webHidden/>
          </w:rPr>
          <w:t>3</w:t>
        </w:r>
        <w:r w:rsidR="00402AC2">
          <w:rPr>
            <w:noProof/>
            <w:webHidden/>
          </w:rPr>
          <w:fldChar w:fldCharType="end"/>
        </w:r>
      </w:hyperlink>
    </w:p>
    <w:p w:rsidR="00402AC2" w:rsidRDefault="00BD352F" w:rsidP="00402AC2">
      <w:pPr>
        <w:pStyle w:val="TOC3"/>
        <w:rPr>
          <w:rFonts w:asciiTheme="minorHAnsi" w:eastAsiaTheme="minorEastAsia" w:hAnsiTheme="minorHAnsi" w:cstheme="minorBidi"/>
          <w:noProof/>
          <w:sz w:val="22"/>
        </w:rPr>
      </w:pPr>
      <w:hyperlink w:anchor="_Toc34556243" w:history="1">
        <w:r w:rsidR="00402AC2" w:rsidRPr="005E3730">
          <w:rPr>
            <w:rStyle w:val="Hyperlink"/>
            <w:rFonts w:hint="eastAsia"/>
            <w:noProof/>
            <w:rtl/>
          </w:rPr>
          <w:t>פטור</w:t>
        </w:r>
        <w:r w:rsidR="00402AC2" w:rsidRPr="005E3730">
          <w:rPr>
            <w:rStyle w:val="Hyperlink"/>
            <w:noProof/>
            <w:rtl/>
          </w:rPr>
          <w:t xml:space="preserve"> </w:t>
        </w:r>
        <w:r w:rsidR="00402AC2" w:rsidRPr="005E3730">
          <w:rPr>
            <w:rStyle w:val="Hyperlink"/>
            <w:rFonts w:hint="eastAsia"/>
            <w:noProof/>
            <w:rtl/>
          </w:rPr>
          <w:t>מותנה</w:t>
        </w:r>
        <w:r w:rsidR="00402AC2" w:rsidRPr="005E3730">
          <w:rPr>
            <w:rStyle w:val="Hyperlink"/>
            <w:noProof/>
            <w:rtl/>
          </w:rPr>
          <w:t xml:space="preserve"> </w:t>
        </w:r>
        <w:r w:rsidR="00402AC2" w:rsidRPr="005E3730">
          <w:rPr>
            <w:rStyle w:val="Hyperlink"/>
            <w:rFonts w:hint="eastAsia"/>
            <w:noProof/>
            <w:rtl/>
          </w:rPr>
          <w:t>מדרישות</w:t>
        </w:r>
        <w:r w:rsidR="00402AC2" w:rsidRPr="005E3730">
          <w:rPr>
            <w:rStyle w:val="Hyperlink"/>
            <w:noProof/>
            <w:rtl/>
          </w:rPr>
          <w:t xml:space="preserve"> </w:t>
        </w:r>
        <w:r w:rsidR="00402AC2" w:rsidRPr="005E3730">
          <w:rPr>
            <w:rStyle w:val="Hyperlink"/>
            <w:rFonts w:hint="eastAsia"/>
            <w:noProof/>
            <w:rtl/>
          </w:rPr>
          <w:t>בדיקת</w:t>
        </w:r>
        <w:r w:rsidR="00402AC2" w:rsidRPr="005E3730">
          <w:rPr>
            <w:rStyle w:val="Hyperlink"/>
            <w:noProof/>
            <w:rtl/>
          </w:rPr>
          <w:t xml:space="preserve"> </w:t>
        </w:r>
        <w:r w:rsidR="00402AC2" w:rsidRPr="005E3730">
          <w:rPr>
            <w:rStyle w:val="Hyperlink"/>
            <w:rFonts w:hint="eastAsia"/>
            <w:noProof/>
            <w:rtl/>
          </w:rPr>
          <w:t>תכולת</w:t>
        </w:r>
        <w:r w:rsidR="00402AC2" w:rsidRPr="005E3730">
          <w:rPr>
            <w:rStyle w:val="Hyperlink"/>
            <w:noProof/>
            <w:rtl/>
          </w:rPr>
          <w:t xml:space="preserve"> </w:t>
        </w:r>
        <w:r w:rsidR="00402AC2" w:rsidRPr="005E3730">
          <w:rPr>
            <w:rStyle w:val="Hyperlink"/>
            <w:rFonts w:hint="eastAsia"/>
            <w:noProof/>
            <w:rtl/>
          </w:rPr>
          <w:t>עופרת</w:t>
        </w:r>
        <w:r w:rsidR="00402AC2" w:rsidRPr="005E3730">
          <w:rPr>
            <w:rStyle w:val="Hyperlink"/>
            <w:noProof/>
            <w:rtl/>
          </w:rPr>
          <w:t xml:space="preserve"> </w:t>
        </w:r>
        <w:r w:rsidR="00402AC2" w:rsidRPr="005E3730">
          <w:rPr>
            <w:rStyle w:val="Hyperlink"/>
            <w:rFonts w:hint="eastAsia"/>
            <w:noProof/>
            <w:rtl/>
          </w:rPr>
          <w:t>בתקנים</w:t>
        </w:r>
        <w:r w:rsidR="00402AC2" w:rsidRPr="005E3730">
          <w:rPr>
            <w:rStyle w:val="Hyperlink"/>
            <w:noProof/>
            <w:rtl/>
          </w:rPr>
          <w:t xml:space="preserve"> </w:t>
        </w:r>
        <w:r w:rsidR="00402AC2" w:rsidRPr="005E3730">
          <w:rPr>
            <w:rStyle w:val="Hyperlink"/>
            <w:rFonts w:hint="eastAsia"/>
            <w:noProof/>
            <w:rtl/>
          </w:rPr>
          <w:t>רשמיים</w:t>
        </w:r>
        <w:r w:rsidR="00402AC2">
          <w:rPr>
            <w:noProof/>
            <w:webHidden/>
          </w:rPr>
          <w:tab/>
        </w:r>
        <w:r w:rsidR="00402AC2">
          <w:rPr>
            <w:noProof/>
            <w:webHidden/>
          </w:rPr>
          <w:fldChar w:fldCharType="begin"/>
        </w:r>
        <w:r w:rsidR="00402AC2">
          <w:rPr>
            <w:noProof/>
            <w:webHidden/>
          </w:rPr>
          <w:instrText xml:space="preserve"> PAGEREF _Toc34556243 \h </w:instrText>
        </w:r>
        <w:r w:rsidR="00402AC2">
          <w:rPr>
            <w:noProof/>
            <w:webHidden/>
          </w:rPr>
        </w:r>
        <w:r w:rsidR="00402AC2">
          <w:rPr>
            <w:noProof/>
            <w:webHidden/>
          </w:rPr>
          <w:fldChar w:fldCharType="separate"/>
        </w:r>
        <w:r w:rsidR="00402AC2">
          <w:rPr>
            <w:noProof/>
            <w:webHidden/>
          </w:rPr>
          <w:t>3</w:t>
        </w:r>
        <w:r w:rsidR="00402AC2">
          <w:rPr>
            <w:noProof/>
            <w:webHidden/>
          </w:rPr>
          <w:fldChar w:fldCharType="end"/>
        </w:r>
      </w:hyperlink>
    </w:p>
    <w:p w:rsidR="00402AC2" w:rsidRDefault="00BD352F" w:rsidP="00402AC2">
      <w:pPr>
        <w:pStyle w:val="TOC3"/>
        <w:rPr>
          <w:rFonts w:asciiTheme="minorHAnsi" w:eastAsiaTheme="minorEastAsia" w:hAnsiTheme="minorHAnsi" w:cstheme="minorBidi"/>
          <w:noProof/>
          <w:sz w:val="22"/>
        </w:rPr>
      </w:pPr>
      <w:hyperlink w:anchor="_Toc34556244" w:history="1">
        <w:r w:rsidR="00402AC2" w:rsidRPr="005E3730">
          <w:rPr>
            <w:rStyle w:val="Hyperlink"/>
            <w:rFonts w:hint="eastAsia"/>
            <w:noProof/>
            <w:rtl/>
          </w:rPr>
          <w:t>אי</w:t>
        </w:r>
        <w:r w:rsidR="00402AC2" w:rsidRPr="005E3730">
          <w:rPr>
            <w:rStyle w:val="Hyperlink"/>
            <w:noProof/>
            <w:rtl/>
          </w:rPr>
          <w:t xml:space="preserve">- </w:t>
        </w:r>
        <w:r w:rsidR="00402AC2" w:rsidRPr="005E3730">
          <w:rPr>
            <w:rStyle w:val="Hyperlink"/>
            <w:rFonts w:hint="eastAsia"/>
            <w:noProof/>
            <w:rtl/>
          </w:rPr>
          <w:t>תחולה</w:t>
        </w:r>
        <w:r w:rsidR="00402AC2">
          <w:rPr>
            <w:noProof/>
            <w:webHidden/>
          </w:rPr>
          <w:tab/>
        </w:r>
        <w:r w:rsidR="00402AC2">
          <w:rPr>
            <w:noProof/>
            <w:webHidden/>
          </w:rPr>
          <w:fldChar w:fldCharType="begin"/>
        </w:r>
        <w:r w:rsidR="00402AC2">
          <w:rPr>
            <w:noProof/>
            <w:webHidden/>
          </w:rPr>
          <w:instrText xml:space="preserve"> PAGEREF _Toc34556244 \h </w:instrText>
        </w:r>
        <w:r w:rsidR="00402AC2">
          <w:rPr>
            <w:noProof/>
            <w:webHidden/>
          </w:rPr>
        </w:r>
        <w:r w:rsidR="00402AC2">
          <w:rPr>
            <w:noProof/>
            <w:webHidden/>
          </w:rPr>
          <w:fldChar w:fldCharType="separate"/>
        </w:r>
        <w:r w:rsidR="00402AC2">
          <w:rPr>
            <w:noProof/>
            <w:webHidden/>
          </w:rPr>
          <w:t>3</w:t>
        </w:r>
        <w:r w:rsidR="00402AC2">
          <w:rPr>
            <w:noProof/>
            <w:webHidden/>
          </w:rPr>
          <w:fldChar w:fldCharType="end"/>
        </w:r>
      </w:hyperlink>
    </w:p>
    <w:p w:rsidR="00402AC2" w:rsidRDefault="00BD352F" w:rsidP="00402AC2">
      <w:pPr>
        <w:pStyle w:val="TOC3"/>
        <w:rPr>
          <w:rFonts w:asciiTheme="minorHAnsi" w:eastAsiaTheme="minorEastAsia" w:hAnsiTheme="minorHAnsi" w:cstheme="minorBidi"/>
          <w:noProof/>
          <w:sz w:val="22"/>
        </w:rPr>
      </w:pPr>
      <w:hyperlink w:anchor="_Toc34556245" w:history="1">
        <w:r w:rsidR="00402AC2" w:rsidRPr="005E3730">
          <w:rPr>
            <w:rStyle w:val="Hyperlink"/>
            <w:rFonts w:hint="eastAsia"/>
            <w:noProof/>
            <w:rtl/>
          </w:rPr>
          <w:t>תחילה</w:t>
        </w:r>
        <w:r w:rsidR="00402AC2" w:rsidRPr="005E3730">
          <w:rPr>
            <w:rStyle w:val="Hyperlink"/>
            <w:noProof/>
            <w:rtl/>
          </w:rPr>
          <w:t xml:space="preserve"> </w:t>
        </w:r>
        <w:r w:rsidR="00402AC2" w:rsidRPr="005E3730">
          <w:rPr>
            <w:rStyle w:val="Hyperlink"/>
            <w:rFonts w:hint="eastAsia"/>
            <w:noProof/>
            <w:rtl/>
          </w:rPr>
          <w:t>ותוקף</w:t>
        </w:r>
        <w:r w:rsidR="00402AC2">
          <w:rPr>
            <w:noProof/>
            <w:webHidden/>
          </w:rPr>
          <w:tab/>
        </w:r>
        <w:r w:rsidR="00402AC2">
          <w:rPr>
            <w:noProof/>
            <w:webHidden/>
          </w:rPr>
          <w:fldChar w:fldCharType="begin"/>
        </w:r>
        <w:r w:rsidR="00402AC2">
          <w:rPr>
            <w:noProof/>
            <w:webHidden/>
          </w:rPr>
          <w:instrText xml:space="preserve"> PAGEREF _Toc34556245 \h </w:instrText>
        </w:r>
        <w:r w:rsidR="00402AC2">
          <w:rPr>
            <w:noProof/>
            <w:webHidden/>
          </w:rPr>
        </w:r>
        <w:r w:rsidR="00402AC2">
          <w:rPr>
            <w:noProof/>
            <w:webHidden/>
          </w:rPr>
          <w:fldChar w:fldCharType="separate"/>
        </w:r>
        <w:r w:rsidR="00402AC2">
          <w:rPr>
            <w:noProof/>
            <w:webHidden/>
          </w:rPr>
          <w:t>3</w:t>
        </w:r>
        <w:r w:rsidR="00402AC2">
          <w:rPr>
            <w:noProof/>
            <w:webHidden/>
          </w:rPr>
          <w:fldChar w:fldCharType="end"/>
        </w:r>
      </w:hyperlink>
    </w:p>
    <w:p w:rsidR="00402AC2" w:rsidRDefault="00BD352F" w:rsidP="00402AC2">
      <w:pPr>
        <w:pStyle w:val="TOC2"/>
        <w:rPr>
          <w:rFonts w:asciiTheme="minorHAnsi" w:eastAsiaTheme="minorEastAsia" w:hAnsiTheme="minorHAnsi" w:cstheme="minorBidi"/>
          <w:noProof/>
          <w:sz w:val="22"/>
        </w:rPr>
      </w:pPr>
      <w:hyperlink w:anchor="_Toc34556246" w:history="1">
        <w:r w:rsidR="00402AC2" w:rsidRPr="005E3730">
          <w:rPr>
            <w:rStyle w:val="Hyperlink"/>
            <w:rFonts w:hint="eastAsia"/>
            <w:noProof/>
            <w:rtl/>
          </w:rPr>
          <w:t>דברי</w:t>
        </w:r>
        <w:r w:rsidR="00402AC2" w:rsidRPr="005E3730">
          <w:rPr>
            <w:rStyle w:val="Hyperlink"/>
            <w:noProof/>
            <w:rtl/>
          </w:rPr>
          <w:t xml:space="preserve"> </w:t>
        </w:r>
        <w:r w:rsidR="00402AC2" w:rsidRPr="005E3730">
          <w:rPr>
            <w:rStyle w:val="Hyperlink"/>
            <w:rFonts w:hint="eastAsia"/>
            <w:noProof/>
            <w:rtl/>
          </w:rPr>
          <w:t>הסבר</w:t>
        </w:r>
        <w:r w:rsidR="00402AC2">
          <w:rPr>
            <w:noProof/>
            <w:webHidden/>
          </w:rPr>
          <w:tab/>
        </w:r>
        <w:r w:rsidR="00402AC2">
          <w:rPr>
            <w:noProof/>
            <w:webHidden/>
          </w:rPr>
          <w:fldChar w:fldCharType="begin"/>
        </w:r>
        <w:r w:rsidR="00402AC2">
          <w:rPr>
            <w:noProof/>
            <w:webHidden/>
          </w:rPr>
          <w:instrText xml:space="preserve"> PAGEREF _Toc34556246 \h </w:instrText>
        </w:r>
        <w:r w:rsidR="00402AC2">
          <w:rPr>
            <w:noProof/>
            <w:webHidden/>
          </w:rPr>
        </w:r>
        <w:r w:rsidR="00402AC2">
          <w:rPr>
            <w:noProof/>
            <w:webHidden/>
          </w:rPr>
          <w:fldChar w:fldCharType="separate"/>
        </w:r>
        <w:r w:rsidR="00402AC2">
          <w:rPr>
            <w:noProof/>
            <w:webHidden/>
          </w:rPr>
          <w:t>4</w:t>
        </w:r>
        <w:r w:rsidR="00402AC2">
          <w:rPr>
            <w:noProof/>
            <w:webHidden/>
          </w:rPr>
          <w:fldChar w:fldCharType="end"/>
        </w:r>
      </w:hyperlink>
    </w:p>
    <w:p w:rsidR="00402AC2" w:rsidRDefault="00402AC2" w:rsidP="00402AC2">
      <w:pPr>
        <w:rPr>
          <w:snapToGrid w:val="0"/>
          <w:rtl/>
        </w:rPr>
      </w:pPr>
      <w:r>
        <w:rPr>
          <w:rtl/>
        </w:rPr>
        <w:fldChar w:fldCharType="end"/>
      </w:r>
      <w:r>
        <w:rPr>
          <w:rtl/>
        </w:rPr>
        <w:br w:type="page"/>
      </w:r>
    </w:p>
    <w:p w:rsidR="00CD494F" w:rsidRPr="003914FB" w:rsidRDefault="00CD494F" w:rsidP="00307E94">
      <w:pPr>
        <w:pStyle w:val="1"/>
        <w:keepNext w:val="0"/>
        <w:keepLines w:val="0"/>
      </w:pPr>
      <w:bookmarkStart w:id="1" w:name="_Toc34556223"/>
      <w:bookmarkStart w:id="2" w:name="_Toc34556238"/>
      <w:r w:rsidRPr="003914FB">
        <w:rPr>
          <w:rtl/>
        </w:rPr>
        <w:lastRenderedPageBreak/>
        <w:t>טיוטת צו</w:t>
      </w:r>
      <w:bookmarkEnd w:id="1"/>
      <w:bookmarkEnd w:id="2"/>
    </w:p>
    <w:p w:rsidR="00CD494F" w:rsidRPr="003914FB" w:rsidRDefault="00CD494F" w:rsidP="00307E94">
      <w:pPr>
        <w:rPr>
          <w:rtl/>
        </w:rPr>
      </w:pPr>
    </w:p>
    <w:p w:rsidR="00CD494F" w:rsidRPr="003914FB" w:rsidRDefault="00CD494F" w:rsidP="00F24A78">
      <w:pPr>
        <w:pStyle w:val="4"/>
        <w:rPr>
          <w:color w:val="auto"/>
          <w:rtl/>
        </w:rPr>
      </w:pPr>
      <w:bookmarkStart w:id="3" w:name="_Toc34556239"/>
      <w:r w:rsidRPr="003914FB">
        <w:rPr>
          <w:rFonts w:hint="cs"/>
          <w:color w:val="auto"/>
          <w:rtl/>
        </w:rPr>
        <w:t>שם הצו המוצע</w:t>
      </w:r>
      <w:bookmarkEnd w:id="3"/>
    </w:p>
    <w:p w:rsidR="00CD494F" w:rsidRPr="003914FB" w:rsidRDefault="00A171B2" w:rsidP="00307E94">
      <w:pPr>
        <w:rPr>
          <w:rtl/>
        </w:rPr>
      </w:pPr>
      <w:r w:rsidRPr="003914FB">
        <w:rPr>
          <w:rtl/>
        </w:rPr>
        <w:t xml:space="preserve">צו התקנים (פטור ממילוי אחר דרישות תקנים רשמיים), </w:t>
      </w:r>
      <w:proofErr w:type="spellStart"/>
      <w:r w:rsidRPr="003914FB">
        <w:rPr>
          <w:rtl/>
        </w:rPr>
        <w:t>התש"ף</w:t>
      </w:r>
      <w:proofErr w:type="spellEnd"/>
      <w:r w:rsidRPr="003914FB">
        <w:rPr>
          <w:rtl/>
        </w:rPr>
        <w:t>–2020</w:t>
      </w:r>
    </w:p>
    <w:p w:rsidR="00CD494F" w:rsidRPr="003914FB" w:rsidRDefault="00CD494F" w:rsidP="00307E94">
      <w:pPr>
        <w:rPr>
          <w:rtl/>
        </w:rPr>
      </w:pPr>
    </w:p>
    <w:p w:rsidR="00CD494F" w:rsidRPr="003914FB" w:rsidRDefault="00CD494F" w:rsidP="00A171B2">
      <w:pPr>
        <w:pStyle w:val="4"/>
        <w:rPr>
          <w:color w:val="auto"/>
          <w:rtl/>
        </w:rPr>
      </w:pPr>
      <w:bookmarkStart w:id="4" w:name="_Toc34556240"/>
      <w:r w:rsidRPr="003914FB">
        <w:rPr>
          <w:rFonts w:hint="cs"/>
          <w:color w:val="auto"/>
          <w:rtl/>
        </w:rPr>
        <w:t>מטרת הצו המוצע והצורך בו</w:t>
      </w:r>
      <w:bookmarkEnd w:id="4"/>
      <w:r w:rsidRPr="003914FB">
        <w:rPr>
          <w:rFonts w:hint="cs"/>
          <w:color w:val="auto"/>
          <w:rtl/>
        </w:rPr>
        <w:t xml:space="preserve"> </w:t>
      </w:r>
    </w:p>
    <w:p w:rsidR="00CD494F" w:rsidRPr="003914FB" w:rsidRDefault="00A171B2" w:rsidP="00200960">
      <w:pPr>
        <w:rPr>
          <w:rtl/>
        </w:rPr>
      </w:pPr>
      <w:r w:rsidRPr="003914FB">
        <w:rPr>
          <w:rFonts w:hint="cs"/>
          <w:rtl/>
        </w:rPr>
        <w:t>מתן</w:t>
      </w:r>
      <w:r w:rsidR="004057F6" w:rsidRPr="003914FB">
        <w:rPr>
          <w:rtl/>
        </w:rPr>
        <w:t xml:space="preserve"> פטור מ</w:t>
      </w:r>
      <w:r w:rsidR="004057F6" w:rsidRPr="003914FB">
        <w:rPr>
          <w:rFonts w:hint="cs"/>
          <w:rtl/>
        </w:rPr>
        <w:t>ה</w:t>
      </w:r>
      <w:r w:rsidR="004057F6" w:rsidRPr="003914FB">
        <w:rPr>
          <w:rtl/>
        </w:rPr>
        <w:t>דריש</w:t>
      </w:r>
      <w:r w:rsidR="004057F6" w:rsidRPr="003914FB">
        <w:rPr>
          <w:rFonts w:hint="cs"/>
          <w:rtl/>
        </w:rPr>
        <w:t xml:space="preserve">ה </w:t>
      </w:r>
      <w:r w:rsidRPr="003914FB">
        <w:rPr>
          <w:rtl/>
        </w:rPr>
        <w:t xml:space="preserve">לתכולה מרבית של עופרת במוצרים מתכתיים הבאים במגע עם מי שתייה, </w:t>
      </w:r>
      <w:proofErr w:type="spellStart"/>
      <w:r w:rsidRPr="003914FB">
        <w:rPr>
          <w:rtl/>
        </w:rPr>
        <w:t>בת"י</w:t>
      </w:r>
      <w:proofErr w:type="spellEnd"/>
      <w:r w:rsidRPr="003914FB">
        <w:rPr>
          <w:rtl/>
        </w:rPr>
        <w:t xml:space="preserve"> 1317 וכן </w:t>
      </w:r>
      <w:proofErr w:type="spellStart"/>
      <w:r w:rsidRPr="003914FB">
        <w:rPr>
          <w:rtl/>
        </w:rPr>
        <w:t>בת"י</w:t>
      </w:r>
      <w:proofErr w:type="spellEnd"/>
      <w:r w:rsidRPr="003914FB">
        <w:rPr>
          <w:rtl/>
        </w:rPr>
        <w:t xml:space="preserve"> 1347</w:t>
      </w:r>
      <w:r w:rsidR="00167379" w:rsidRPr="003914FB">
        <w:rPr>
          <w:rFonts w:hint="cs"/>
          <w:rtl/>
        </w:rPr>
        <w:t xml:space="preserve"> עבור</w:t>
      </w:r>
      <w:r w:rsidRPr="003914FB">
        <w:rPr>
          <w:rtl/>
        </w:rPr>
        <w:t xml:space="preserve"> ברזים לכיורי רחצה</w:t>
      </w:r>
      <w:r w:rsidRPr="003914FB">
        <w:rPr>
          <w:rFonts w:hint="cs"/>
          <w:rtl/>
        </w:rPr>
        <w:t>,</w:t>
      </w:r>
      <w:r w:rsidR="00167379" w:rsidRPr="003914FB">
        <w:rPr>
          <w:rFonts w:hint="cs"/>
          <w:rtl/>
        </w:rPr>
        <w:t xml:space="preserve"> המסומנים בהתאם שאינם מיועדים למי שתייה</w:t>
      </w:r>
      <w:r w:rsidR="00FA495B" w:rsidRPr="003914FB">
        <w:rPr>
          <w:rFonts w:hint="cs"/>
          <w:rtl/>
        </w:rPr>
        <w:t xml:space="preserve">. הפטור יינתן </w:t>
      </w:r>
      <w:r w:rsidRPr="003914FB">
        <w:rPr>
          <w:rFonts w:hint="cs"/>
          <w:rtl/>
        </w:rPr>
        <w:t xml:space="preserve">לצורך </w:t>
      </w:r>
      <w:r w:rsidR="00167379" w:rsidRPr="003914FB">
        <w:rPr>
          <w:rFonts w:hint="cs"/>
          <w:rtl/>
        </w:rPr>
        <w:t xml:space="preserve">התפטרות מהמלאים </w:t>
      </w:r>
      <w:r w:rsidR="00FA495B" w:rsidRPr="003914FB">
        <w:rPr>
          <w:rFonts w:hint="cs"/>
          <w:rtl/>
        </w:rPr>
        <w:t>של הברזים לכיורי הרחצה</w:t>
      </w:r>
      <w:r w:rsidR="00C35F43" w:rsidRPr="003914FB">
        <w:rPr>
          <w:rFonts w:hint="cs"/>
          <w:rtl/>
        </w:rPr>
        <w:t xml:space="preserve"> בתקופה מיום </w:t>
      </w:r>
      <w:r w:rsidR="00C35F43" w:rsidRPr="003914FB">
        <w:rPr>
          <w:rtl/>
        </w:rPr>
        <w:t>ט</w:t>
      </w:r>
      <w:r w:rsidR="00C35F43" w:rsidRPr="003914FB">
        <w:rPr>
          <w:rFonts w:hint="cs"/>
          <w:rtl/>
        </w:rPr>
        <w:t>'</w:t>
      </w:r>
      <w:r w:rsidR="00D87D76">
        <w:rPr>
          <w:rtl/>
        </w:rPr>
        <w:t xml:space="preserve"> תמוז </w:t>
      </w:r>
      <w:proofErr w:type="spellStart"/>
      <w:r w:rsidR="00D87D76">
        <w:rPr>
          <w:rtl/>
        </w:rPr>
        <w:t>התש"</w:t>
      </w:r>
      <w:r w:rsidR="00D87D76">
        <w:rPr>
          <w:rFonts w:hint="cs"/>
          <w:rtl/>
        </w:rPr>
        <w:t>ף</w:t>
      </w:r>
      <w:proofErr w:type="spellEnd"/>
      <w:r w:rsidR="00082CCF">
        <w:rPr>
          <w:rFonts w:hint="cs"/>
          <w:rtl/>
        </w:rPr>
        <w:t xml:space="preserve"> (1 ביולי 2020</w:t>
      </w:r>
      <w:r w:rsidR="00C35F43" w:rsidRPr="003914FB">
        <w:rPr>
          <w:rFonts w:hint="cs"/>
          <w:rtl/>
        </w:rPr>
        <w:t>)</w:t>
      </w:r>
      <w:r w:rsidRPr="003914FB">
        <w:rPr>
          <w:rFonts w:hint="cs"/>
          <w:rtl/>
        </w:rPr>
        <w:t xml:space="preserve"> עד יום </w:t>
      </w:r>
      <w:r w:rsidR="00200960">
        <w:rPr>
          <w:rFonts w:hint="cs"/>
          <w:rtl/>
        </w:rPr>
        <w:t>י</w:t>
      </w:r>
      <w:r w:rsidR="00167379" w:rsidRPr="003914FB">
        <w:rPr>
          <w:rFonts w:hint="cs"/>
          <w:rtl/>
        </w:rPr>
        <w:t xml:space="preserve">"ז </w:t>
      </w:r>
      <w:r w:rsidR="00200960">
        <w:rPr>
          <w:rFonts w:hint="cs"/>
          <w:rtl/>
        </w:rPr>
        <w:t xml:space="preserve">אדר </w:t>
      </w:r>
      <w:proofErr w:type="spellStart"/>
      <w:r w:rsidR="00D87D76">
        <w:rPr>
          <w:rFonts w:hint="cs"/>
          <w:rtl/>
        </w:rPr>
        <w:t>ה</w:t>
      </w:r>
      <w:r w:rsidR="00FA495B" w:rsidRPr="003914FB">
        <w:rPr>
          <w:rFonts w:hint="cs"/>
          <w:rtl/>
        </w:rPr>
        <w:t>תשפ"א</w:t>
      </w:r>
      <w:proofErr w:type="spellEnd"/>
      <w:r w:rsidR="00FA495B" w:rsidRPr="003914FB">
        <w:rPr>
          <w:rFonts w:hint="cs"/>
          <w:rtl/>
        </w:rPr>
        <w:t xml:space="preserve"> </w:t>
      </w:r>
      <w:r w:rsidRPr="003914FB">
        <w:rPr>
          <w:rFonts w:hint="cs"/>
          <w:rtl/>
        </w:rPr>
        <w:t>(</w:t>
      </w:r>
      <w:r w:rsidR="00167379" w:rsidRPr="003914FB">
        <w:rPr>
          <w:rFonts w:hint="cs"/>
          <w:rtl/>
        </w:rPr>
        <w:t xml:space="preserve">1 </w:t>
      </w:r>
      <w:r w:rsidR="00017271">
        <w:rPr>
          <w:rFonts w:hint="cs"/>
          <w:rtl/>
        </w:rPr>
        <w:t>ב</w:t>
      </w:r>
      <w:r w:rsidR="00200960">
        <w:rPr>
          <w:rFonts w:hint="cs"/>
          <w:rtl/>
        </w:rPr>
        <w:t>מרס</w:t>
      </w:r>
      <w:r w:rsidRPr="003914FB">
        <w:rPr>
          <w:rFonts w:hint="cs"/>
          <w:rtl/>
        </w:rPr>
        <w:t xml:space="preserve"> 202</w:t>
      </w:r>
      <w:r w:rsidR="00200960">
        <w:rPr>
          <w:rFonts w:hint="cs"/>
          <w:rtl/>
        </w:rPr>
        <w:t>1</w:t>
      </w:r>
      <w:r w:rsidRPr="003914FB">
        <w:rPr>
          <w:rFonts w:hint="cs"/>
          <w:rtl/>
        </w:rPr>
        <w:t>).</w:t>
      </w:r>
      <w:r w:rsidR="00C35F43" w:rsidRPr="003914FB">
        <w:rPr>
          <w:rFonts w:hint="cs"/>
          <w:rtl/>
        </w:rPr>
        <w:t xml:space="preserve"> </w:t>
      </w:r>
    </w:p>
    <w:p w:rsidR="00C35F43" w:rsidRPr="003914FB" w:rsidRDefault="00C35F43" w:rsidP="00D658DC">
      <w:pPr>
        <w:rPr>
          <w:rtl/>
        </w:rPr>
      </w:pPr>
      <w:r w:rsidRPr="003914FB">
        <w:rPr>
          <w:rFonts w:hint="cs"/>
          <w:rtl/>
        </w:rPr>
        <w:t xml:space="preserve">הפטור אינו </w:t>
      </w:r>
      <w:r w:rsidR="00EB3328" w:rsidRPr="003914FB">
        <w:rPr>
          <w:rFonts w:hint="cs"/>
          <w:rtl/>
        </w:rPr>
        <w:t>י</w:t>
      </w:r>
      <w:r w:rsidRPr="003914FB">
        <w:rPr>
          <w:rFonts w:hint="cs"/>
          <w:rtl/>
        </w:rPr>
        <w:t>ח</w:t>
      </w:r>
      <w:r w:rsidR="00EB3328" w:rsidRPr="003914FB">
        <w:rPr>
          <w:rFonts w:hint="cs"/>
          <w:rtl/>
        </w:rPr>
        <w:t>ו</w:t>
      </w:r>
      <w:r w:rsidRPr="003914FB">
        <w:rPr>
          <w:rFonts w:hint="cs"/>
          <w:rtl/>
        </w:rPr>
        <w:t>ל על ברזים שיוצרו או ייבוא</w:t>
      </w:r>
      <w:r w:rsidR="00017271">
        <w:rPr>
          <w:rFonts w:hint="cs"/>
          <w:rtl/>
        </w:rPr>
        <w:t>ו</w:t>
      </w:r>
      <w:r w:rsidRPr="003914FB">
        <w:rPr>
          <w:rFonts w:hint="cs"/>
          <w:rtl/>
        </w:rPr>
        <w:t xml:space="preserve"> אחרי מועד כניסתו לתוקף של צו זה.</w:t>
      </w:r>
    </w:p>
    <w:p w:rsidR="00CD494F" w:rsidRPr="003914FB" w:rsidRDefault="00CD494F" w:rsidP="00307E94">
      <w:pPr>
        <w:rPr>
          <w:rtl/>
        </w:rPr>
      </w:pPr>
    </w:p>
    <w:p w:rsidR="00CD494F" w:rsidRPr="003914FB" w:rsidRDefault="00CD494F" w:rsidP="00307E94">
      <w:pPr>
        <w:rPr>
          <w:rtl/>
        </w:rPr>
      </w:pPr>
    </w:p>
    <w:p w:rsidR="00CD494F" w:rsidRPr="003914FB" w:rsidRDefault="00CD494F" w:rsidP="00F24A78">
      <w:pPr>
        <w:pStyle w:val="4"/>
        <w:rPr>
          <w:color w:val="auto"/>
          <w:rtl/>
        </w:rPr>
      </w:pPr>
      <w:bookmarkStart w:id="5" w:name="_Toc34556241"/>
      <w:r w:rsidRPr="003914FB">
        <w:rPr>
          <w:rFonts w:hint="cs"/>
          <w:color w:val="auto"/>
          <w:rtl/>
        </w:rPr>
        <w:t>להלן נוסח טיוטת הצו המוצע:</w:t>
      </w:r>
      <w:bookmarkEnd w:id="5"/>
      <w:r w:rsidRPr="003914FB">
        <w:rPr>
          <w:rFonts w:hint="cs"/>
          <w:color w:val="auto"/>
          <w:rtl/>
        </w:rPr>
        <w:t xml:space="preserve"> </w:t>
      </w:r>
    </w:p>
    <w:p w:rsidR="00CD494F" w:rsidRPr="003914FB" w:rsidRDefault="00CD494F" w:rsidP="00307E94">
      <w:pPr>
        <w:bidi w:val="0"/>
        <w:rPr>
          <w:rtl/>
        </w:rPr>
      </w:pPr>
      <w:r w:rsidRPr="003914FB">
        <w:rPr>
          <w:rtl/>
        </w:rPr>
        <w:br w:type="page"/>
      </w:r>
    </w:p>
    <w:p w:rsidR="00CD494F" w:rsidRPr="003914FB" w:rsidRDefault="00CD494F" w:rsidP="00017271">
      <w:pPr>
        <w:pStyle w:val="HeadHatzaotHok"/>
        <w:keepNext w:val="0"/>
        <w:keepLines w:val="0"/>
        <w:rPr>
          <w:rtl/>
        </w:rPr>
      </w:pPr>
      <w:bookmarkStart w:id="6" w:name="_Toc34556224"/>
      <w:bookmarkStart w:id="7" w:name="_Toc34556242"/>
      <w:r w:rsidRPr="003914FB">
        <w:rPr>
          <w:rtl/>
        </w:rPr>
        <w:lastRenderedPageBreak/>
        <w:t xml:space="preserve">צו </w:t>
      </w:r>
      <w:r w:rsidRPr="003914FB">
        <w:rPr>
          <w:rFonts w:hint="cs"/>
          <w:rtl/>
        </w:rPr>
        <w:t xml:space="preserve">התקנים </w:t>
      </w:r>
      <w:r w:rsidRPr="003914FB">
        <w:rPr>
          <w:rtl/>
        </w:rPr>
        <w:t>(</w:t>
      </w:r>
      <w:r w:rsidRPr="003914FB">
        <w:rPr>
          <w:rFonts w:hint="cs"/>
          <w:rtl/>
        </w:rPr>
        <w:t>פטור ממילוי אחר דרישות תקנים רשמיים</w:t>
      </w:r>
      <w:r w:rsidRPr="003914FB">
        <w:rPr>
          <w:rtl/>
        </w:rPr>
        <w:t>)</w:t>
      </w:r>
      <w:r w:rsidR="00B27F5C">
        <w:rPr>
          <w:rFonts w:hint="cs"/>
          <w:rtl/>
        </w:rPr>
        <w:t xml:space="preserve">(מס' </w:t>
      </w:r>
      <w:r w:rsidR="00017271">
        <w:rPr>
          <w:rFonts w:hint="cs"/>
          <w:rtl/>
        </w:rPr>
        <w:t>2</w:t>
      </w:r>
      <w:r w:rsidR="00B27F5C">
        <w:rPr>
          <w:rFonts w:hint="cs"/>
          <w:rtl/>
        </w:rPr>
        <w:t>)</w:t>
      </w:r>
      <w:r w:rsidRPr="003914FB">
        <w:rPr>
          <w:rFonts w:hint="cs"/>
          <w:rtl/>
        </w:rPr>
        <w:t xml:space="preserve">, </w:t>
      </w:r>
      <w:proofErr w:type="spellStart"/>
      <w:r w:rsidRPr="003914FB">
        <w:rPr>
          <w:rFonts w:hint="cs"/>
          <w:rtl/>
        </w:rPr>
        <w:t>התש"ף</w:t>
      </w:r>
      <w:proofErr w:type="spellEnd"/>
      <w:r w:rsidR="007D3282" w:rsidRPr="003914FB">
        <w:rPr>
          <w:rFonts w:hint="eastAsia"/>
          <w:rtl/>
        </w:rPr>
        <w:t>–</w:t>
      </w:r>
      <w:r w:rsidR="001B4C96" w:rsidRPr="003914FB">
        <w:rPr>
          <w:rFonts w:hint="cs"/>
          <w:rtl/>
        </w:rPr>
        <w:t>2020</w:t>
      </w:r>
      <w:bookmarkEnd w:id="6"/>
      <w:bookmarkEnd w:id="7"/>
    </w:p>
    <w:tbl>
      <w:tblPr>
        <w:bidiVisual/>
        <w:tblW w:w="9641" w:type="dxa"/>
        <w:tblCellMar>
          <w:top w:w="57" w:type="dxa"/>
          <w:left w:w="0" w:type="dxa"/>
          <w:bottom w:w="57" w:type="dxa"/>
          <w:right w:w="0" w:type="dxa"/>
        </w:tblCellMar>
        <w:tblLook w:val="01E0" w:firstRow="1" w:lastRow="1" w:firstColumn="1" w:lastColumn="1" w:noHBand="0" w:noVBand="0"/>
      </w:tblPr>
      <w:tblGrid>
        <w:gridCol w:w="1820"/>
        <w:gridCol w:w="51"/>
        <w:gridCol w:w="545"/>
        <w:gridCol w:w="79"/>
        <w:gridCol w:w="7146"/>
      </w:tblGrid>
      <w:tr w:rsidR="003914FB" w:rsidRPr="003914FB" w:rsidTr="00825BA9">
        <w:trPr>
          <w:cantSplit/>
        </w:trPr>
        <w:tc>
          <w:tcPr>
            <w:tcW w:w="1820" w:type="dxa"/>
          </w:tcPr>
          <w:p w:rsidR="00CD494F" w:rsidRPr="003914FB" w:rsidRDefault="00CD494F">
            <w:pPr>
              <w:pStyle w:val="TableSideHeading"/>
              <w:rPr>
                <w:rtl/>
              </w:rPr>
            </w:pPr>
          </w:p>
        </w:tc>
        <w:tc>
          <w:tcPr>
            <w:tcW w:w="596" w:type="dxa"/>
            <w:gridSpan w:val="2"/>
          </w:tcPr>
          <w:p w:rsidR="00CD494F" w:rsidRPr="003914FB" w:rsidRDefault="00CD494F">
            <w:pPr>
              <w:pStyle w:val="TableText"/>
            </w:pPr>
          </w:p>
        </w:tc>
        <w:tc>
          <w:tcPr>
            <w:tcW w:w="7225" w:type="dxa"/>
            <w:gridSpan w:val="2"/>
            <w:hideMark/>
          </w:tcPr>
          <w:p w:rsidR="00CD494F" w:rsidRPr="003914FB" w:rsidRDefault="00CD494F" w:rsidP="005F78E4">
            <w:pPr>
              <w:pStyle w:val="TableBlock"/>
              <w:rPr>
                <w:rtl/>
              </w:rPr>
            </w:pPr>
            <w:r w:rsidRPr="003914FB">
              <w:rPr>
                <w:rtl/>
              </w:rPr>
              <w:t>בתוקף סמכותי לפי סעי</w:t>
            </w:r>
            <w:r w:rsidR="002847C5" w:rsidRPr="003914FB">
              <w:rPr>
                <w:rFonts w:hint="cs"/>
                <w:rtl/>
              </w:rPr>
              <w:t>ף</w:t>
            </w:r>
            <w:r w:rsidRPr="003914FB">
              <w:rPr>
                <w:rFonts w:hint="cs"/>
                <w:rtl/>
              </w:rPr>
              <w:t xml:space="preserve"> 16(א)(1)</w:t>
            </w:r>
            <w:r w:rsidR="007D3282" w:rsidRPr="003914FB">
              <w:rPr>
                <w:rFonts w:hint="cs"/>
                <w:rtl/>
              </w:rPr>
              <w:t>, לחוק התקנים,</w:t>
            </w:r>
            <w:r w:rsidRPr="003914FB">
              <w:rPr>
                <w:rFonts w:hint="cs"/>
                <w:rtl/>
              </w:rPr>
              <w:t xml:space="preserve"> </w:t>
            </w:r>
            <w:proofErr w:type="spellStart"/>
            <w:r w:rsidRPr="003914FB">
              <w:rPr>
                <w:rFonts w:hint="cs"/>
                <w:rtl/>
              </w:rPr>
              <w:t>התשי"ג</w:t>
            </w:r>
            <w:proofErr w:type="spellEnd"/>
            <w:r w:rsidR="007D3282" w:rsidRPr="003914FB">
              <w:rPr>
                <w:rFonts w:hint="eastAsia"/>
                <w:rtl/>
              </w:rPr>
              <w:t>–</w:t>
            </w:r>
            <w:r w:rsidRPr="003914FB">
              <w:rPr>
                <w:rFonts w:hint="cs"/>
                <w:rtl/>
              </w:rPr>
              <w:t>1953</w:t>
            </w:r>
            <w:r w:rsidR="007D3282" w:rsidRPr="003914FB">
              <w:rPr>
                <w:rStyle w:val="ae"/>
                <w:rtl/>
              </w:rPr>
              <w:footnoteReference w:id="1"/>
            </w:r>
            <w:r w:rsidR="007D3282" w:rsidRPr="003914FB">
              <w:rPr>
                <w:rFonts w:hint="cs"/>
                <w:rtl/>
              </w:rPr>
              <w:t xml:space="preserve"> (להלן </w:t>
            </w:r>
            <w:r w:rsidR="007D3282" w:rsidRPr="003914FB">
              <w:rPr>
                <w:rFonts w:hint="eastAsia"/>
                <w:rtl/>
              </w:rPr>
              <w:t>– חוק התקנים</w:t>
            </w:r>
            <w:r w:rsidR="007D3282" w:rsidRPr="003914FB">
              <w:rPr>
                <w:rFonts w:hint="cs"/>
                <w:rtl/>
              </w:rPr>
              <w:t>)</w:t>
            </w:r>
            <w:r w:rsidRPr="003914FB">
              <w:rPr>
                <w:rtl/>
              </w:rPr>
              <w:t>, אני מצווה לאמור:</w:t>
            </w:r>
          </w:p>
        </w:tc>
      </w:tr>
      <w:tr w:rsidR="003914FB" w:rsidRPr="003914FB" w:rsidTr="00825BA9">
        <w:trPr>
          <w:cantSplit/>
        </w:trPr>
        <w:tc>
          <w:tcPr>
            <w:tcW w:w="1820" w:type="dxa"/>
          </w:tcPr>
          <w:p w:rsidR="00CD494F" w:rsidRPr="003914FB" w:rsidRDefault="00FA495B" w:rsidP="00816DC1">
            <w:pPr>
              <w:pStyle w:val="TableSideHeading"/>
            </w:pPr>
            <w:bookmarkStart w:id="8" w:name="_Toc34556225"/>
            <w:bookmarkStart w:id="9" w:name="_Toc34556243"/>
            <w:r w:rsidRPr="003914FB">
              <w:rPr>
                <w:rFonts w:hint="cs"/>
                <w:rtl/>
              </w:rPr>
              <w:t>פטור מותנה מדרישות בדיקת תכולת עופרת בתקנים רשמיים</w:t>
            </w:r>
            <w:bookmarkEnd w:id="8"/>
            <w:bookmarkEnd w:id="9"/>
          </w:p>
        </w:tc>
        <w:tc>
          <w:tcPr>
            <w:tcW w:w="596" w:type="dxa"/>
            <w:gridSpan w:val="2"/>
          </w:tcPr>
          <w:p w:rsidR="00CD494F" w:rsidRPr="003914FB" w:rsidRDefault="00C102D6" w:rsidP="00235C2F">
            <w:pPr>
              <w:pStyle w:val="TableText"/>
            </w:pPr>
            <w:r w:rsidRPr="003914FB">
              <w:rPr>
                <w:rFonts w:hint="cs"/>
                <w:rtl/>
              </w:rPr>
              <w:t>1.</w:t>
            </w:r>
          </w:p>
        </w:tc>
        <w:tc>
          <w:tcPr>
            <w:tcW w:w="7225" w:type="dxa"/>
            <w:gridSpan w:val="2"/>
          </w:tcPr>
          <w:p w:rsidR="00CD494F" w:rsidRPr="003914FB" w:rsidRDefault="00B621FC" w:rsidP="005F78E4">
            <w:pPr>
              <w:pStyle w:val="TableBlock"/>
              <w:rPr>
                <w:rtl/>
              </w:rPr>
            </w:pPr>
            <w:r w:rsidRPr="003914FB">
              <w:rPr>
                <w:rFonts w:hint="cs"/>
                <w:rtl/>
              </w:rPr>
              <w:t>על המוצרים המנויים בטור א'</w:t>
            </w:r>
            <w:r w:rsidR="007D3282" w:rsidRPr="003914FB">
              <w:rPr>
                <w:rFonts w:hint="cs"/>
                <w:rtl/>
              </w:rPr>
              <w:t xml:space="preserve"> בטבלה שלהלן לא</w:t>
            </w:r>
            <w:r w:rsidRPr="003914FB">
              <w:rPr>
                <w:rFonts w:hint="cs"/>
                <w:rtl/>
              </w:rPr>
              <w:t xml:space="preserve"> יחול</w:t>
            </w:r>
            <w:r w:rsidR="007D3282" w:rsidRPr="003914FB">
              <w:rPr>
                <w:rFonts w:hint="cs"/>
                <w:rtl/>
              </w:rPr>
              <w:t>ו</w:t>
            </w:r>
            <w:r w:rsidRPr="003914FB">
              <w:rPr>
                <w:rFonts w:hint="cs"/>
                <w:rtl/>
              </w:rPr>
              <w:t xml:space="preserve"> </w:t>
            </w:r>
            <w:r w:rsidR="007D3282" w:rsidRPr="003914FB">
              <w:rPr>
                <w:rFonts w:hint="cs"/>
                <w:rtl/>
              </w:rPr>
              <w:t>הדרישות</w:t>
            </w:r>
            <w:r w:rsidRPr="003914FB">
              <w:rPr>
                <w:rFonts w:hint="cs"/>
                <w:rtl/>
              </w:rPr>
              <w:t xml:space="preserve"> בסעיפי</w:t>
            </w:r>
            <w:r w:rsidR="00816DC1" w:rsidRPr="003914FB">
              <w:rPr>
                <w:rFonts w:hint="cs"/>
                <w:rtl/>
              </w:rPr>
              <w:t xml:space="preserve"> בדיקת תכולת העופרת</w:t>
            </w:r>
            <w:r w:rsidRPr="003914FB">
              <w:rPr>
                <w:rFonts w:hint="cs"/>
                <w:rtl/>
              </w:rPr>
              <w:t xml:space="preserve"> </w:t>
            </w:r>
            <w:r w:rsidR="007D3282" w:rsidRPr="003914FB">
              <w:rPr>
                <w:rFonts w:hint="cs"/>
                <w:rtl/>
              </w:rPr>
              <w:t>ש</w:t>
            </w:r>
            <w:r w:rsidR="00816DC1" w:rsidRPr="003914FB">
              <w:rPr>
                <w:rFonts w:hint="cs"/>
                <w:rtl/>
              </w:rPr>
              <w:t>ב</w:t>
            </w:r>
            <w:r w:rsidRPr="003914FB">
              <w:rPr>
                <w:rFonts w:hint="cs"/>
                <w:rtl/>
              </w:rPr>
              <w:t>תקנים הרשמיים המפורטים בטור ב'</w:t>
            </w:r>
            <w:r w:rsidR="007D3282" w:rsidRPr="003914FB">
              <w:rPr>
                <w:rFonts w:hint="cs"/>
                <w:rtl/>
              </w:rPr>
              <w:t xml:space="preserve"> שבטבלה שלהלן</w:t>
            </w:r>
            <w:r w:rsidR="004E41C8" w:rsidRPr="003914FB">
              <w:rPr>
                <w:rFonts w:hint="cs"/>
                <w:rtl/>
              </w:rPr>
              <w:t>:</w:t>
            </w:r>
            <w:r w:rsidR="00193809" w:rsidRPr="003914FB">
              <w:rPr>
                <w:rtl/>
              </w:rPr>
              <w:t xml:space="preserve"> </w:t>
            </w:r>
          </w:p>
        </w:tc>
      </w:tr>
      <w:tr w:rsidR="003914FB" w:rsidRPr="003914FB" w:rsidTr="00825BA9">
        <w:trPr>
          <w:cantSplit/>
        </w:trPr>
        <w:tc>
          <w:tcPr>
            <w:tcW w:w="1820" w:type="dxa"/>
          </w:tcPr>
          <w:p w:rsidR="00B621FC" w:rsidRPr="003914FB" w:rsidRDefault="00B621FC">
            <w:pPr>
              <w:pStyle w:val="TableSideHeading"/>
            </w:pPr>
          </w:p>
        </w:tc>
        <w:tc>
          <w:tcPr>
            <w:tcW w:w="596" w:type="dxa"/>
            <w:gridSpan w:val="2"/>
          </w:tcPr>
          <w:p w:rsidR="00B621FC" w:rsidRPr="003914FB" w:rsidRDefault="00B621FC">
            <w:pPr>
              <w:pStyle w:val="TableText"/>
            </w:pPr>
          </w:p>
        </w:tc>
        <w:tc>
          <w:tcPr>
            <w:tcW w:w="7225" w:type="dxa"/>
            <w:gridSpan w:val="2"/>
          </w:tcPr>
          <w:tbl>
            <w:tblPr>
              <w:tblStyle w:val="af3"/>
              <w:bidiVisual/>
              <w:tblW w:w="7030" w:type="dxa"/>
              <w:jc w:val="center"/>
              <w:tblLook w:val="05E0" w:firstRow="1" w:lastRow="1" w:firstColumn="1" w:lastColumn="1" w:noHBand="0" w:noVBand="1"/>
            </w:tblPr>
            <w:tblGrid>
              <w:gridCol w:w="3584"/>
              <w:gridCol w:w="3584"/>
            </w:tblGrid>
            <w:tr w:rsidR="003914FB" w:rsidRPr="003914FB" w:rsidTr="00B621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8" w:type="dxa"/>
                </w:tcPr>
                <w:p w:rsidR="00B621FC" w:rsidRPr="003914FB" w:rsidRDefault="00B621FC" w:rsidP="00825BA9">
                  <w:pPr>
                    <w:pStyle w:val="TableBlock"/>
                    <w:bidi/>
                    <w:rPr>
                      <w:rtl/>
                    </w:rPr>
                  </w:pPr>
                  <w:r w:rsidRPr="003914FB">
                    <w:rPr>
                      <w:rFonts w:hint="cs"/>
                      <w:rtl/>
                    </w:rPr>
                    <w:t>טור א'</w:t>
                  </w:r>
                </w:p>
              </w:tc>
              <w:tc>
                <w:tcPr>
                  <w:cnfStyle w:val="000100000000" w:firstRow="0" w:lastRow="0" w:firstColumn="0" w:lastColumn="1" w:oddVBand="0" w:evenVBand="0" w:oddHBand="0" w:evenHBand="0" w:firstRowFirstColumn="0" w:firstRowLastColumn="0" w:lastRowFirstColumn="0" w:lastRowLastColumn="0"/>
                  <w:tcW w:w="3568" w:type="dxa"/>
                </w:tcPr>
                <w:p w:rsidR="00B621FC" w:rsidRPr="003914FB" w:rsidRDefault="00B621FC" w:rsidP="00B621FC">
                  <w:pPr>
                    <w:pStyle w:val="TableBlock"/>
                    <w:bidi/>
                    <w:jc w:val="center"/>
                    <w:rPr>
                      <w:rtl/>
                    </w:rPr>
                  </w:pPr>
                  <w:r w:rsidRPr="003914FB">
                    <w:rPr>
                      <w:rFonts w:hint="cs"/>
                      <w:rtl/>
                    </w:rPr>
                    <w:t>טור ב'</w:t>
                  </w:r>
                </w:p>
              </w:tc>
            </w:tr>
            <w:tr w:rsidR="003914FB" w:rsidRPr="003914FB" w:rsidTr="00B621FC">
              <w:trPr>
                <w:jc w:val="center"/>
              </w:trPr>
              <w:tc>
                <w:tcPr>
                  <w:cnfStyle w:val="001000000000" w:firstRow="0" w:lastRow="0" w:firstColumn="1" w:lastColumn="0" w:oddVBand="0" w:evenVBand="0" w:oddHBand="0" w:evenHBand="0" w:firstRowFirstColumn="0" w:firstRowLastColumn="0" w:lastRowFirstColumn="0" w:lastRowLastColumn="0"/>
                  <w:tcW w:w="3568" w:type="dxa"/>
                </w:tcPr>
                <w:tbl>
                  <w:tblPr>
                    <w:bidiVisual/>
                    <w:tblW w:w="0" w:type="auto"/>
                    <w:tblCellMar>
                      <w:top w:w="57" w:type="dxa"/>
                      <w:left w:w="0" w:type="dxa"/>
                      <w:bottom w:w="57" w:type="dxa"/>
                      <w:right w:w="0" w:type="dxa"/>
                    </w:tblCellMar>
                    <w:tblLook w:val="01E0" w:firstRow="1" w:lastRow="1" w:firstColumn="1" w:lastColumn="1" w:noHBand="0" w:noVBand="0"/>
                  </w:tblPr>
                  <w:tblGrid>
                    <w:gridCol w:w="3584"/>
                  </w:tblGrid>
                  <w:tr w:rsidR="003914FB" w:rsidRPr="003914FB" w:rsidTr="00235C2F">
                    <w:trPr>
                      <w:cantSplit/>
                      <w:trHeight w:val="60"/>
                    </w:trPr>
                    <w:tc>
                      <w:tcPr>
                        <w:tcW w:w="0" w:type="auto"/>
                      </w:tcPr>
                      <w:p w:rsidR="00FA495B" w:rsidRPr="003914FB" w:rsidRDefault="00FA495B" w:rsidP="00541F84">
                        <w:r w:rsidRPr="003914FB">
                          <w:rPr>
                            <w:rFonts w:hint="cs"/>
                            <w:rtl/>
                          </w:rPr>
                          <w:t xml:space="preserve">על ברזים לחדרי אמבטיה וברזים לנטילת ידיים, ובתנאי שעל גבי אריזתם יסומן באופן ברור כי הם אינם מיועדים למי שתיה. </w:t>
                        </w:r>
                      </w:p>
                    </w:tc>
                  </w:tr>
                </w:tbl>
                <w:p w:rsidR="00B621FC" w:rsidRPr="003914FB" w:rsidRDefault="00B621FC">
                  <w:pPr>
                    <w:pStyle w:val="TableBlock"/>
                    <w:rPr>
                      <w:rtl/>
                    </w:rPr>
                  </w:pPr>
                </w:p>
              </w:tc>
              <w:tc>
                <w:tcPr>
                  <w:cnfStyle w:val="000100000000" w:firstRow="0" w:lastRow="0" w:firstColumn="0" w:lastColumn="1" w:oddVBand="0" w:evenVBand="0" w:oddHBand="0" w:evenHBand="0" w:firstRowFirstColumn="0" w:firstRowLastColumn="0" w:lastRowFirstColumn="0" w:lastRowLastColumn="0"/>
                  <w:tcW w:w="3568" w:type="dxa"/>
                </w:tcPr>
                <w:p w:rsidR="00B621FC" w:rsidRPr="00E33CFD" w:rsidRDefault="00816DC1" w:rsidP="00235C2F">
                  <w:pPr>
                    <w:pStyle w:val="TableBlock"/>
                    <w:numPr>
                      <w:ilvl w:val="0"/>
                      <w:numId w:val="33"/>
                    </w:numPr>
                    <w:tabs>
                      <w:tab w:val="clear" w:pos="624"/>
                    </w:tabs>
                    <w:bidi/>
                    <w:rPr>
                      <w:sz w:val="18"/>
                      <w:szCs w:val="24"/>
                    </w:rPr>
                  </w:pPr>
                  <w:r w:rsidRPr="00E33CFD">
                    <w:rPr>
                      <w:rFonts w:hint="cs"/>
                      <w:sz w:val="18"/>
                      <w:szCs w:val="24"/>
                      <w:rtl/>
                    </w:rPr>
                    <w:t>סעיף 5.1 בתקן ישראלי</w:t>
                  </w:r>
                  <w:r w:rsidR="007D3282" w:rsidRPr="00E33CFD">
                    <w:rPr>
                      <w:rFonts w:hint="cs"/>
                      <w:sz w:val="18"/>
                      <w:szCs w:val="24"/>
                      <w:rtl/>
                    </w:rPr>
                    <w:t xml:space="preserve"> ת"י</w:t>
                  </w:r>
                  <w:r w:rsidRPr="00E33CFD">
                    <w:rPr>
                      <w:rFonts w:hint="cs"/>
                      <w:sz w:val="18"/>
                      <w:szCs w:val="24"/>
                      <w:rtl/>
                    </w:rPr>
                    <w:t xml:space="preserve"> 1317 </w:t>
                  </w:r>
                  <w:r w:rsidRPr="00E33CFD">
                    <w:rPr>
                      <w:sz w:val="18"/>
                      <w:szCs w:val="24"/>
                      <w:rtl/>
                    </w:rPr>
                    <w:t>–</w:t>
                  </w:r>
                  <w:r w:rsidRPr="00E33CFD">
                    <w:rPr>
                      <w:rFonts w:hint="cs"/>
                      <w:sz w:val="18"/>
                      <w:szCs w:val="24"/>
                      <w:rtl/>
                    </w:rPr>
                    <w:t xml:space="preserve"> </w:t>
                  </w:r>
                  <w:r w:rsidRPr="00E33CFD">
                    <w:rPr>
                      <w:sz w:val="18"/>
                      <w:szCs w:val="24"/>
                      <w:rtl/>
                    </w:rPr>
                    <w:t>ברז יחיד וסוללות ברזים לערבוב</w:t>
                  </w:r>
                  <w:r w:rsidRPr="00E33CFD">
                    <w:rPr>
                      <w:rFonts w:hint="cs"/>
                      <w:sz w:val="18"/>
                      <w:szCs w:val="24"/>
                      <w:rtl/>
                    </w:rPr>
                    <w:t xml:space="preserve">, </w:t>
                  </w:r>
                  <w:r w:rsidR="007D3282" w:rsidRPr="00E33CFD">
                    <w:rPr>
                      <w:rFonts w:hint="cs"/>
                      <w:sz w:val="18"/>
                      <w:szCs w:val="24"/>
                      <w:rtl/>
                    </w:rPr>
                    <w:t>מ</w:t>
                  </w:r>
                  <w:r w:rsidRPr="00E33CFD">
                    <w:rPr>
                      <w:rFonts w:hint="cs"/>
                      <w:sz w:val="18"/>
                      <w:szCs w:val="24"/>
                      <w:rtl/>
                    </w:rPr>
                    <w:t>מאי 2007, לרבות גיליון תיקון</w:t>
                  </w:r>
                  <w:r w:rsidR="007D3282" w:rsidRPr="00E33CFD">
                    <w:rPr>
                      <w:rFonts w:hint="cs"/>
                      <w:sz w:val="18"/>
                      <w:szCs w:val="24"/>
                      <w:rtl/>
                    </w:rPr>
                    <w:t xml:space="preserve"> מספר 1,</w:t>
                  </w:r>
                  <w:r w:rsidRPr="00E33CFD">
                    <w:rPr>
                      <w:rFonts w:hint="cs"/>
                      <w:sz w:val="18"/>
                      <w:szCs w:val="24"/>
                      <w:rtl/>
                    </w:rPr>
                    <w:t xml:space="preserve"> מאפריל 2019</w:t>
                  </w:r>
                  <w:r w:rsidRPr="00E33CFD">
                    <w:rPr>
                      <w:rStyle w:val="ae"/>
                      <w:sz w:val="18"/>
                      <w:szCs w:val="24"/>
                      <w:rtl/>
                    </w:rPr>
                    <w:footnoteReference w:id="2"/>
                  </w:r>
                  <w:r w:rsidRPr="00E33CFD">
                    <w:rPr>
                      <w:rFonts w:hint="cs"/>
                      <w:sz w:val="18"/>
                      <w:szCs w:val="24"/>
                      <w:rtl/>
                    </w:rPr>
                    <w:t>;</w:t>
                  </w:r>
                </w:p>
                <w:p w:rsidR="00816DC1" w:rsidRPr="003914FB" w:rsidRDefault="00816DC1" w:rsidP="00235C2F">
                  <w:pPr>
                    <w:pStyle w:val="TableBlock"/>
                    <w:numPr>
                      <w:ilvl w:val="0"/>
                      <w:numId w:val="33"/>
                    </w:numPr>
                    <w:tabs>
                      <w:tab w:val="clear" w:pos="624"/>
                    </w:tabs>
                    <w:bidi/>
                    <w:rPr>
                      <w:rtl/>
                    </w:rPr>
                  </w:pPr>
                  <w:r w:rsidRPr="00E33CFD">
                    <w:rPr>
                      <w:rFonts w:hint="cs"/>
                      <w:sz w:val="18"/>
                      <w:szCs w:val="24"/>
                      <w:rtl/>
                    </w:rPr>
                    <w:t xml:space="preserve">סעיף 7.1 </w:t>
                  </w:r>
                  <w:r w:rsidRPr="00E33CFD">
                    <w:rPr>
                      <w:sz w:val="18"/>
                      <w:szCs w:val="24"/>
                      <w:rtl/>
                    </w:rPr>
                    <w:t xml:space="preserve">בתקן ישראלי </w:t>
                  </w:r>
                  <w:r w:rsidR="007D3282" w:rsidRPr="00E33CFD">
                    <w:rPr>
                      <w:rFonts w:hint="cs"/>
                      <w:sz w:val="18"/>
                      <w:szCs w:val="24"/>
                      <w:rtl/>
                    </w:rPr>
                    <w:t xml:space="preserve">ת"י </w:t>
                  </w:r>
                  <w:r w:rsidRPr="00E33CFD">
                    <w:rPr>
                      <w:sz w:val="18"/>
                      <w:szCs w:val="24"/>
                      <w:rtl/>
                    </w:rPr>
                    <w:t>13</w:t>
                  </w:r>
                  <w:r w:rsidRPr="00E33CFD">
                    <w:rPr>
                      <w:rFonts w:hint="cs"/>
                      <w:sz w:val="18"/>
                      <w:szCs w:val="24"/>
                      <w:rtl/>
                    </w:rPr>
                    <w:t>47</w:t>
                  </w:r>
                  <w:r w:rsidRPr="00E33CFD">
                    <w:rPr>
                      <w:sz w:val="18"/>
                      <w:szCs w:val="24"/>
                      <w:rtl/>
                    </w:rPr>
                    <w:t xml:space="preserve"> – ברז ערבוב מכני בעל ידית הפעלה אחת, </w:t>
                  </w:r>
                  <w:r w:rsidR="007D3282" w:rsidRPr="00E33CFD">
                    <w:rPr>
                      <w:rFonts w:hint="cs"/>
                      <w:sz w:val="18"/>
                      <w:szCs w:val="24"/>
                      <w:rtl/>
                    </w:rPr>
                    <w:t>מ</w:t>
                  </w:r>
                  <w:r w:rsidRPr="00E33CFD">
                    <w:rPr>
                      <w:rFonts w:hint="cs"/>
                      <w:sz w:val="18"/>
                      <w:szCs w:val="24"/>
                      <w:rtl/>
                    </w:rPr>
                    <w:t>יולי 2006</w:t>
                  </w:r>
                  <w:r w:rsidRPr="00E33CFD">
                    <w:rPr>
                      <w:sz w:val="18"/>
                      <w:szCs w:val="24"/>
                      <w:rtl/>
                    </w:rPr>
                    <w:t>, לרבות גיליון תיקון</w:t>
                  </w:r>
                  <w:r w:rsidR="007D3282" w:rsidRPr="00E33CFD">
                    <w:rPr>
                      <w:rFonts w:hint="cs"/>
                      <w:sz w:val="18"/>
                      <w:szCs w:val="24"/>
                      <w:rtl/>
                    </w:rPr>
                    <w:t xml:space="preserve"> מספר 1,</w:t>
                  </w:r>
                  <w:r w:rsidRPr="00E33CFD">
                    <w:rPr>
                      <w:sz w:val="18"/>
                      <w:szCs w:val="24"/>
                      <w:rtl/>
                    </w:rPr>
                    <w:t xml:space="preserve"> </w:t>
                  </w:r>
                  <w:r w:rsidRPr="00E33CFD">
                    <w:rPr>
                      <w:rFonts w:hint="cs"/>
                      <w:sz w:val="18"/>
                      <w:szCs w:val="24"/>
                      <w:rtl/>
                    </w:rPr>
                    <w:t>מאוגוסט 2019</w:t>
                  </w:r>
                  <w:r w:rsidRPr="00E33CFD">
                    <w:rPr>
                      <w:rStyle w:val="ae"/>
                      <w:sz w:val="18"/>
                      <w:szCs w:val="24"/>
                      <w:rtl/>
                    </w:rPr>
                    <w:footnoteReference w:id="3"/>
                  </w:r>
                  <w:r w:rsidR="007D3282" w:rsidRPr="00E33CFD">
                    <w:rPr>
                      <w:rFonts w:hint="cs"/>
                      <w:sz w:val="18"/>
                      <w:szCs w:val="24"/>
                      <w:rtl/>
                    </w:rPr>
                    <w:t>.</w:t>
                  </w:r>
                </w:p>
              </w:tc>
            </w:tr>
          </w:tbl>
          <w:p w:rsidR="00B621FC" w:rsidRPr="003914FB" w:rsidRDefault="00B621FC">
            <w:pPr>
              <w:pStyle w:val="TableBlock"/>
            </w:pPr>
          </w:p>
        </w:tc>
      </w:tr>
      <w:tr w:rsidR="003914FB" w:rsidRPr="003914FB" w:rsidTr="00825BA9">
        <w:trPr>
          <w:cantSplit/>
        </w:trPr>
        <w:tc>
          <w:tcPr>
            <w:tcW w:w="1871" w:type="dxa"/>
            <w:gridSpan w:val="2"/>
          </w:tcPr>
          <w:p w:rsidR="00816DC1" w:rsidRPr="003914FB" w:rsidRDefault="00541F84">
            <w:pPr>
              <w:pStyle w:val="TableSideHeading"/>
            </w:pPr>
            <w:bookmarkStart w:id="10" w:name="_Toc34556226"/>
            <w:bookmarkStart w:id="11" w:name="_Toc34556244"/>
            <w:r>
              <w:rPr>
                <w:rFonts w:hint="cs"/>
                <w:rtl/>
              </w:rPr>
              <w:t xml:space="preserve">אי- </w:t>
            </w:r>
            <w:r w:rsidR="00C102D6" w:rsidRPr="003914FB">
              <w:rPr>
                <w:rFonts w:hint="cs"/>
                <w:rtl/>
              </w:rPr>
              <w:t>תחולה</w:t>
            </w:r>
            <w:bookmarkEnd w:id="10"/>
            <w:bookmarkEnd w:id="11"/>
          </w:p>
        </w:tc>
        <w:tc>
          <w:tcPr>
            <w:tcW w:w="624" w:type="dxa"/>
            <w:gridSpan w:val="2"/>
          </w:tcPr>
          <w:p w:rsidR="00816DC1" w:rsidRPr="003914FB" w:rsidRDefault="00C102D6" w:rsidP="00235C2F">
            <w:pPr>
              <w:pStyle w:val="TableText"/>
            </w:pPr>
            <w:r w:rsidRPr="003914FB">
              <w:rPr>
                <w:rFonts w:hint="cs"/>
                <w:rtl/>
              </w:rPr>
              <w:t>2.</w:t>
            </w:r>
          </w:p>
        </w:tc>
        <w:tc>
          <w:tcPr>
            <w:tcW w:w="7146" w:type="dxa"/>
          </w:tcPr>
          <w:p w:rsidR="00816DC1" w:rsidRPr="003914FB" w:rsidRDefault="00C102D6" w:rsidP="0001691E">
            <w:pPr>
              <w:pStyle w:val="TableBlock"/>
              <w:rPr>
                <w:rtl/>
              </w:rPr>
            </w:pPr>
            <w:r w:rsidRPr="003914FB">
              <w:rPr>
                <w:rtl/>
              </w:rPr>
              <w:t>הפטור</w:t>
            </w:r>
            <w:r w:rsidRPr="003914FB">
              <w:rPr>
                <w:rFonts w:hint="cs"/>
                <w:rtl/>
              </w:rPr>
              <w:t xml:space="preserve"> </w:t>
            </w:r>
            <w:r w:rsidR="00B27F5C">
              <w:rPr>
                <w:rFonts w:hint="cs"/>
                <w:rtl/>
              </w:rPr>
              <w:t xml:space="preserve">לפי סעיף 1 </w:t>
            </w:r>
            <w:r w:rsidR="00541F84">
              <w:rPr>
                <w:rFonts w:hint="cs"/>
                <w:rtl/>
              </w:rPr>
              <w:t xml:space="preserve">לא </w:t>
            </w:r>
            <w:r w:rsidRPr="003914FB">
              <w:rPr>
                <w:rFonts w:hint="cs"/>
                <w:rtl/>
              </w:rPr>
              <w:t>יחול על מוצרים כאמור ב</w:t>
            </w:r>
            <w:r w:rsidR="00B27F5C">
              <w:rPr>
                <w:rFonts w:hint="cs"/>
                <w:rtl/>
              </w:rPr>
              <w:t xml:space="preserve">אותו סעיף </w:t>
            </w:r>
            <w:r w:rsidRPr="003914FB">
              <w:rPr>
                <w:rFonts w:hint="cs"/>
                <w:rtl/>
              </w:rPr>
              <w:t xml:space="preserve">אשר יוצרו </w:t>
            </w:r>
            <w:r w:rsidR="00B27F5C">
              <w:rPr>
                <w:rFonts w:hint="cs"/>
                <w:rtl/>
              </w:rPr>
              <w:t xml:space="preserve">בישראל </w:t>
            </w:r>
            <w:r w:rsidRPr="003914FB">
              <w:rPr>
                <w:rFonts w:hint="cs"/>
                <w:rtl/>
              </w:rPr>
              <w:t>או יובאו</w:t>
            </w:r>
            <w:r w:rsidR="00B27F5C">
              <w:rPr>
                <w:rFonts w:hint="cs"/>
                <w:rtl/>
              </w:rPr>
              <w:t xml:space="preserve"> לישראל</w:t>
            </w:r>
            <w:r w:rsidRPr="003914FB">
              <w:rPr>
                <w:rFonts w:hint="cs"/>
                <w:rtl/>
              </w:rPr>
              <w:t xml:space="preserve"> </w:t>
            </w:r>
            <w:r w:rsidR="0001691E">
              <w:rPr>
                <w:rFonts w:hint="cs"/>
                <w:rtl/>
              </w:rPr>
              <w:t xml:space="preserve">אחרי </w:t>
            </w:r>
            <w:r w:rsidR="00B27F5C">
              <w:rPr>
                <w:rFonts w:hint="cs"/>
                <w:rtl/>
              </w:rPr>
              <w:t xml:space="preserve">יום תחילתו </w:t>
            </w:r>
            <w:r w:rsidRPr="003914FB">
              <w:rPr>
                <w:rtl/>
              </w:rPr>
              <w:t>של צו זה.</w:t>
            </w:r>
          </w:p>
        </w:tc>
      </w:tr>
      <w:tr w:rsidR="003914FB" w:rsidRPr="003914FB" w:rsidTr="00825BA9">
        <w:trPr>
          <w:cantSplit/>
        </w:trPr>
        <w:tc>
          <w:tcPr>
            <w:tcW w:w="1871" w:type="dxa"/>
            <w:gridSpan w:val="2"/>
          </w:tcPr>
          <w:p w:rsidR="004E41C8" w:rsidRPr="003914FB" w:rsidRDefault="009E3BA1" w:rsidP="00235C2F">
            <w:pPr>
              <w:pStyle w:val="TableSideHeading"/>
            </w:pPr>
            <w:bookmarkStart w:id="12" w:name="_Toc34556227"/>
            <w:bookmarkStart w:id="13" w:name="_Toc34556245"/>
            <w:r w:rsidRPr="003914FB">
              <w:rPr>
                <w:rFonts w:hint="cs"/>
                <w:rtl/>
              </w:rPr>
              <w:t>תחילה ו</w:t>
            </w:r>
            <w:r w:rsidR="004E41C8" w:rsidRPr="003914FB">
              <w:rPr>
                <w:rFonts w:hint="cs"/>
                <w:rtl/>
              </w:rPr>
              <w:t>תוקף</w:t>
            </w:r>
            <w:bookmarkEnd w:id="12"/>
            <w:bookmarkEnd w:id="13"/>
            <w:r w:rsidR="00235C2F" w:rsidRPr="003914FB">
              <w:rPr>
                <w:rFonts w:hint="cs"/>
                <w:rtl/>
              </w:rPr>
              <w:t xml:space="preserve">     </w:t>
            </w:r>
          </w:p>
        </w:tc>
        <w:tc>
          <w:tcPr>
            <w:tcW w:w="624" w:type="dxa"/>
            <w:gridSpan w:val="2"/>
          </w:tcPr>
          <w:p w:rsidR="004E41C8" w:rsidRPr="003914FB" w:rsidRDefault="00C102D6" w:rsidP="004E41C8">
            <w:pPr>
              <w:pStyle w:val="TableText"/>
            </w:pPr>
            <w:r w:rsidRPr="003914FB">
              <w:rPr>
                <w:rFonts w:hint="cs"/>
                <w:rtl/>
              </w:rPr>
              <w:t>3.</w:t>
            </w:r>
          </w:p>
        </w:tc>
        <w:tc>
          <w:tcPr>
            <w:tcW w:w="7146" w:type="dxa"/>
          </w:tcPr>
          <w:p w:rsidR="004E41C8" w:rsidRPr="003914FB" w:rsidRDefault="0059112D" w:rsidP="00EB3328">
            <w:pPr>
              <w:pStyle w:val="TableBlock"/>
            </w:pPr>
            <w:r w:rsidRPr="003914FB">
              <w:rPr>
                <w:rFonts w:hint="cs"/>
                <w:rtl/>
              </w:rPr>
              <w:t>(א)</w:t>
            </w:r>
            <w:r w:rsidRPr="003914FB">
              <w:rPr>
                <w:rtl/>
              </w:rPr>
              <w:tab/>
            </w:r>
            <w:r w:rsidRPr="003914FB">
              <w:rPr>
                <w:rFonts w:hint="cs"/>
                <w:rtl/>
              </w:rPr>
              <w:t>תחילתו של צו זה ביום</w:t>
            </w:r>
            <w:r w:rsidR="00EB3328" w:rsidRPr="003914FB">
              <w:rPr>
                <w:rtl/>
              </w:rPr>
              <w:t xml:space="preserve"> ט' </w:t>
            </w:r>
            <w:r w:rsidR="00B27F5C">
              <w:rPr>
                <w:rFonts w:hint="cs"/>
                <w:rtl/>
              </w:rPr>
              <w:t>ב</w:t>
            </w:r>
            <w:r w:rsidR="00EB3328" w:rsidRPr="003914FB">
              <w:rPr>
                <w:rtl/>
              </w:rPr>
              <w:t xml:space="preserve">תמוז </w:t>
            </w:r>
            <w:proofErr w:type="spellStart"/>
            <w:r w:rsidR="00EB3328" w:rsidRPr="003914FB">
              <w:rPr>
                <w:rtl/>
              </w:rPr>
              <w:t>התש"</w:t>
            </w:r>
            <w:r w:rsidR="00B27F5C">
              <w:rPr>
                <w:rFonts w:hint="cs"/>
                <w:rtl/>
              </w:rPr>
              <w:t>ף</w:t>
            </w:r>
            <w:proofErr w:type="spellEnd"/>
            <w:r w:rsidR="00EB3328" w:rsidRPr="003914FB">
              <w:rPr>
                <w:rtl/>
              </w:rPr>
              <w:t xml:space="preserve"> (1 ביולי 2020)</w:t>
            </w:r>
            <w:r w:rsidRPr="003914FB">
              <w:rPr>
                <w:rFonts w:hint="cs"/>
                <w:rtl/>
              </w:rPr>
              <w:t>.</w:t>
            </w:r>
            <w:r w:rsidR="0041642A" w:rsidRPr="003914FB">
              <w:rPr>
                <w:rFonts w:hint="cs"/>
                <w:rtl/>
              </w:rPr>
              <w:t xml:space="preserve"> </w:t>
            </w:r>
          </w:p>
        </w:tc>
      </w:tr>
      <w:tr w:rsidR="003914FB" w:rsidRPr="003914FB" w:rsidTr="00825BA9">
        <w:trPr>
          <w:cantSplit/>
        </w:trPr>
        <w:tc>
          <w:tcPr>
            <w:tcW w:w="1871" w:type="dxa"/>
            <w:gridSpan w:val="2"/>
          </w:tcPr>
          <w:p w:rsidR="0059112D" w:rsidRPr="003914FB" w:rsidRDefault="0059112D" w:rsidP="004E41C8">
            <w:pPr>
              <w:pStyle w:val="TableSideHeading"/>
              <w:rPr>
                <w:rtl/>
              </w:rPr>
            </w:pPr>
          </w:p>
        </w:tc>
        <w:tc>
          <w:tcPr>
            <w:tcW w:w="624" w:type="dxa"/>
            <w:gridSpan w:val="2"/>
          </w:tcPr>
          <w:p w:rsidR="0059112D" w:rsidRPr="003914FB" w:rsidRDefault="0059112D" w:rsidP="0059112D">
            <w:pPr>
              <w:pStyle w:val="TableText"/>
              <w:rPr>
                <w:rtl/>
              </w:rPr>
            </w:pPr>
          </w:p>
        </w:tc>
        <w:tc>
          <w:tcPr>
            <w:tcW w:w="7146" w:type="dxa"/>
          </w:tcPr>
          <w:p w:rsidR="0059112D" w:rsidRPr="003914FB" w:rsidRDefault="0059112D" w:rsidP="00B27F5C">
            <w:pPr>
              <w:pStyle w:val="TableBlock"/>
              <w:rPr>
                <w:rtl/>
              </w:rPr>
            </w:pPr>
            <w:r w:rsidRPr="003914FB">
              <w:rPr>
                <w:rFonts w:hint="cs"/>
                <w:rtl/>
              </w:rPr>
              <w:t>(ב)</w:t>
            </w:r>
            <w:r w:rsidRPr="003914FB">
              <w:rPr>
                <w:rtl/>
              </w:rPr>
              <w:tab/>
            </w:r>
            <w:r w:rsidRPr="003914FB">
              <w:rPr>
                <w:rFonts w:hint="cs"/>
                <w:rtl/>
              </w:rPr>
              <w:t xml:space="preserve">תוקפו של צו זה </w:t>
            </w:r>
            <w:r w:rsidR="00EB3328" w:rsidRPr="003914FB">
              <w:rPr>
                <w:rtl/>
              </w:rPr>
              <w:t xml:space="preserve">עד יום </w:t>
            </w:r>
            <w:r w:rsidR="00B27F5C">
              <w:rPr>
                <w:rFonts w:hint="cs"/>
                <w:rtl/>
              </w:rPr>
              <w:t xml:space="preserve">י"ז באדר </w:t>
            </w:r>
            <w:proofErr w:type="spellStart"/>
            <w:r w:rsidR="00B27F5C">
              <w:rPr>
                <w:rFonts w:hint="cs"/>
                <w:rtl/>
              </w:rPr>
              <w:t>התשפ"א</w:t>
            </w:r>
            <w:proofErr w:type="spellEnd"/>
            <w:r w:rsidR="00B27F5C">
              <w:rPr>
                <w:rFonts w:hint="cs"/>
                <w:rtl/>
              </w:rPr>
              <w:t xml:space="preserve"> (1 במרס 2021).</w:t>
            </w:r>
          </w:p>
        </w:tc>
      </w:tr>
    </w:tbl>
    <w:p w:rsidR="00CD494F" w:rsidRPr="003914FB" w:rsidRDefault="00CD494F" w:rsidP="00307E94"/>
    <w:p w:rsidR="00CD494F" w:rsidRPr="003914FB" w:rsidRDefault="00CD494F" w:rsidP="00307E94">
      <w:pPr>
        <w:rPr>
          <w:rtl/>
        </w:rPr>
      </w:pPr>
    </w:p>
    <w:p w:rsidR="00CD494F" w:rsidRPr="003914FB" w:rsidRDefault="004E1C94" w:rsidP="00017271">
      <w:pPr>
        <w:rPr>
          <w:rFonts w:eastAsia="Calibri"/>
          <w:rtl/>
        </w:rPr>
      </w:pPr>
      <w:r w:rsidRPr="00017271">
        <w:rPr>
          <w:rFonts w:eastAsia="Calibri" w:hint="cs"/>
          <w:u w:val="single"/>
          <w:rtl/>
        </w:rPr>
        <w:t xml:space="preserve">        </w:t>
      </w:r>
      <w:r w:rsidRPr="00017271">
        <w:rPr>
          <w:rFonts w:eastAsia="Calibri" w:hint="cs"/>
          <w:rtl/>
        </w:rPr>
        <w:t xml:space="preserve"> </w:t>
      </w:r>
      <w:r w:rsidR="00017271">
        <w:rPr>
          <w:rFonts w:eastAsia="Calibri" w:hint="cs"/>
          <w:rtl/>
        </w:rPr>
        <w:t>באדר</w:t>
      </w:r>
      <w:r w:rsidRPr="003914FB">
        <w:rPr>
          <w:rFonts w:eastAsia="Calibri" w:hint="cs"/>
          <w:rtl/>
        </w:rPr>
        <w:t xml:space="preserve"> </w:t>
      </w:r>
      <w:proofErr w:type="spellStart"/>
      <w:r w:rsidR="00CD494F" w:rsidRPr="003914FB">
        <w:rPr>
          <w:rFonts w:eastAsia="Calibri" w:hint="cs"/>
          <w:rtl/>
        </w:rPr>
        <w:t>ה</w:t>
      </w:r>
      <w:r w:rsidR="00017271">
        <w:rPr>
          <w:rFonts w:eastAsia="Calibri" w:hint="cs"/>
          <w:rtl/>
        </w:rPr>
        <w:t>'</w:t>
      </w:r>
      <w:r w:rsidR="00CD494F" w:rsidRPr="003914FB">
        <w:rPr>
          <w:rFonts w:eastAsia="Calibri" w:hint="cs"/>
          <w:rtl/>
        </w:rPr>
        <w:t>תש</w:t>
      </w:r>
      <w:r w:rsidR="009646B2" w:rsidRPr="003914FB">
        <w:rPr>
          <w:rFonts w:eastAsia="Calibri" w:hint="cs"/>
          <w:rtl/>
        </w:rPr>
        <w:t>"ף</w:t>
      </w:r>
      <w:proofErr w:type="spellEnd"/>
      <w:r w:rsidR="00CD494F" w:rsidRPr="003914FB">
        <w:rPr>
          <w:rFonts w:eastAsia="Calibri" w:hint="cs"/>
          <w:rtl/>
        </w:rPr>
        <w:t xml:space="preserve"> (</w:t>
      </w:r>
      <w:r w:rsidRPr="003914FB">
        <w:rPr>
          <w:rFonts w:eastAsia="Calibri" w:hint="cs"/>
          <w:u w:val="single"/>
          <w:rtl/>
        </w:rPr>
        <w:t xml:space="preserve">       </w:t>
      </w:r>
      <w:r w:rsidR="00017271">
        <w:rPr>
          <w:rFonts w:eastAsia="Calibri" w:hint="cs"/>
          <w:rtl/>
        </w:rPr>
        <w:t xml:space="preserve"> במרס</w:t>
      </w:r>
      <w:r w:rsidRPr="003914FB">
        <w:rPr>
          <w:rFonts w:eastAsia="Calibri" w:hint="cs"/>
          <w:rtl/>
        </w:rPr>
        <w:t xml:space="preserve"> </w:t>
      </w:r>
      <w:r w:rsidR="00A37565" w:rsidRPr="003914FB">
        <w:rPr>
          <w:rFonts w:eastAsia="Calibri" w:hint="cs"/>
          <w:rtl/>
        </w:rPr>
        <w:t>2020</w:t>
      </w:r>
      <w:r w:rsidR="00CD494F" w:rsidRPr="003914FB">
        <w:rPr>
          <w:rFonts w:eastAsia="Calibri" w:hint="cs"/>
          <w:rtl/>
        </w:rPr>
        <w:t>)</w:t>
      </w:r>
    </w:p>
    <w:p w:rsidR="00CD494F" w:rsidRPr="003914FB" w:rsidRDefault="001C42DC" w:rsidP="00B43697">
      <w:pPr>
        <w:rPr>
          <w:rFonts w:eastAsia="Calibri"/>
          <w:rtl/>
        </w:rPr>
      </w:pPr>
      <w:r w:rsidRPr="003914FB" w:rsidDel="001C42DC">
        <w:rPr>
          <w:rFonts w:eastAsia="Calibri" w:hint="cs"/>
          <w:rtl/>
        </w:rPr>
        <w:t xml:space="preserve"> </w:t>
      </w:r>
      <w:r w:rsidR="00CD494F" w:rsidRPr="003914FB">
        <w:rPr>
          <w:rFonts w:eastAsia="Calibri" w:hint="cs"/>
          <w:rtl/>
        </w:rPr>
        <w:t>(</w:t>
      </w:r>
      <w:proofErr w:type="spellStart"/>
      <w:r w:rsidR="00CD494F" w:rsidRPr="003914FB">
        <w:rPr>
          <w:rFonts w:eastAsia="Calibri" w:hint="cs"/>
          <w:rtl/>
        </w:rPr>
        <w:t>חמ</w:t>
      </w:r>
      <w:proofErr w:type="spellEnd"/>
      <w:r w:rsidR="00CD494F" w:rsidRPr="003914FB">
        <w:rPr>
          <w:rFonts w:eastAsia="Calibri" w:hint="cs"/>
          <w:rtl/>
        </w:rPr>
        <w:t xml:space="preserve"> </w:t>
      </w:r>
      <w:r w:rsidR="00B43697" w:rsidRPr="003914FB">
        <w:rPr>
          <w:rFonts w:eastAsia="Calibri" w:hint="cs"/>
          <w:rtl/>
        </w:rPr>
        <w:t>95</w:t>
      </w:r>
      <w:r w:rsidRPr="003914FB">
        <w:rPr>
          <w:rFonts w:eastAsia="Calibri"/>
          <w:rtl/>
        </w:rPr>
        <w:t>–</w:t>
      </w:r>
      <w:r w:rsidR="00B43697" w:rsidRPr="003914FB">
        <w:rPr>
          <w:rFonts w:eastAsia="Calibri" w:hint="cs"/>
          <w:rtl/>
        </w:rPr>
        <w:t>3</w:t>
      </w:r>
      <w:r w:rsidR="00B43697" w:rsidRPr="003914FB">
        <w:rPr>
          <w:rFonts w:eastAsia="Calibri" w:hint="eastAsia"/>
          <w:rtl/>
        </w:rPr>
        <w:t>–</w:t>
      </w:r>
      <w:r w:rsidRPr="003914FB">
        <w:rPr>
          <w:rFonts w:eastAsia="Calibri" w:hint="cs"/>
          <w:rtl/>
        </w:rPr>
        <w:t>ת2)</w:t>
      </w:r>
    </w:p>
    <w:p w:rsidR="00CD494F" w:rsidRPr="003914FB" w:rsidRDefault="00CD494F" w:rsidP="00307E94">
      <w:pPr>
        <w:rPr>
          <w:rFonts w:eastAsia="Calibri"/>
          <w:rtl/>
        </w:rPr>
      </w:pPr>
    </w:p>
    <w:p w:rsidR="00CD494F" w:rsidRPr="003914FB" w:rsidRDefault="00CD494F" w:rsidP="00CD494F">
      <w:pPr>
        <w:ind w:left="5760"/>
        <w:jc w:val="center"/>
        <w:rPr>
          <w:rFonts w:eastAsia="Calibri"/>
          <w:b/>
          <w:bCs/>
          <w:rtl/>
        </w:rPr>
      </w:pPr>
      <w:r w:rsidRPr="003914FB">
        <w:rPr>
          <w:rFonts w:eastAsia="Calibri" w:hint="cs"/>
          <w:b/>
          <w:bCs/>
          <w:rtl/>
        </w:rPr>
        <w:t>אלי כהן</w:t>
      </w:r>
    </w:p>
    <w:p w:rsidR="00CD494F" w:rsidRPr="003914FB" w:rsidRDefault="00CD494F" w:rsidP="00307E94">
      <w:pPr>
        <w:ind w:left="5760"/>
        <w:jc w:val="center"/>
        <w:rPr>
          <w:rFonts w:eastAsia="Calibri"/>
          <w:rtl/>
        </w:rPr>
      </w:pPr>
      <w:r w:rsidRPr="003914FB">
        <w:rPr>
          <w:rFonts w:eastAsia="Calibri" w:hint="cs"/>
          <w:rtl/>
        </w:rPr>
        <w:t>שר הכלכלה והתעשייה</w:t>
      </w:r>
    </w:p>
    <w:p w:rsidR="00017271" w:rsidRDefault="00017271">
      <w:pPr>
        <w:widowControl/>
        <w:spacing w:after="160" w:line="259" w:lineRule="auto"/>
        <w:ind w:left="0"/>
        <w:contextualSpacing w:val="0"/>
        <w:jc w:val="left"/>
        <w:rPr>
          <w:rFonts w:ascii="Arial" w:eastAsia="Arial Unicode MS" w:hAnsi="Arial"/>
          <w:b/>
          <w:snapToGrid w:val="0"/>
          <w:spacing w:val="40"/>
          <w:sz w:val="20"/>
          <w:szCs w:val="26"/>
          <w:rtl/>
        </w:rPr>
      </w:pPr>
      <w:r>
        <w:rPr>
          <w:rtl/>
        </w:rPr>
        <w:br w:type="page"/>
      </w:r>
    </w:p>
    <w:p w:rsidR="00017271" w:rsidRPr="003914FB" w:rsidRDefault="00017271" w:rsidP="00017271">
      <w:pPr>
        <w:pStyle w:val="HeadDivreiHesber"/>
        <w:rPr>
          <w:rtl/>
        </w:rPr>
      </w:pPr>
      <w:bookmarkStart w:id="14" w:name="_Toc34556228"/>
      <w:bookmarkStart w:id="15" w:name="_Toc34556246"/>
      <w:r w:rsidRPr="003914FB">
        <w:rPr>
          <w:rtl/>
        </w:rPr>
        <w:lastRenderedPageBreak/>
        <w:t>דברי הסבר</w:t>
      </w:r>
      <w:bookmarkEnd w:id="14"/>
      <w:bookmarkEnd w:id="15"/>
    </w:p>
    <w:p w:rsidR="00017271" w:rsidRPr="003914FB" w:rsidRDefault="00017271" w:rsidP="00CC0225">
      <w:pPr>
        <w:spacing w:before="120" w:after="120"/>
        <w:contextualSpacing w:val="0"/>
        <w:rPr>
          <w:rtl/>
        </w:rPr>
      </w:pPr>
      <w:r w:rsidRPr="003914FB">
        <w:rPr>
          <w:rtl/>
        </w:rPr>
        <w:t>ב</w:t>
      </w:r>
      <w:r w:rsidRPr="003914FB">
        <w:rPr>
          <w:rFonts w:hint="cs"/>
          <w:rtl/>
        </w:rPr>
        <w:t xml:space="preserve">יום י"ח בכסלו </w:t>
      </w:r>
      <w:proofErr w:type="spellStart"/>
      <w:r w:rsidRPr="003914FB">
        <w:rPr>
          <w:rFonts w:hint="cs"/>
          <w:rtl/>
        </w:rPr>
        <w:t>התשע"ז</w:t>
      </w:r>
      <w:proofErr w:type="spellEnd"/>
      <w:r w:rsidRPr="003914FB">
        <w:rPr>
          <w:rFonts w:hint="cs"/>
          <w:rtl/>
        </w:rPr>
        <w:t xml:space="preserve"> (18 ב</w:t>
      </w:r>
      <w:r w:rsidRPr="003914FB">
        <w:rPr>
          <w:rtl/>
        </w:rPr>
        <w:t>דצמבר 2016</w:t>
      </w:r>
      <w:r w:rsidRPr="003914FB">
        <w:rPr>
          <w:rFonts w:hint="cs"/>
          <w:rtl/>
        </w:rPr>
        <w:t>)</w:t>
      </w:r>
      <w:r w:rsidRPr="003914FB">
        <w:rPr>
          <w:rtl/>
        </w:rPr>
        <w:t xml:space="preserve"> פורסמה ברשומות הודעה על החלפת התקן 5452 "בדיקת מוצרים הבאים במגע עם מי שתייה"</w:t>
      </w:r>
      <w:r w:rsidRPr="003914FB">
        <w:rPr>
          <w:rFonts w:hint="cs"/>
          <w:rtl/>
        </w:rPr>
        <w:t>. בתקן המעודכן נקבעה בין היתר</w:t>
      </w:r>
      <w:r w:rsidRPr="003914FB">
        <w:rPr>
          <w:rtl/>
        </w:rPr>
        <w:t xml:space="preserve"> דרישה לתכולה מרבית של עופרת במוצרים מתכתיים ובמוצרי פלסטיק הבאים במגע עם מי שתייה</w:t>
      </w:r>
      <w:r>
        <w:rPr>
          <w:rFonts w:hint="cs"/>
          <w:rtl/>
        </w:rPr>
        <w:t>.</w:t>
      </w:r>
      <w:r w:rsidRPr="003914FB">
        <w:rPr>
          <w:rtl/>
        </w:rPr>
        <w:t xml:space="preserve"> </w:t>
      </w:r>
    </w:p>
    <w:p w:rsidR="00017271" w:rsidRPr="003914FB" w:rsidRDefault="00017271" w:rsidP="00017271">
      <w:pPr>
        <w:spacing w:before="120" w:after="120"/>
        <w:contextualSpacing w:val="0"/>
        <w:rPr>
          <w:rtl/>
        </w:rPr>
      </w:pPr>
      <w:r w:rsidRPr="003914FB">
        <w:rPr>
          <w:rFonts w:hint="cs"/>
          <w:rtl/>
        </w:rPr>
        <w:t xml:space="preserve">לצורך התארגנות של כל בעלי העניין, נקבע מועד הכניסה לתוקף של הדרישה הנ"ל: י"ד אדר </w:t>
      </w:r>
      <w:proofErr w:type="spellStart"/>
      <w:r w:rsidRPr="003914FB">
        <w:rPr>
          <w:rFonts w:hint="cs"/>
          <w:rtl/>
        </w:rPr>
        <w:t>התשע"ח</w:t>
      </w:r>
      <w:proofErr w:type="spellEnd"/>
      <w:r w:rsidRPr="003914FB">
        <w:rPr>
          <w:rFonts w:hint="cs"/>
          <w:rtl/>
        </w:rPr>
        <w:t xml:space="preserve"> (1 במרס 2018) עבור מוצרי פלסטיק וכ"ד אדר א' </w:t>
      </w:r>
      <w:proofErr w:type="spellStart"/>
      <w:r w:rsidRPr="003914FB">
        <w:rPr>
          <w:rFonts w:hint="cs"/>
          <w:rtl/>
        </w:rPr>
        <w:t>התשע"ט</w:t>
      </w:r>
      <w:proofErr w:type="spellEnd"/>
      <w:r w:rsidRPr="003914FB">
        <w:rPr>
          <w:rFonts w:hint="cs"/>
          <w:rtl/>
        </w:rPr>
        <w:t xml:space="preserve"> (1 במרס 2019) עבור מוצרי מתכת. לקראת המועד </w:t>
      </w:r>
      <w:r>
        <w:rPr>
          <w:rFonts w:hint="cs"/>
          <w:rtl/>
        </w:rPr>
        <w:t>כאמור</w:t>
      </w:r>
      <w:r w:rsidRPr="003914FB">
        <w:rPr>
          <w:rFonts w:hint="cs"/>
          <w:rtl/>
        </w:rPr>
        <w:t>, לבקשת היבואני</w:t>
      </w:r>
      <w:r>
        <w:rPr>
          <w:rFonts w:hint="cs"/>
          <w:rtl/>
        </w:rPr>
        <w:t xml:space="preserve">ם והיצרנים, </w:t>
      </w:r>
      <w:r w:rsidRPr="003914FB">
        <w:rPr>
          <w:rFonts w:hint="cs"/>
          <w:rtl/>
        </w:rPr>
        <w:t xml:space="preserve">הוארכה תקופת ההתארגנות עבור מוצרים מתכתיים בשנה נוספת ומועד הכניסה לתוקף נקבע לתאריך ה' אדר </w:t>
      </w:r>
      <w:proofErr w:type="spellStart"/>
      <w:r w:rsidRPr="003914FB">
        <w:rPr>
          <w:rFonts w:hint="cs"/>
          <w:rtl/>
        </w:rPr>
        <w:t>התש"ף</w:t>
      </w:r>
      <w:proofErr w:type="spellEnd"/>
      <w:r w:rsidRPr="003914FB">
        <w:rPr>
          <w:rtl/>
        </w:rPr>
        <w:t xml:space="preserve"> </w:t>
      </w:r>
      <w:r w:rsidRPr="003914FB">
        <w:rPr>
          <w:rFonts w:hint="cs"/>
          <w:rtl/>
        </w:rPr>
        <w:t>(</w:t>
      </w:r>
      <w:r w:rsidRPr="003914FB">
        <w:rPr>
          <w:rtl/>
        </w:rPr>
        <w:t>1 במר</w:t>
      </w:r>
      <w:r w:rsidRPr="003914FB">
        <w:rPr>
          <w:rFonts w:hint="cs"/>
          <w:rtl/>
        </w:rPr>
        <w:t>ס</w:t>
      </w:r>
      <w:r w:rsidRPr="003914FB">
        <w:rPr>
          <w:rtl/>
        </w:rPr>
        <w:t xml:space="preserve"> 2020</w:t>
      </w:r>
      <w:r w:rsidRPr="003914FB">
        <w:rPr>
          <w:rFonts w:hint="cs"/>
          <w:rtl/>
        </w:rPr>
        <w:t>)</w:t>
      </w:r>
      <w:r w:rsidRPr="003914FB">
        <w:rPr>
          <w:rtl/>
        </w:rPr>
        <w:t>.</w:t>
      </w:r>
      <w:r>
        <w:rPr>
          <w:rFonts w:hint="cs"/>
          <w:rtl/>
        </w:rPr>
        <w:t xml:space="preserve"> </w:t>
      </w:r>
    </w:p>
    <w:p w:rsidR="00017271" w:rsidRDefault="00017271" w:rsidP="00CC0225">
      <w:pPr>
        <w:spacing w:before="120" w:after="120"/>
        <w:contextualSpacing w:val="0"/>
        <w:rPr>
          <w:rtl/>
        </w:rPr>
      </w:pPr>
      <w:r w:rsidRPr="003914FB">
        <w:rPr>
          <w:rFonts w:hint="cs"/>
          <w:rtl/>
        </w:rPr>
        <w:t xml:space="preserve">בעקבות פניות שהתקבלו מחלק מהיבואנים ובהן בקשה לביטול הדרישה לגבי מוצרים שאינם מיועדים למי שתיה ולהארכת תקופת ההתארגנות לגבי מוצרים המיועדים למי שתיה, הוחלט על ידי הגורמים המקצועיים במשרד הבריאות ובמשרד הכלכלה </w:t>
      </w:r>
      <w:r>
        <w:rPr>
          <w:rFonts w:hint="cs"/>
          <w:rtl/>
        </w:rPr>
        <w:t xml:space="preserve">להמליץ לשר הכלכלה </w:t>
      </w:r>
      <w:r w:rsidRPr="003914FB">
        <w:rPr>
          <w:rFonts w:hint="cs"/>
          <w:rtl/>
        </w:rPr>
        <w:t>כ</w:t>
      </w:r>
      <w:r>
        <w:rPr>
          <w:rFonts w:hint="cs"/>
          <w:rtl/>
        </w:rPr>
        <w:t xml:space="preserve">י על </w:t>
      </w:r>
      <w:r w:rsidRPr="003914FB">
        <w:rPr>
          <w:rtl/>
        </w:rPr>
        <w:t xml:space="preserve">ברזים </w:t>
      </w:r>
      <w:r>
        <w:rPr>
          <w:rFonts w:hint="cs"/>
          <w:rtl/>
        </w:rPr>
        <w:t>לחדרי אמבטיה וברזים לנטילת ידיים</w:t>
      </w:r>
      <w:r w:rsidRPr="003914FB">
        <w:rPr>
          <w:rFonts w:hint="cs"/>
          <w:rtl/>
        </w:rPr>
        <w:t xml:space="preserve">, שהתקנים הרשמיים ת"י 1317, ת"י 1347 חלים עליהם, </w:t>
      </w:r>
      <w:r>
        <w:rPr>
          <w:rFonts w:hint="cs"/>
          <w:rtl/>
        </w:rPr>
        <w:t>יחול פטור ממילוי אחר הדרישה לתכולת מרבית של עופרת</w:t>
      </w:r>
      <w:r w:rsidRPr="003914FB">
        <w:rPr>
          <w:rtl/>
        </w:rPr>
        <w:t xml:space="preserve"> </w:t>
      </w:r>
      <w:r>
        <w:rPr>
          <w:rFonts w:hint="cs"/>
          <w:rtl/>
        </w:rPr>
        <w:t xml:space="preserve">וזאת </w:t>
      </w:r>
      <w:r w:rsidRPr="006A112D">
        <w:rPr>
          <w:rtl/>
        </w:rPr>
        <w:t>עד</w:t>
      </w:r>
      <w:r>
        <w:rPr>
          <w:rFonts w:hint="cs"/>
          <w:rtl/>
        </w:rPr>
        <w:t xml:space="preserve"> יום</w:t>
      </w:r>
      <w:r w:rsidRPr="006A112D">
        <w:rPr>
          <w:rtl/>
        </w:rPr>
        <w:t xml:space="preserve"> </w:t>
      </w:r>
      <w:r>
        <w:rPr>
          <w:rFonts w:hint="cs"/>
          <w:rtl/>
        </w:rPr>
        <w:t xml:space="preserve">ח' בתמוז </w:t>
      </w:r>
      <w:proofErr w:type="spellStart"/>
      <w:r>
        <w:rPr>
          <w:rFonts w:hint="cs"/>
          <w:rtl/>
        </w:rPr>
        <w:t>התש"ף</w:t>
      </w:r>
      <w:proofErr w:type="spellEnd"/>
      <w:r>
        <w:rPr>
          <w:rFonts w:hint="cs"/>
          <w:rtl/>
        </w:rPr>
        <w:t xml:space="preserve"> (</w:t>
      </w:r>
      <w:r w:rsidRPr="006A112D">
        <w:rPr>
          <w:rFonts w:hint="cs"/>
          <w:rtl/>
        </w:rPr>
        <w:t>30 ביוני 2020</w:t>
      </w:r>
      <w:r>
        <w:rPr>
          <w:rFonts w:hint="cs"/>
          <w:rtl/>
        </w:rPr>
        <w:t>). הפטור פורסם בצו מיום</w:t>
      </w:r>
      <w:r w:rsidR="00D87D76">
        <w:rPr>
          <w:rFonts w:hint="cs"/>
          <w:rtl/>
        </w:rPr>
        <w:t xml:space="preserve"> א' באדר </w:t>
      </w:r>
      <w:proofErr w:type="spellStart"/>
      <w:r w:rsidR="00D87D76">
        <w:rPr>
          <w:rFonts w:hint="cs"/>
          <w:rtl/>
        </w:rPr>
        <w:t>התש"ף</w:t>
      </w:r>
      <w:proofErr w:type="spellEnd"/>
      <w:r>
        <w:rPr>
          <w:rFonts w:hint="cs"/>
          <w:rtl/>
        </w:rPr>
        <w:t xml:space="preserve"> </w:t>
      </w:r>
      <w:r w:rsidR="00D87D76">
        <w:rPr>
          <w:rFonts w:hint="cs"/>
          <w:rtl/>
        </w:rPr>
        <w:t>(</w:t>
      </w:r>
      <w:r w:rsidR="00CC0225">
        <w:rPr>
          <w:rFonts w:hint="cs"/>
          <w:rtl/>
        </w:rPr>
        <w:t>26 בפברואר 2020</w:t>
      </w:r>
      <w:r w:rsidR="00D87D76">
        <w:rPr>
          <w:rFonts w:hint="cs"/>
          <w:rtl/>
        </w:rPr>
        <w:t>)</w:t>
      </w:r>
      <w:r w:rsidRPr="006A112D">
        <w:rPr>
          <w:rFonts w:hint="cs"/>
          <w:rtl/>
        </w:rPr>
        <w:t>.</w:t>
      </w:r>
      <w:r>
        <w:rPr>
          <w:rtl/>
        </w:rPr>
        <w:t xml:space="preserve"> </w:t>
      </w:r>
    </w:p>
    <w:p w:rsidR="00017271" w:rsidRPr="003914FB" w:rsidRDefault="00017271" w:rsidP="00017271">
      <w:pPr>
        <w:spacing w:before="120" w:after="120"/>
        <w:contextualSpacing w:val="0"/>
        <w:rPr>
          <w:rtl/>
        </w:rPr>
      </w:pPr>
      <w:r>
        <w:rPr>
          <w:rFonts w:hint="cs"/>
          <w:rtl/>
        </w:rPr>
        <w:t>במסגרת ההתייעצות הציבורית שנערכה בעקבות פרסום טיוטת הפטור הנוכחי, פנו חלק</w:t>
      </w:r>
      <w:r w:rsidRPr="005A0245">
        <w:rPr>
          <w:rtl/>
        </w:rPr>
        <w:t xml:space="preserve"> </w:t>
      </w:r>
      <w:r>
        <w:rPr>
          <w:rFonts w:hint="cs"/>
          <w:rtl/>
        </w:rPr>
        <w:t>מ</w:t>
      </w:r>
      <w:r w:rsidRPr="005A0245">
        <w:rPr>
          <w:rtl/>
        </w:rPr>
        <w:t xml:space="preserve">היבואנים </w:t>
      </w:r>
      <w:r>
        <w:rPr>
          <w:rFonts w:hint="cs"/>
          <w:rtl/>
        </w:rPr>
        <w:t xml:space="preserve">בבקשה </w:t>
      </w:r>
      <w:r w:rsidRPr="005A0245">
        <w:rPr>
          <w:rtl/>
        </w:rPr>
        <w:t>ל</w:t>
      </w:r>
      <w:r>
        <w:rPr>
          <w:rFonts w:hint="cs"/>
          <w:rtl/>
        </w:rPr>
        <w:t xml:space="preserve">קבלת </w:t>
      </w:r>
      <w:r w:rsidRPr="005A0245">
        <w:rPr>
          <w:rtl/>
        </w:rPr>
        <w:t xml:space="preserve">ארכה נוספת לכניסת </w:t>
      </w:r>
      <w:r>
        <w:rPr>
          <w:rFonts w:hint="cs"/>
          <w:rtl/>
        </w:rPr>
        <w:t>הדרישה לתכולת מרבית של עופרת</w:t>
      </w:r>
      <w:r w:rsidRPr="005A0245">
        <w:rPr>
          <w:rtl/>
        </w:rPr>
        <w:t xml:space="preserve"> בברזים לחדרי אמבטיה</w:t>
      </w:r>
      <w:r>
        <w:rPr>
          <w:rFonts w:hint="cs"/>
          <w:rtl/>
        </w:rPr>
        <w:t>,</w:t>
      </w:r>
      <w:r w:rsidRPr="005A0245">
        <w:rPr>
          <w:rtl/>
        </w:rPr>
        <w:t xml:space="preserve"> וזאת </w:t>
      </w:r>
      <w:r>
        <w:rPr>
          <w:rFonts w:hint="cs"/>
          <w:rtl/>
        </w:rPr>
        <w:t>עקב</w:t>
      </w:r>
      <w:r w:rsidRPr="005A0245">
        <w:rPr>
          <w:rtl/>
        </w:rPr>
        <w:t xml:space="preserve"> מלאי </w:t>
      </w:r>
      <w:r>
        <w:rPr>
          <w:rFonts w:hint="cs"/>
          <w:rtl/>
        </w:rPr>
        <w:t xml:space="preserve">בכמות גדולה מאוד </w:t>
      </w:r>
      <w:r w:rsidRPr="005A0245">
        <w:rPr>
          <w:rtl/>
        </w:rPr>
        <w:t>שנצבר אצלם.</w:t>
      </w:r>
      <w:r>
        <w:rPr>
          <w:rFonts w:hint="cs"/>
          <w:rtl/>
        </w:rPr>
        <w:t xml:space="preserve"> לאחר התייעצות הגורמים המקצועיים במשרד הבריאות ובמשרד הכלכלה, הוחלט על המלצה למתן </w:t>
      </w:r>
      <w:r w:rsidRPr="003914FB">
        <w:rPr>
          <w:rFonts w:hint="cs"/>
          <w:rtl/>
        </w:rPr>
        <w:t>פטור</w:t>
      </w:r>
      <w:r>
        <w:rPr>
          <w:rFonts w:hint="cs"/>
          <w:rtl/>
        </w:rPr>
        <w:t xml:space="preserve"> נוסף </w:t>
      </w:r>
      <w:r w:rsidRPr="003914FB">
        <w:rPr>
          <w:rFonts w:hint="cs"/>
          <w:rtl/>
        </w:rPr>
        <w:t xml:space="preserve">לצורך </w:t>
      </w:r>
      <w:r>
        <w:rPr>
          <w:rFonts w:hint="cs"/>
          <w:rtl/>
        </w:rPr>
        <w:t xml:space="preserve">שימוש במלאי הנותר של </w:t>
      </w:r>
      <w:r w:rsidRPr="003914FB">
        <w:rPr>
          <w:rFonts w:hint="cs"/>
          <w:rtl/>
        </w:rPr>
        <w:t xml:space="preserve">ברזים </w:t>
      </w:r>
      <w:r>
        <w:rPr>
          <w:rFonts w:hint="cs"/>
          <w:rtl/>
        </w:rPr>
        <w:t>לחדרי אמבטיה וברזים לנטילת ידיים,</w:t>
      </w:r>
      <w:r w:rsidRPr="003914FB">
        <w:rPr>
          <w:rFonts w:hint="cs"/>
          <w:rtl/>
        </w:rPr>
        <w:t xml:space="preserve"> בתקופה מיום </w:t>
      </w:r>
      <w:r w:rsidRPr="003914FB">
        <w:rPr>
          <w:rtl/>
        </w:rPr>
        <w:t>ט</w:t>
      </w:r>
      <w:r w:rsidRPr="003914FB">
        <w:rPr>
          <w:rFonts w:hint="cs"/>
          <w:rtl/>
        </w:rPr>
        <w:t>'</w:t>
      </w:r>
      <w:r w:rsidRPr="003914FB">
        <w:rPr>
          <w:rtl/>
        </w:rPr>
        <w:t xml:space="preserve"> </w:t>
      </w:r>
      <w:r>
        <w:rPr>
          <w:rFonts w:hint="cs"/>
          <w:rtl/>
        </w:rPr>
        <w:t>ב</w:t>
      </w:r>
      <w:r>
        <w:rPr>
          <w:rtl/>
        </w:rPr>
        <w:t xml:space="preserve">תמוז </w:t>
      </w:r>
      <w:proofErr w:type="spellStart"/>
      <w:r>
        <w:rPr>
          <w:rtl/>
        </w:rPr>
        <w:t>ה</w:t>
      </w:r>
      <w:r w:rsidRPr="003914FB">
        <w:rPr>
          <w:rtl/>
        </w:rPr>
        <w:t>תש"</w:t>
      </w:r>
      <w:r>
        <w:rPr>
          <w:rFonts w:hint="cs"/>
          <w:rtl/>
        </w:rPr>
        <w:t>ף</w:t>
      </w:r>
      <w:proofErr w:type="spellEnd"/>
      <w:r>
        <w:rPr>
          <w:rFonts w:hint="cs"/>
          <w:rtl/>
        </w:rPr>
        <w:t xml:space="preserve"> (1 ביולי 2020) ו</w:t>
      </w:r>
      <w:r w:rsidRPr="003914FB">
        <w:rPr>
          <w:rFonts w:hint="cs"/>
          <w:rtl/>
        </w:rPr>
        <w:t>עד יו</w:t>
      </w:r>
      <w:r>
        <w:rPr>
          <w:rFonts w:hint="cs"/>
          <w:rtl/>
        </w:rPr>
        <w:t>ם</w:t>
      </w:r>
      <w:r w:rsidRPr="003914FB">
        <w:rPr>
          <w:rFonts w:hint="cs"/>
          <w:rtl/>
        </w:rPr>
        <w:t xml:space="preserve"> </w:t>
      </w:r>
      <w:r>
        <w:rPr>
          <w:rFonts w:hint="cs"/>
          <w:rtl/>
        </w:rPr>
        <w:t xml:space="preserve">י"ז באדר </w:t>
      </w:r>
      <w:proofErr w:type="spellStart"/>
      <w:r>
        <w:rPr>
          <w:rFonts w:hint="cs"/>
          <w:rtl/>
        </w:rPr>
        <w:t>ה</w:t>
      </w:r>
      <w:r w:rsidRPr="003914FB">
        <w:rPr>
          <w:rFonts w:hint="cs"/>
          <w:rtl/>
        </w:rPr>
        <w:t>תשפ"א</w:t>
      </w:r>
      <w:proofErr w:type="spellEnd"/>
      <w:r w:rsidRPr="003914FB">
        <w:rPr>
          <w:rFonts w:hint="cs"/>
          <w:rtl/>
        </w:rPr>
        <w:t xml:space="preserve"> (1 ב</w:t>
      </w:r>
      <w:r>
        <w:rPr>
          <w:rFonts w:hint="cs"/>
          <w:rtl/>
        </w:rPr>
        <w:t>מרס 2021</w:t>
      </w:r>
      <w:r w:rsidRPr="003914FB">
        <w:rPr>
          <w:rFonts w:hint="cs"/>
          <w:rtl/>
        </w:rPr>
        <w:t>)</w:t>
      </w:r>
      <w:r>
        <w:rPr>
          <w:rFonts w:hint="cs"/>
          <w:rtl/>
        </w:rPr>
        <w:t xml:space="preserve">. </w:t>
      </w:r>
    </w:p>
    <w:p w:rsidR="00017271" w:rsidRPr="003914FB" w:rsidRDefault="00017271" w:rsidP="00017271">
      <w:pPr>
        <w:rPr>
          <w:rtl/>
        </w:rPr>
      </w:pPr>
      <w:r>
        <w:rPr>
          <w:rFonts w:hint="cs"/>
          <w:rtl/>
        </w:rPr>
        <w:t xml:space="preserve">לכן, </w:t>
      </w:r>
      <w:r w:rsidRPr="003914FB">
        <w:rPr>
          <w:rFonts w:hint="cs"/>
          <w:rtl/>
        </w:rPr>
        <w:t xml:space="preserve">הפטור </w:t>
      </w:r>
      <w:r>
        <w:rPr>
          <w:rFonts w:hint="cs"/>
          <w:rtl/>
        </w:rPr>
        <w:t xml:space="preserve">לא </w:t>
      </w:r>
      <w:r w:rsidRPr="003914FB">
        <w:rPr>
          <w:rFonts w:hint="cs"/>
          <w:rtl/>
        </w:rPr>
        <w:t xml:space="preserve">יחול על ברזים שיוצרו </w:t>
      </w:r>
      <w:r>
        <w:rPr>
          <w:rFonts w:hint="cs"/>
          <w:rtl/>
        </w:rPr>
        <w:t>בישראל או שיו</w:t>
      </w:r>
      <w:r w:rsidRPr="003914FB">
        <w:rPr>
          <w:rFonts w:hint="cs"/>
          <w:rtl/>
        </w:rPr>
        <w:t>באו</w:t>
      </w:r>
      <w:r>
        <w:rPr>
          <w:rFonts w:hint="cs"/>
          <w:rtl/>
        </w:rPr>
        <w:t xml:space="preserve"> לישראל</w:t>
      </w:r>
      <w:r w:rsidRPr="003914FB">
        <w:rPr>
          <w:rFonts w:hint="cs"/>
          <w:rtl/>
        </w:rPr>
        <w:t xml:space="preserve"> </w:t>
      </w:r>
      <w:r>
        <w:rPr>
          <w:rFonts w:hint="cs"/>
          <w:rtl/>
        </w:rPr>
        <w:t>אחרי ה-1 ביולי 2020. כלומר, החל מיום זה, ידרשו היבואנים והיצרנים בישראל לעמוד בדרישת התקן לעניין</w:t>
      </w:r>
      <w:r w:rsidRPr="00E1325C">
        <w:rPr>
          <w:rtl/>
        </w:rPr>
        <w:t xml:space="preserve"> </w:t>
      </w:r>
      <w:r>
        <w:rPr>
          <w:rtl/>
        </w:rPr>
        <w:t>התכולה המרבית של עופרת</w:t>
      </w:r>
      <w:r>
        <w:rPr>
          <w:rFonts w:hint="cs"/>
          <w:rtl/>
        </w:rPr>
        <w:t xml:space="preserve">. </w:t>
      </w:r>
    </w:p>
    <w:p w:rsidR="00017271" w:rsidRPr="003914FB" w:rsidRDefault="00017271" w:rsidP="00017271">
      <w:pPr>
        <w:spacing w:before="120" w:after="120"/>
        <w:contextualSpacing w:val="0"/>
      </w:pPr>
    </w:p>
    <w:p w:rsidR="00384535" w:rsidRPr="00017271" w:rsidRDefault="00384535" w:rsidP="00017271">
      <w:pPr>
        <w:pStyle w:val="HeadDivreiHesber"/>
      </w:pPr>
    </w:p>
    <w:sectPr w:rsidR="00384535" w:rsidRPr="00017271" w:rsidSect="00235C2F">
      <w:headerReference w:type="default" r:id="rId11"/>
      <w:pgSz w:w="11907" w:h="16839" w:code="9"/>
      <w:pgMar w:top="1701" w:right="1134" w:bottom="993" w:left="1134" w:header="0"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2F" w:rsidRDefault="00BD352F" w:rsidP="00C42C8C">
      <w:pPr>
        <w:spacing w:line="240" w:lineRule="auto"/>
      </w:pPr>
      <w:r>
        <w:separator/>
      </w:r>
    </w:p>
  </w:endnote>
  <w:endnote w:type="continuationSeparator" w:id="0">
    <w:p w:rsidR="00BD352F" w:rsidRDefault="00BD352F" w:rsidP="00C42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2F" w:rsidRDefault="00BD352F" w:rsidP="00BB3A64">
      <w:pPr>
        <w:spacing w:line="240" w:lineRule="auto"/>
        <w:ind w:left="0"/>
      </w:pPr>
      <w:r>
        <w:separator/>
      </w:r>
    </w:p>
  </w:footnote>
  <w:footnote w:type="continuationSeparator" w:id="0">
    <w:p w:rsidR="00BD352F" w:rsidRDefault="00BD352F" w:rsidP="00C42C8C">
      <w:pPr>
        <w:spacing w:line="240" w:lineRule="auto"/>
      </w:pPr>
      <w:r>
        <w:continuationSeparator/>
      </w:r>
    </w:p>
  </w:footnote>
  <w:footnote w:id="1">
    <w:p w:rsidR="007D3282" w:rsidRDefault="007D3282">
      <w:pPr>
        <w:pStyle w:val="ac"/>
        <w:rPr>
          <w:rtl/>
        </w:rPr>
      </w:pPr>
      <w:r>
        <w:rPr>
          <w:rStyle w:val="ae"/>
        </w:rPr>
        <w:footnoteRef/>
      </w:r>
      <w:r>
        <w:rPr>
          <w:rtl/>
        </w:rPr>
        <w:t xml:space="preserve"> </w:t>
      </w:r>
      <w:r>
        <w:rPr>
          <w:rFonts w:hint="cs"/>
          <w:rtl/>
        </w:rPr>
        <w:t xml:space="preserve">ס"ח </w:t>
      </w:r>
      <w:proofErr w:type="spellStart"/>
      <w:r>
        <w:rPr>
          <w:rFonts w:hint="cs"/>
          <w:rtl/>
        </w:rPr>
        <w:t>התשי"ג</w:t>
      </w:r>
      <w:proofErr w:type="spellEnd"/>
      <w:r>
        <w:rPr>
          <w:rFonts w:hint="cs"/>
          <w:rtl/>
        </w:rPr>
        <w:t xml:space="preserve">, עמ' 30; </w:t>
      </w:r>
      <w:proofErr w:type="spellStart"/>
      <w:r>
        <w:rPr>
          <w:rFonts w:hint="cs"/>
          <w:rtl/>
        </w:rPr>
        <w:t>התשע"ז</w:t>
      </w:r>
      <w:proofErr w:type="spellEnd"/>
      <w:r>
        <w:rPr>
          <w:rFonts w:hint="cs"/>
          <w:rtl/>
        </w:rPr>
        <w:t>, עמ' 162.</w:t>
      </w:r>
    </w:p>
  </w:footnote>
  <w:footnote w:id="2">
    <w:p w:rsidR="00816DC1" w:rsidRDefault="00816DC1" w:rsidP="00816DC1">
      <w:pPr>
        <w:pStyle w:val="ac"/>
      </w:pPr>
      <w:r>
        <w:rPr>
          <w:rStyle w:val="ae"/>
        </w:rPr>
        <w:footnoteRef/>
      </w:r>
      <w:r>
        <w:rPr>
          <w:rtl/>
        </w:rPr>
        <w:t xml:space="preserve"> </w:t>
      </w:r>
      <w:proofErr w:type="spellStart"/>
      <w:r w:rsidR="007D3282">
        <w:rPr>
          <w:rFonts w:hint="cs"/>
          <w:rtl/>
        </w:rPr>
        <w:t>ק"ת</w:t>
      </w:r>
      <w:proofErr w:type="spellEnd"/>
      <w:r w:rsidR="007D3282">
        <w:rPr>
          <w:rFonts w:hint="cs"/>
          <w:rtl/>
        </w:rPr>
        <w:t xml:space="preserve"> </w:t>
      </w:r>
      <w:proofErr w:type="spellStart"/>
      <w:r w:rsidR="007D3282">
        <w:rPr>
          <w:rFonts w:hint="cs"/>
          <w:rtl/>
        </w:rPr>
        <w:t>התשע"ט</w:t>
      </w:r>
      <w:proofErr w:type="spellEnd"/>
      <w:r w:rsidR="007D3282">
        <w:rPr>
          <w:rFonts w:hint="cs"/>
          <w:rtl/>
        </w:rPr>
        <w:t>, עמ' 3218.</w:t>
      </w:r>
    </w:p>
  </w:footnote>
  <w:footnote w:id="3">
    <w:p w:rsidR="00816DC1" w:rsidRDefault="00816DC1" w:rsidP="00B27F5C">
      <w:pPr>
        <w:pStyle w:val="ac"/>
      </w:pPr>
      <w:r>
        <w:rPr>
          <w:rStyle w:val="ae"/>
        </w:rPr>
        <w:footnoteRef/>
      </w:r>
      <w:r>
        <w:rPr>
          <w:rtl/>
        </w:rPr>
        <w:t xml:space="preserve"> </w:t>
      </w:r>
      <w:proofErr w:type="spellStart"/>
      <w:r w:rsidR="007D3282">
        <w:rPr>
          <w:rFonts w:hint="cs"/>
          <w:rtl/>
        </w:rPr>
        <w:t>ק"ת</w:t>
      </w:r>
      <w:proofErr w:type="spellEnd"/>
      <w:r w:rsidR="007D3282">
        <w:rPr>
          <w:rFonts w:hint="cs"/>
          <w:rtl/>
        </w:rPr>
        <w:t xml:space="preserve"> </w:t>
      </w:r>
      <w:proofErr w:type="spellStart"/>
      <w:r w:rsidR="007D3282">
        <w:rPr>
          <w:rFonts w:hint="cs"/>
          <w:rtl/>
        </w:rPr>
        <w:t>התשע"ט</w:t>
      </w:r>
      <w:proofErr w:type="spellEnd"/>
      <w:r w:rsidR="007D3282">
        <w:rPr>
          <w:rFonts w:hint="cs"/>
          <w:rtl/>
        </w:rPr>
        <w:t xml:space="preserve">, עמ' </w:t>
      </w:r>
      <w:r w:rsidR="00B27F5C">
        <w:rPr>
          <w:rFonts w:hint="cs"/>
          <w:rtl/>
        </w:rPr>
        <w:t>3574.</w:t>
      </w:r>
      <w:r w:rsidR="007D328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8C" w:rsidRDefault="00C42C8C" w:rsidP="00C42C8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D5D82"/>
    <w:multiLevelType w:val="hybridMultilevel"/>
    <w:tmpl w:val="325EAB88"/>
    <w:lvl w:ilvl="0" w:tplc="D2A4869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AC52C7"/>
    <w:multiLevelType w:val="hybridMultilevel"/>
    <w:tmpl w:val="57A8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D7674"/>
    <w:multiLevelType w:val="hybridMultilevel"/>
    <w:tmpl w:val="1C148FA4"/>
    <w:lvl w:ilvl="0" w:tplc="204445E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62279"/>
    <w:multiLevelType w:val="hybridMultilevel"/>
    <w:tmpl w:val="D93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85884"/>
    <w:multiLevelType w:val="hybridMultilevel"/>
    <w:tmpl w:val="2058145C"/>
    <w:lvl w:ilvl="0" w:tplc="88909B4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C1DEA"/>
    <w:multiLevelType w:val="hybridMultilevel"/>
    <w:tmpl w:val="AD2ABDD2"/>
    <w:lvl w:ilvl="0" w:tplc="3E1AEB6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220AB"/>
    <w:multiLevelType w:val="hybridMultilevel"/>
    <w:tmpl w:val="F09C53BC"/>
    <w:lvl w:ilvl="0" w:tplc="31445CD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52952"/>
    <w:multiLevelType w:val="hybridMultilevel"/>
    <w:tmpl w:val="D372400E"/>
    <w:lvl w:ilvl="0" w:tplc="6EF879C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36484"/>
    <w:multiLevelType w:val="hybridMultilevel"/>
    <w:tmpl w:val="B2C0EA28"/>
    <w:lvl w:ilvl="0" w:tplc="E60033B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A38B8"/>
    <w:multiLevelType w:val="hybridMultilevel"/>
    <w:tmpl w:val="5B8CA400"/>
    <w:lvl w:ilvl="0" w:tplc="6F50C9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14A42"/>
    <w:multiLevelType w:val="hybridMultilevel"/>
    <w:tmpl w:val="15E2DB36"/>
    <w:lvl w:ilvl="0" w:tplc="68C238F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2E2F32"/>
    <w:multiLevelType w:val="hybridMultilevel"/>
    <w:tmpl w:val="7C20552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8277C63"/>
    <w:multiLevelType w:val="hybridMultilevel"/>
    <w:tmpl w:val="8320E55C"/>
    <w:lvl w:ilvl="0" w:tplc="0A3E5D3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B2E5A"/>
    <w:multiLevelType w:val="hybridMultilevel"/>
    <w:tmpl w:val="D3C258C8"/>
    <w:lvl w:ilvl="0" w:tplc="41B6770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5"/>
  </w:num>
  <w:num w:numId="7">
    <w:abstractNumId w:val="29"/>
  </w:num>
  <w:num w:numId="8">
    <w:abstractNumId w:val="8"/>
  </w:num>
  <w:num w:numId="9">
    <w:abstractNumId w:val="3"/>
  </w:num>
  <w:num w:numId="10">
    <w:abstractNumId w:val="2"/>
  </w:num>
  <w:num w:numId="11">
    <w:abstractNumId w:val="1"/>
  </w:num>
  <w:num w:numId="12">
    <w:abstractNumId w:val="9"/>
  </w:num>
  <w:num w:numId="13">
    <w:abstractNumId w:val="7"/>
  </w:num>
  <w:num w:numId="14">
    <w:abstractNumId w:val="6"/>
  </w:num>
  <w:num w:numId="15">
    <w:abstractNumId w:val="5"/>
  </w:num>
  <w:num w:numId="16">
    <w:abstractNumId w:val="4"/>
  </w:num>
  <w:num w:numId="17">
    <w:abstractNumId w:val="23"/>
  </w:num>
  <w:num w:numId="18">
    <w:abstractNumId w:val="23"/>
    <w:lvlOverride w:ilvl="0">
      <w:startOverride w:val="1"/>
    </w:lvlOverride>
  </w:num>
  <w:num w:numId="19">
    <w:abstractNumId w:val="14"/>
  </w:num>
  <w:num w:numId="20">
    <w:abstractNumId w:val="25"/>
  </w:num>
  <w:num w:numId="21">
    <w:abstractNumId w:val="22"/>
  </w:num>
  <w:num w:numId="22">
    <w:abstractNumId w:val="19"/>
  </w:num>
  <w:num w:numId="23">
    <w:abstractNumId w:val="17"/>
  </w:num>
  <w:num w:numId="24">
    <w:abstractNumId w:val="26"/>
  </w:num>
  <w:num w:numId="25">
    <w:abstractNumId w:val="18"/>
  </w:num>
  <w:num w:numId="26">
    <w:abstractNumId w:val="12"/>
  </w:num>
  <w:num w:numId="27">
    <w:abstractNumId w:val="27"/>
  </w:num>
  <w:num w:numId="28">
    <w:abstractNumId w:val="10"/>
  </w:num>
  <w:num w:numId="29">
    <w:abstractNumId w:val="16"/>
  </w:num>
  <w:num w:numId="30">
    <w:abstractNumId w:val="20"/>
  </w:num>
  <w:num w:numId="31">
    <w:abstractNumId w:val="11"/>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4F"/>
    <w:rsid w:val="000066E0"/>
    <w:rsid w:val="00014661"/>
    <w:rsid w:val="0001691E"/>
    <w:rsid w:val="00017271"/>
    <w:rsid w:val="00027732"/>
    <w:rsid w:val="00051553"/>
    <w:rsid w:val="00061E21"/>
    <w:rsid w:val="00082CCF"/>
    <w:rsid w:val="0009354A"/>
    <w:rsid w:val="000A2AE8"/>
    <w:rsid w:val="000A3F17"/>
    <w:rsid w:val="000D655F"/>
    <w:rsid w:val="00122725"/>
    <w:rsid w:val="00167379"/>
    <w:rsid w:val="00193809"/>
    <w:rsid w:val="0019390B"/>
    <w:rsid w:val="001B0290"/>
    <w:rsid w:val="001B4C96"/>
    <w:rsid w:val="001C42DC"/>
    <w:rsid w:val="001D7890"/>
    <w:rsid w:val="00200960"/>
    <w:rsid w:val="00235C2F"/>
    <w:rsid w:val="00243A66"/>
    <w:rsid w:val="00254CDB"/>
    <w:rsid w:val="00283F0F"/>
    <w:rsid w:val="002847C5"/>
    <w:rsid w:val="00327278"/>
    <w:rsid w:val="00384535"/>
    <w:rsid w:val="003914FB"/>
    <w:rsid w:val="003E0D32"/>
    <w:rsid w:val="00402AC2"/>
    <w:rsid w:val="004057F6"/>
    <w:rsid w:val="0041361C"/>
    <w:rsid w:val="0041642A"/>
    <w:rsid w:val="004352B7"/>
    <w:rsid w:val="00477D0C"/>
    <w:rsid w:val="004E1C94"/>
    <w:rsid w:val="004E41C8"/>
    <w:rsid w:val="00541F84"/>
    <w:rsid w:val="0059112D"/>
    <w:rsid w:val="00591750"/>
    <w:rsid w:val="005966F9"/>
    <w:rsid w:val="005A5C3E"/>
    <w:rsid w:val="005D73DC"/>
    <w:rsid w:val="005F78E4"/>
    <w:rsid w:val="006A112D"/>
    <w:rsid w:val="006A17D4"/>
    <w:rsid w:val="006D4ABE"/>
    <w:rsid w:val="00730D44"/>
    <w:rsid w:val="007B6E04"/>
    <w:rsid w:val="007D3282"/>
    <w:rsid w:val="007D5AAB"/>
    <w:rsid w:val="007F245D"/>
    <w:rsid w:val="00816DC1"/>
    <w:rsid w:val="0082235C"/>
    <w:rsid w:val="00823FBE"/>
    <w:rsid w:val="00825BA9"/>
    <w:rsid w:val="00884319"/>
    <w:rsid w:val="008A04DD"/>
    <w:rsid w:val="0091476A"/>
    <w:rsid w:val="00916876"/>
    <w:rsid w:val="009646B2"/>
    <w:rsid w:val="00966BD2"/>
    <w:rsid w:val="009866A6"/>
    <w:rsid w:val="009E3BA1"/>
    <w:rsid w:val="00A15483"/>
    <w:rsid w:val="00A171B2"/>
    <w:rsid w:val="00A37565"/>
    <w:rsid w:val="00A5671D"/>
    <w:rsid w:val="00A573C7"/>
    <w:rsid w:val="00A7321D"/>
    <w:rsid w:val="00A97C3C"/>
    <w:rsid w:val="00AD543F"/>
    <w:rsid w:val="00AE43D2"/>
    <w:rsid w:val="00B1149A"/>
    <w:rsid w:val="00B22F2F"/>
    <w:rsid w:val="00B27F5C"/>
    <w:rsid w:val="00B42ECC"/>
    <w:rsid w:val="00B43697"/>
    <w:rsid w:val="00B50311"/>
    <w:rsid w:val="00B621FC"/>
    <w:rsid w:val="00B81A53"/>
    <w:rsid w:val="00BB3A64"/>
    <w:rsid w:val="00BD352F"/>
    <w:rsid w:val="00BE7CED"/>
    <w:rsid w:val="00C102D6"/>
    <w:rsid w:val="00C35F43"/>
    <w:rsid w:val="00C42C8C"/>
    <w:rsid w:val="00C447DF"/>
    <w:rsid w:val="00C53DF9"/>
    <w:rsid w:val="00C66CED"/>
    <w:rsid w:val="00CC0225"/>
    <w:rsid w:val="00CD494F"/>
    <w:rsid w:val="00D3560D"/>
    <w:rsid w:val="00D36E48"/>
    <w:rsid w:val="00D658DC"/>
    <w:rsid w:val="00D67701"/>
    <w:rsid w:val="00D87D76"/>
    <w:rsid w:val="00DE6B45"/>
    <w:rsid w:val="00DF2790"/>
    <w:rsid w:val="00E20B45"/>
    <w:rsid w:val="00E33CFD"/>
    <w:rsid w:val="00E45127"/>
    <w:rsid w:val="00E64DD6"/>
    <w:rsid w:val="00E70E0B"/>
    <w:rsid w:val="00EB0EB3"/>
    <w:rsid w:val="00EB3328"/>
    <w:rsid w:val="00F3712F"/>
    <w:rsid w:val="00F64575"/>
    <w:rsid w:val="00F7314A"/>
    <w:rsid w:val="00F847C4"/>
    <w:rsid w:val="00F911A4"/>
    <w:rsid w:val="00FA49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55167E-45C1-414E-A987-91C63B48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C2"/>
    <w:pPr>
      <w:widowControl w:val="0"/>
      <w:spacing w:after="0" w:line="360" w:lineRule="auto"/>
      <w:ind w:left="340"/>
      <w:contextualSpacing/>
      <w:jc w:val="both"/>
    </w:pPr>
    <w:rPr>
      <w:rFonts w:ascii="David" w:hAnsi="David" w:cs="David"/>
    </w:rPr>
  </w:style>
  <w:style w:type="paragraph" w:styleId="1">
    <w:name w:val="heading 1"/>
    <w:basedOn w:val="a"/>
    <w:next w:val="a"/>
    <w:link w:val="10"/>
    <w:uiPriority w:val="9"/>
    <w:qFormat/>
    <w:rsid w:val="00402AC2"/>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402AC2"/>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402AC2"/>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402AC2"/>
    <w:pPr>
      <w:numPr>
        <w:numId w:val="2"/>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402AC2"/>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הנגשה1"/>
    <w:basedOn w:val="a"/>
    <w:link w:val="1Char"/>
    <w:autoRedefine/>
    <w:rsid w:val="0082235C"/>
    <w:rPr>
      <w:b/>
      <w:bCs/>
      <w:sz w:val="28"/>
      <w:szCs w:val="28"/>
    </w:rPr>
  </w:style>
  <w:style w:type="character" w:customStyle="1" w:styleId="1Char">
    <w:name w:val="הנגשה1 Char"/>
    <w:basedOn w:val="a0"/>
    <w:link w:val="11"/>
    <w:rsid w:val="0082235C"/>
    <w:rPr>
      <w:b/>
      <w:bCs/>
      <w:sz w:val="28"/>
      <w:szCs w:val="28"/>
    </w:rPr>
  </w:style>
  <w:style w:type="paragraph" w:styleId="a3">
    <w:name w:val="header"/>
    <w:basedOn w:val="a"/>
    <w:link w:val="a4"/>
    <w:rsid w:val="00402AC2"/>
    <w:pPr>
      <w:tabs>
        <w:tab w:val="center" w:pos="4153"/>
        <w:tab w:val="right" w:pos="8306"/>
      </w:tabs>
    </w:pPr>
  </w:style>
  <w:style w:type="character" w:customStyle="1" w:styleId="a4">
    <w:name w:val="כותרת עליונה תו"/>
    <w:basedOn w:val="a0"/>
    <w:link w:val="a3"/>
    <w:rsid w:val="00C42C8C"/>
    <w:rPr>
      <w:rFonts w:ascii="David" w:hAnsi="David" w:cs="David"/>
    </w:rPr>
  </w:style>
  <w:style w:type="paragraph" w:styleId="a5">
    <w:name w:val="footer"/>
    <w:basedOn w:val="a"/>
    <w:link w:val="a6"/>
    <w:rsid w:val="00402AC2"/>
    <w:pPr>
      <w:tabs>
        <w:tab w:val="center" w:pos="4153"/>
        <w:tab w:val="right" w:pos="8306"/>
      </w:tabs>
    </w:pPr>
  </w:style>
  <w:style w:type="character" w:customStyle="1" w:styleId="a6">
    <w:name w:val="כותרת תחתונה תו"/>
    <w:basedOn w:val="a0"/>
    <w:link w:val="a5"/>
    <w:rsid w:val="00C42C8C"/>
    <w:rPr>
      <w:rFonts w:ascii="David" w:hAnsi="David" w:cs="David"/>
    </w:rPr>
  </w:style>
  <w:style w:type="paragraph" w:styleId="a7">
    <w:name w:val="List Paragraph"/>
    <w:basedOn w:val="a"/>
    <w:uiPriority w:val="34"/>
    <w:qFormat/>
    <w:rsid w:val="00402AC2"/>
    <w:pPr>
      <w:widowControl/>
      <w:spacing w:line="259" w:lineRule="auto"/>
    </w:pPr>
    <w:rPr>
      <w:rFonts w:asciiTheme="minorHAnsi" w:hAnsiTheme="minorHAnsi"/>
      <w:sz w:val="22"/>
    </w:rPr>
  </w:style>
  <w:style w:type="paragraph" w:customStyle="1" w:styleId="21">
    <w:name w:val="הנגשה2"/>
    <w:basedOn w:val="11"/>
    <w:autoRedefine/>
    <w:rsid w:val="004352B7"/>
    <w:rPr>
      <w:szCs w:val="24"/>
    </w:rPr>
  </w:style>
  <w:style w:type="character" w:customStyle="1" w:styleId="10">
    <w:name w:val="כותרת 1 תו"/>
    <w:basedOn w:val="a0"/>
    <w:link w:val="1"/>
    <w:uiPriority w:val="9"/>
    <w:rsid w:val="00402AC2"/>
    <w:rPr>
      <w:rFonts w:asciiTheme="majorHAnsi" w:eastAsiaTheme="majorEastAsia" w:hAnsiTheme="majorHAnsi" w:cs="David"/>
      <w:bCs/>
      <w:sz w:val="32"/>
      <w:szCs w:val="36"/>
    </w:rPr>
  </w:style>
  <w:style w:type="character" w:customStyle="1" w:styleId="20">
    <w:name w:val="כותרת 2 תו"/>
    <w:basedOn w:val="a0"/>
    <w:link w:val="2"/>
    <w:rsid w:val="00402AC2"/>
    <w:rPr>
      <w:rFonts w:asciiTheme="majorHAnsi" w:eastAsiaTheme="majorEastAsia" w:hAnsiTheme="majorHAnsi" w:cs="David"/>
      <w:bCs/>
      <w:sz w:val="26"/>
      <w:szCs w:val="36"/>
      <w:u w:val="single"/>
    </w:rPr>
  </w:style>
  <w:style w:type="character" w:customStyle="1" w:styleId="30">
    <w:name w:val="כותרת 3 תו"/>
    <w:basedOn w:val="a0"/>
    <w:link w:val="3"/>
    <w:rsid w:val="00402AC2"/>
    <w:rPr>
      <w:rFonts w:asciiTheme="majorHAnsi" w:eastAsiaTheme="majorEastAsia" w:hAnsiTheme="majorHAnsi" w:cs="David"/>
      <w:szCs w:val="28"/>
      <w:u w:val="double"/>
    </w:rPr>
  </w:style>
  <w:style w:type="paragraph" w:styleId="a8">
    <w:name w:val="Balloon Text"/>
    <w:basedOn w:val="a"/>
    <w:link w:val="a9"/>
    <w:uiPriority w:val="99"/>
    <w:semiHidden/>
    <w:unhideWhenUsed/>
    <w:rsid w:val="00254CDB"/>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254CDB"/>
    <w:rPr>
      <w:rFonts w:ascii="Tahoma" w:hAnsi="Tahoma" w:cs="Tahoma"/>
      <w:sz w:val="16"/>
      <w:szCs w:val="16"/>
    </w:rPr>
  </w:style>
  <w:style w:type="character" w:customStyle="1" w:styleId="40">
    <w:name w:val="כותרת 4 תו"/>
    <w:basedOn w:val="a0"/>
    <w:link w:val="4"/>
    <w:uiPriority w:val="9"/>
    <w:rsid w:val="00402AC2"/>
    <w:rPr>
      <w:rFonts w:ascii="David" w:hAnsi="David" w:cs="David"/>
      <w:b/>
      <w:bCs/>
      <w:color w:val="000000" w:themeColor="text1"/>
      <w:szCs w:val="28"/>
    </w:rPr>
  </w:style>
  <w:style w:type="paragraph" w:customStyle="1" w:styleId="TableText">
    <w:name w:val="Table Text"/>
    <w:basedOn w:val="a"/>
    <w:rsid w:val="00402AC2"/>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402AC2"/>
    <w:pPr>
      <w:outlineLvl w:val="2"/>
    </w:pPr>
  </w:style>
  <w:style w:type="paragraph" w:customStyle="1" w:styleId="TableBlock">
    <w:name w:val="Table Block"/>
    <w:basedOn w:val="TableText"/>
    <w:rsid w:val="00402AC2"/>
    <w:pPr>
      <w:jc w:val="both"/>
    </w:pPr>
  </w:style>
  <w:style w:type="paragraph" w:customStyle="1" w:styleId="TableHead">
    <w:name w:val="Table Head"/>
    <w:basedOn w:val="TableText"/>
    <w:rsid w:val="00402AC2"/>
    <w:pPr>
      <w:jc w:val="center"/>
      <w:outlineLvl w:val="1"/>
    </w:pPr>
    <w:rPr>
      <w:b/>
      <w:bCs/>
    </w:rPr>
  </w:style>
  <w:style w:type="paragraph" w:customStyle="1" w:styleId="HeadMitparsemetBaze">
    <w:name w:val="Head MitparsemetBaze"/>
    <w:basedOn w:val="a"/>
    <w:rsid w:val="00402AC2"/>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402AC2"/>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402AC2"/>
    <w:pPr>
      <w:tabs>
        <w:tab w:val="left" w:pos="680"/>
        <w:tab w:val="left" w:pos="1020"/>
      </w:tabs>
      <w:ind w:firstLine="0"/>
    </w:pPr>
  </w:style>
  <w:style w:type="paragraph" w:customStyle="1" w:styleId="HeadDivreiHesber">
    <w:name w:val="Head DivreiHesber"/>
    <w:basedOn w:val="a"/>
    <w:rsid w:val="00402AC2"/>
    <w:pPr>
      <w:snapToGrid w:val="0"/>
      <w:spacing w:before="360" w:after="120"/>
      <w:jc w:val="center"/>
      <w:outlineLvl w:val="1"/>
    </w:pPr>
    <w:rPr>
      <w:rFonts w:ascii="Arial" w:eastAsia="Arial Unicode MS" w:hAnsi="Arial"/>
      <w:b/>
      <w:snapToGrid w:val="0"/>
      <w:spacing w:val="40"/>
      <w:sz w:val="20"/>
      <w:szCs w:val="26"/>
    </w:rPr>
  </w:style>
  <w:style w:type="character" w:customStyle="1" w:styleId="50">
    <w:name w:val="כותרת 5 תו"/>
    <w:basedOn w:val="a0"/>
    <w:link w:val="5"/>
    <w:uiPriority w:val="9"/>
    <w:rsid w:val="00402AC2"/>
    <w:rPr>
      <w:rFonts w:ascii="David" w:hAnsi="David" w:cs="David"/>
      <w:color w:val="000000" w:themeColor="text1"/>
    </w:rPr>
  </w:style>
  <w:style w:type="paragraph" w:customStyle="1" w:styleId="HeadHatzaotHok4Futer">
    <w:name w:val="Head HatzaotHok4Futer"/>
    <w:basedOn w:val="HeadHatzaotHok"/>
    <w:rsid w:val="00402AC2"/>
    <w:pPr>
      <w:spacing w:before="120" w:after="120"/>
    </w:pPr>
    <w:rPr>
      <w:color w:val="FF0000"/>
      <w:w w:val="80"/>
    </w:rPr>
  </w:style>
  <w:style w:type="paragraph" w:styleId="aa">
    <w:name w:val="endnote text"/>
    <w:basedOn w:val="a"/>
    <w:link w:val="ab"/>
    <w:semiHidden/>
    <w:rsid w:val="00402AC2"/>
    <w:pPr>
      <w:ind w:left="227" w:hanging="227"/>
    </w:pPr>
    <w:rPr>
      <w:sz w:val="14"/>
      <w:szCs w:val="22"/>
    </w:rPr>
  </w:style>
  <w:style w:type="character" w:customStyle="1" w:styleId="ab">
    <w:name w:val="טקסט הערת סיום תו"/>
    <w:basedOn w:val="a0"/>
    <w:link w:val="aa"/>
    <w:semiHidden/>
    <w:rsid w:val="00CD494F"/>
    <w:rPr>
      <w:rFonts w:ascii="David" w:hAnsi="David" w:cs="David"/>
      <w:sz w:val="14"/>
      <w:szCs w:val="22"/>
    </w:rPr>
  </w:style>
  <w:style w:type="paragraph" w:customStyle="1" w:styleId="TableInnerSideHeading">
    <w:name w:val="Table InnerSideHeading"/>
    <w:basedOn w:val="TableSideHeading"/>
    <w:rsid w:val="00402AC2"/>
    <w:pPr>
      <w:outlineLvl w:val="9"/>
    </w:pPr>
  </w:style>
  <w:style w:type="paragraph" w:customStyle="1" w:styleId="Hesber">
    <w:name w:val="Hesber"/>
    <w:basedOn w:val="a"/>
    <w:rsid w:val="00402AC2"/>
    <w:pPr>
      <w:snapToGrid w:val="0"/>
      <w:ind w:left="0" w:firstLine="340"/>
    </w:pPr>
    <w:rPr>
      <w:rFonts w:ascii="Arial" w:eastAsia="Arial Unicode MS" w:hAnsi="Arial"/>
      <w:snapToGrid w:val="0"/>
      <w:sz w:val="20"/>
      <w:szCs w:val="26"/>
    </w:rPr>
  </w:style>
  <w:style w:type="paragraph" w:styleId="ac">
    <w:name w:val="footnote text"/>
    <w:basedOn w:val="a"/>
    <w:link w:val="ad"/>
    <w:autoRedefine/>
    <w:semiHidden/>
    <w:rsid w:val="00402AC2"/>
    <w:pPr>
      <w:snapToGrid w:val="0"/>
      <w:spacing w:line="240" w:lineRule="auto"/>
      <w:ind w:left="0"/>
      <w:jc w:val="left"/>
    </w:pPr>
    <w:rPr>
      <w:rFonts w:ascii="Arial" w:eastAsia="Arial Unicode MS" w:hAnsi="Arial"/>
      <w:snapToGrid w:val="0"/>
      <w:sz w:val="14"/>
      <w:szCs w:val="20"/>
    </w:rPr>
  </w:style>
  <w:style w:type="character" w:customStyle="1" w:styleId="ad">
    <w:name w:val="טקסט הערת שוליים תו"/>
    <w:basedOn w:val="a0"/>
    <w:link w:val="ac"/>
    <w:semiHidden/>
    <w:rsid w:val="00CD494F"/>
    <w:rPr>
      <w:rFonts w:eastAsia="Arial Unicode MS" w:cs="David"/>
      <w:snapToGrid w:val="0"/>
      <w:sz w:val="14"/>
      <w:szCs w:val="20"/>
    </w:rPr>
  </w:style>
  <w:style w:type="character" w:styleId="ae">
    <w:name w:val="footnote reference"/>
    <w:aliases w:val="Footnote Reference"/>
    <w:basedOn w:val="a0"/>
    <w:semiHidden/>
    <w:rsid w:val="00402AC2"/>
    <w:rPr>
      <w:vertAlign w:val="superscript"/>
    </w:rPr>
  </w:style>
  <w:style w:type="paragraph" w:customStyle="1" w:styleId="HesberHeading">
    <w:name w:val="Hesber Heading"/>
    <w:basedOn w:val="Hesber"/>
    <w:rsid w:val="00402AC2"/>
    <w:pPr>
      <w:tabs>
        <w:tab w:val="left" w:pos="624"/>
        <w:tab w:val="left" w:pos="1247"/>
      </w:tabs>
    </w:pPr>
    <w:rPr>
      <w:b/>
      <w:bCs/>
    </w:rPr>
  </w:style>
  <w:style w:type="paragraph" w:customStyle="1" w:styleId="HesberWriters">
    <w:name w:val="Hesber Writers"/>
    <w:basedOn w:val="Hesber"/>
    <w:rsid w:val="00402AC2"/>
    <w:pPr>
      <w:spacing w:before="120" w:after="120"/>
      <w:ind w:left="1418"/>
      <w:jc w:val="right"/>
    </w:pPr>
    <w:rPr>
      <w:b/>
      <w:bCs/>
    </w:rPr>
  </w:style>
  <w:style w:type="character" w:styleId="af">
    <w:name w:val="endnote reference"/>
    <w:basedOn w:val="a0"/>
    <w:semiHidden/>
    <w:rsid w:val="00402AC2"/>
    <w:rPr>
      <w:vertAlign w:val="superscript"/>
    </w:rPr>
  </w:style>
  <w:style w:type="paragraph" w:customStyle="1" w:styleId="TableBlockOutdent">
    <w:name w:val="Table BlockOutdent"/>
    <w:basedOn w:val="TableBlock"/>
    <w:rsid w:val="00402AC2"/>
    <w:pPr>
      <w:ind w:left="624" w:hanging="624"/>
    </w:pPr>
  </w:style>
  <w:style w:type="character" w:styleId="af0">
    <w:name w:val="page number"/>
    <w:basedOn w:val="a0"/>
    <w:rsid w:val="00402AC2"/>
  </w:style>
  <w:style w:type="paragraph" w:customStyle="1" w:styleId="Cover1-Reshumot">
    <w:name w:val="Cover 1-Reshumot"/>
    <w:basedOn w:val="a"/>
    <w:rsid w:val="00402AC2"/>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402AC2"/>
    <w:rPr>
      <w:sz w:val="36"/>
      <w:szCs w:val="52"/>
    </w:rPr>
  </w:style>
  <w:style w:type="paragraph" w:customStyle="1" w:styleId="Cover3-Haknesset">
    <w:name w:val="Cover 3-Haknesset"/>
    <w:basedOn w:val="Cover1-Reshumot"/>
    <w:rsid w:val="00402AC2"/>
    <w:rPr>
      <w:b/>
      <w:bCs/>
      <w:spacing w:val="60"/>
    </w:rPr>
  </w:style>
  <w:style w:type="paragraph" w:customStyle="1" w:styleId="Cover4-Date">
    <w:name w:val="Cover 4-Date"/>
    <w:basedOn w:val="a"/>
    <w:rsid w:val="00402AC2"/>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402AC2"/>
    <w:pPr>
      <w:snapToGrid w:val="0"/>
      <w:jc w:val="left"/>
    </w:pPr>
    <w:rPr>
      <w:rFonts w:ascii="Arial" w:eastAsia="Arial Unicode MS" w:hAnsi="Arial"/>
      <w:snapToGrid w:val="0"/>
      <w:sz w:val="20"/>
      <w:szCs w:val="26"/>
    </w:rPr>
  </w:style>
  <w:style w:type="paragraph" w:styleId="af1">
    <w:name w:val="TOC Heading"/>
    <w:basedOn w:val="1"/>
    <w:next w:val="a"/>
    <w:uiPriority w:val="39"/>
    <w:unhideWhenUsed/>
    <w:qFormat/>
    <w:rsid w:val="00402AC2"/>
    <w:pPr>
      <w:widowControl/>
      <w:spacing w:before="120" w:after="120"/>
      <w:outlineLvl w:val="9"/>
    </w:pPr>
    <w:rPr>
      <w:rtl/>
      <w:cs/>
    </w:rPr>
  </w:style>
  <w:style w:type="paragraph" w:styleId="TOC1">
    <w:name w:val="toc 1"/>
    <w:basedOn w:val="a"/>
    <w:next w:val="a"/>
    <w:autoRedefine/>
    <w:uiPriority w:val="39"/>
    <w:unhideWhenUsed/>
    <w:rsid w:val="00402AC2"/>
    <w:pPr>
      <w:tabs>
        <w:tab w:val="right" w:leader="dot" w:pos="9629"/>
      </w:tabs>
      <w:spacing w:after="100"/>
    </w:pPr>
    <w:rPr>
      <w:bCs/>
      <w:szCs w:val="22"/>
    </w:rPr>
  </w:style>
  <w:style w:type="paragraph" w:styleId="TOC2">
    <w:name w:val="toc 2"/>
    <w:basedOn w:val="a"/>
    <w:next w:val="a"/>
    <w:uiPriority w:val="39"/>
    <w:unhideWhenUsed/>
    <w:rsid w:val="00402AC2"/>
    <w:pPr>
      <w:tabs>
        <w:tab w:val="right" w:leader="dot" w:pos="9628"/>
      </w:tabs>
      <w:spacing w:after="100"/>
    </w:pPr>
    <w:rPr>
      <w:szCs w:val="22"/>
    </w:rPr>
  </w:style>
  <w:style w:type="character" w:styleId="Hyperlink">
    <w:name w:val="Hyperlink"/>
    <w:basedOn w:val="a0"/>
    <w:uiPriority w:val="99"/>
    <w:unhideWhenUsed/>
    <w:rsid w:val="00402AC2"/>
    <w:rPr>
      <w:color w:val="0563C1" w:themeColor="hyperlink"/>
      <w:u w:val="single"/>
    </w:rPr>
  </w:style>
  <w:style w:type="paragraph" w:styleId="TOC3">
    <w:name w:val="toc 3"/>
    <w:basedOn w:val="a"/>
    <w:next w:val="a"/>
    <w:uiPriority w:val="39"/>
    <w:unhideWhenUsed/>
    <w:rsid w:val="00402AC2"/>
    <w:pPr>
      <w:numPr>
        <w:numId w:val="20"/>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402AC2"/>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402AC2"/>
    <w:pPr>
      <w:tabs>
        <w:tab w:val="right" w:leader="dot" w:pos="9628"/>
      </w:tabs>
      <w:spacing w:after="100"/>
      <w:ind w:left="567"/>
    </w:pPr>
    <w:rPr>
      <w:szCs w:val="22"/>
    </w:rPr>
  </w:style>
  <w:style w:type="paragraph" w:styleId="TOC6">
    <w:name w:val="toc 6"/>
    <w:basedOn w:val="a"/>
    <w:next w:val="a"/>
    <w:autoRedefine/>
    <w:semiHidden/>
    <w:unhideWhenUsed/>
    <w:rsid w:val="00402AC2"/>
    <w:pPr>
      <w:spacing w:after="100"/>
      <w:ind w:left="850"/>
    </w:pPr>
  </w:style>
  <w:style w:type="paragraph" w:styleId="TOC7">
    <w:name w:val="toc 7"/>
    <w:basedOn w:val="a"/>
    <w:next w:val="a"/>
    <w:autoRedefine/>
    <w:semiHidden/>
    <w:unhideWhenUsed/>
    <w:rsid w:val="00402AC2"/>
    <w:pPr>
      <w:spacing w:after="100"/>
      <w:ind w:left="1020"/>
    </w:pPr>
  </w:style>
  <w:style w:type="paragraph" w:styleId="TOC8">
    <w:name w:val="toc 8"/>
    <w:basedOn w:val="a"/>
    <w:next w:val="a"/>
    <w:autoRedefine/>
    <w:semiHidden/>
    <w:unhideWhenUsed/>
    <w:rsid w:val="00402AC2"/>
    <w:pPr>
      <w:spacing w:after="100"/>
      <w:ind w:left="1190"/>
    </w:pPr>
  </w:style>
  <w:style w:type="paragraph" w:styleId="TOC9">
    <w:name w:val="toc 9"/>
    <w:basedOn w:val="a"/>
    <w:next w:val="a"/>
    <w:autoRedefine/>
    <w:semiHidden/>
    <w:unhideWhenUsed/>
    <w:rsid w:val="00402AC2"/>
    <w:pPr>
      <w:spacing w:after="100"/>
      <w:ind w:left="1360"/>
    </w:pPr>
  </w:style>
  <w:style w:type="paragraph" w:customStyle="1" w:styleId="TableHead2">
    <w:name w:val="Table Head2"/>
    <w:basedOn w:val="TableHead"/>
    <w:qFormat/>
    <w:rsid w:val="00402AC2"/>
    <w:pPr>
      <w:outlineLvl w:val="9"/>
    </w:pPr>
  </w:style>
  <w:style w:type="paragraph" w:customStyle="1" w:styleId="TableSideHeading2">
    <w:name w:val="Table SideHeading2"/>
    <w:basedOn w:val="TableSideHeading"/>
    <w:autoRedefine/>
    <w:qFormat/>
    <w:rsid w:val="00402AC2"/>
    <w:pPr>
      <w:keepLines w:val="0"/>
      <w:outlineLvl w:val="9"/>
    </w:pPr>
  </w:style>
  <w:style w:type="paragraph" w:customStyle="1" w:styleId="0">
    <w:name w:val="סגנון שורה ראשונה:  0  ס''מ"/>
    <w:basedOn w:val="2"/>
    <w:rsid w:val="00402AC2"/>
    <w:rPr>
      <w:rFonts w:eastAsia="Times New Roman"/>
    </w:rPr>
  </w:style>
  <w:style w:type="table" w:styleId="af2">
    <w:name w:val="Table Grid"/>
    <w:basedOn w:val="a1"/>
    <w:rsid w:val="00402AC2"/>
    <w:pPr>
      <w:bidi w:val="0"/>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ה רגילה 11"/>
    <w:basedOn w:val="a1"/>
    <w:uiPriority w:val="41"/>
    <w:rsid w:val="00CD494F"/>
    <w:pPr>
      <w:bidi w:val="0"/>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טבלת רשת 1 בהירה1"/>
    <w:basedOn w:val="a1"/>
    <w:uiPriority w:val="46"/>
    <w:rsid w:val="00CD494F"/>
    <w:pPr>
      <w:bidi w:val="0"/>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3">
    <w:name w:val="טבלת חקיקה"/>
    <w:basedOn w:val="a1"/>
    <w:uiPriority w:val="99"/>
    <w:rsid w:val="00402AC2"/>
    <w:pPr>
      <w:bidi w:val="0"/>
      <w:spacing w:after="0" w:line="240" w:lineRule="auto"/>
      <w:jc w:val="center"/>
    </w:pPr>
    <w:rPr>
      <w:rFonts w:ascii="Times New Roman" w:eastAsia="MS Mincho" w:hAnsi="Times New Roman" w:cstheme="minorBidi"/>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402AC2"/>
    <w:pPr>
      <w:bidi w:val="0"/>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4">
    <w:name w:val="annotation reference"/>
    <w:basedOn w:val="a0"/>
    <w:uiPriority w:val="99"/>
    <w:semiHidden/>
    <w:unhideWhenUsed/>
    <w:rsid w:val="007D3282"/>
    <w:rPr>
      <w:sz w:val="16"/>
      <w:szCs w:val="16"/>
    </w:rPr>
  </w:style>
  <w:style w:type="paragraph" w:styleId="af5">
    <w:name w:val="annotation text"/>
    <w:basedOn w:val="a"/>
    <w:link w:val="af6"/>
    <w:uiPriority w:val="99"/>
    <w:semiHidden/>
    <w:unhideWhenUsed/>
    <w:rsid w:val="007D3282"/>
    <w:pPr>
      <w:spacing w:line="240" w:lineRule="auto"/>
    </w:pPr>
    <w:rPr>
      <w:sz w:val="20"/>
      <w:szCs w:val="20"/>
    </w:rPr>
  </w:style>
  <w:style w:type="character" w:customStyle="1" w:styleId="af6">
    <w:name w:val="טקסט הערה תו"/>
    <w:basedOn w:val="a0"/>
    <w:link w:val="af5"/>
    <w:uiPriority w:val="99"/>
    <w:semiHidden/>
    <w:rsid w:val="007D3282"/>
    <w:rPr>
      <w:rFonts w:ascii="David" w:hAnsi="David" w:cs="David"/>
      <w:sz w:val="20"/>
      <w:szCs w:val="20"/>
    </w:rPr>
  </w:style>
  <w:style w:type="paragraph" w:styleId="af7">
    <w:name w:val="annotation subject"/>
    <w:basedOn w:val="af5"/>
    <w:next w:val="af5"/>
    <w:link w:val="af8"/>
    <w:uiPriority w:val="99"/>
    <w:semiHidden/>
    <w:unhideWhenUsed/>
    <w:rsid w:val="007D3282"/>
    <w:rPr>
      <w:b/>
      <w:bCs/>
    </w:rPr>
  </w:style>
  <w:style w:type="character" w:customStyle="1" w:styleId="af8">
    <w:name w:val="נושא הערה תו"/>
    <w:basedOn w:val="af6"/>
    <w:link w:val="af7"/>
    <w:uiPriority w:val="99"/>
    <w:semiHidden/>
    <w:rsid w:val="007D3282"/>
    <w:rPr>
      <w:rFonts w:ascii="David" w:hAnsi="David" w:cs="David"/>
      <w:b/>
      <w:bCs/>
      <w:sz w:val="20"/>
      <w:szCs w:val="20"/>
    </w:rPr>
  </w:style>
  <w:style w:type="table" w:customStyle="1" w:styleId="120">
    <w:name w:val="טבלה רגילה 12"/>
    <w:basedOn w:val="a1"/>
    <w:uiPriority w:val="41"/>
    <w:rsid w:val="00402AC2"/>
    <w:pPr>
      <w:bidi w:val="0"/>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טבלת רשת 1 בהירה2"/>
    <w:basedOn w:val="a1"/>
    <w:uiPriority w:val="46"/>
    <w:rsid w:val="00402AC2"/>
    <w:pPr>
      <w:bidi w:val="0"/>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3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fNumber xmlns="d2589617-2f74-4077-aee7-f516ed639388">45505</RefNumber>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D9C671-DFEF-4D55-9824-75665E86E445}">
  <ds:schemaRefs>
    <ds:schemaRef ds:uri="http://schemas.microsoft.com/sharepoint/v3/contenttype/forms"/>
  </ds:schemaRefs>
</ds:datastoreItem>
</file>

<file path=customXml/itemProps2.xml><?xml version="1.0" encoding="utf-8"?>
<ds:datastoreItem xmlns:ds="http://schemas.openxmlformats.org/officeDocument/2006/customXml" ds:itemID="{2F730CBD-8356-4343-A2EA-49FE623A949D}">
  <ds:schemaRefs>
    <ds:schemaRef ds:uri="http://schemas.microsoft.com/office/2006/metadata/properties"/>
    <ds:schemaRef ds:uri="d2589617-2f74-4077-aee7-f516ed639388"/>
  </ds:schemaRefs>
</ds:datastoreItem>
</file>

<file path=customXml/itemProps3.xml><?xml version="1.0" encoding="utf-8"?>
<ds:datastoreItem xmlns:ds="http://schemas.openxmlformats.org/officeDocument/2006/customXml" ds:itemID="{3994A6D7-8DCE-4711-A95C-0F24A29E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3499</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צו התקנים (פטור ממילוי אחר דרישות תקנים רשמיים) -.docx</vt:lpstr>
    </vt:vector>
  </TitlesOfParts>
  <Company>MOJ</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צו התקנים (פטור ממילוי אחר דרישות תקנים רשמיים) -.docx</dc:title>
  <dc:creator>רון להב היימן</dc:creator>
  <cp:lastModifiedBy>Merav Kaplan - Chamber Of Commerce</cp:lastModifiedBy>
  <cp:revision>2</cp:revision>
  <dcterms:created xsi:type="dcterms:W3CDTF">2020-03-08T10:12:00Z</dcterms:created>
  <dcterms:modified xsi:type="dcterms:W3CDTF">2020-03-08T10:12:00Z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