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44D97" w14:textId="619F0A4A" w:rsidR="00372D1E" w:rsidRPr="004F3BBA" w:rsidRDefault="00372D1E" w:rsidP="007C1744">
      <w:pPr>
        <w:pStyle w:val="HeadHatzaotHok"/>
        <w:keepNext w:val="0"/>
        <w:keepLines w:val="0"/>
        <w:rPr>
          <w:rFonts w:ascii="David" w:hAnsi="David"/>
          <w:sz w:val="24"/>
          <w:szCs w:val="24"/>
          <w:rtl/>
        </w:rPr>
      </w:pPr>
      <w:r w:rsidRPr="004F3BBA">
        <w:rPr>
          <w:rFonts w:ascii="David" w:hAnsi="David"/>
          <w:sz w:val="24"/>
          <w:szCs w:val="24"/>
          <w:u w:val="single"/>
          <w:rtl/>
        </w:rPr>
        <w:t xml:space="preserve">צו הגנת הצרכן (סימון טובין) (תיקון), </w:t>
      </w:r>
      <w:proofErr w:type="spellStart"/>
      <w:r w:rsidRPr="004F3BBA">
        <w:rPr>
          <w:rFonts w:ascii="David" w:hAnsi="David"/>
          <w:sz w:val="24"/>
          <w:szCs w:val="24"/>
          <w:u w:val="single"/>
          <w:rtl/>
        </w:rPr>
        <w:t>התשע"פ</w:t>
      </w:r>
      <w:proofErr w:type="spellEnd"/>
      <w:r w:rsidRPr="004F3BBA">
        <w:rPr>
          <w:rFonts w:ascii="David" w:hAnsi="David"/>
          <w:sz w:val="24"/>
          <w:szCs w:val="24"/>
          <w:u w:val="single"/>
          <w:rtl/>
        </w:rPr>
        <w:t xml:space="preserve"> – 2019</w:t>
      </w:r>
    </w:p>
    <w:p w14:paraId="1D214DB5" w14:textId="77777777" w:rsidR="00372D1E" w:rsidRPr="004F3BBA" w:rsidRDefault="00372D1E" w:rsidP="00307E94">
      <w:pPr>
        <w:pStyle w:val="HeadHatzaotHok"/>
        <w:keepNext w:val="0"/>
        <w:keepLines w:val="0"/>
        <w:rPr>
          <w:rFonts w:ascii="David" w:hAnsi="David"/>
          <w:sz w:val="24"/>
          <w:szCs w:val="24"/>
          <w:rtl/>
        </w:rPr>
      </w:pPr>
    </w:p>
    <w:p w14:paraId="21AEE6E8" w14:textId="77777777" w:rsidR="00372D1E" w:rsidRPr="004F3BBA" w:rsidRDefault="00372D1E" w:rsidP="00372D1E">
      <w:pPr>
        <w:rPr>
          <w:rtl/>
        </w:rPr>
      </w:pPr>
      <w:r w:rsidRPr="004F3BBA">
        <w:rPr>
          <w:rtl/>
        </w:rPr>
        <w:t>בתוקף סמכותי לפי סעיפים 1</w:t>
      </w:r>
      <w:bookmarkStart w:id="0" w:name="_GoBack"/>
      <w:bookmarkEnd w:id="0"/>
      <w:r w:rsidRPr="004F3BBA">
        <w:rPr>
          <w:rtl/>
        </w:rPr>
        <w:t xml:space="preserve">7(ב) ו-37(א) לחוק הגנת הצרכן, </w:t>
      </w:r>
      <w:proofErr w:type="spellStart"/>
      <w:r w:rsidRPr="004F3BBA">
        <w:rPr>
          <w:rtl/>
        </w:rPr>
        <w:t>התשמ"א</w:t>
      </w:r>
      <w:proofErr w:type="spellEnd"/>
      <w:r w:rsidRPr="004F3BBA">
        <w:rPr>
          <w:rtl/>
        </w:rPr>
        <w:t xml:space="preserve"> – 1981</w:t>
      </w:r>
      <w:r w:rsidRPr="004F3BBA">
        <w:rPr>
          <w:rStyle w:val="a7"/>
          <w:rtl/>
        </w:rPr>
        <w:footnoteReference w:id="1"/>
      </w:r>
      <w:r w:rsidRPr="004F3BBA">
        <w:rPr>
          <w:rtl/>
        </w:rPr>
        <w:t xml:space="preserve"> (להלן-החוק), בהתייעצות עם הממונה על הגנת הצרכן והסחר ההוגן לפי סעיף 37(א1) לחוק, אני מצווה לאמור:</w:t>
      </w:r>
    </w:p>
    <w:p w14:paraId="4DDD2291" w14:textId="77777777" w:rsidR="00372D1E" w:rsidRPr="004F3BBA" w:rsidRDefault="00372D1E" w:rsidP="00307E94">
      <w:pPr>
        <w:pStyle w:val="HeadHatzaotHok"/>
        <w:keepNext w:val="0"/>
        <w:keepLines w:val="0"/>
        <w:rPr>
          <w:rFonts w:ascii="David" w:hAnsi="David"/>
          <w:sz w:val="24"/>
          <w:szCs w:val="24"/>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372D1E" w:rsidRPr="004F3BBA" w14:paraId="140DBE68" w14:textId="77777777" w:rsidTr="00372D1E">
        <w:trPr>
          <w:cantSplit/>
          <w:trHeight w:val="60"/>
        </w:trPr>
        <w:tc>
          <w:tcPr>
            <w:tcW w:w="1871" w:type="dxa"/>
          </w:tcPr>
          <w:p w14:paraId="3783F36C" w14:textId="77777777" w:rsidR="00372D1E" w:rsidRPr="004F3BBA" w:rsidRDefault="00372D1E">
            <w:pPr>
              <w:pStyle w:val="TableSideHeading"/>
              <w:rPr>
                <w:rFonts w:ascii="David" w:hAnsi="David"/>
                <w:sz w:val="24"/>
                <w:szCs w:val="24"/>
                <w:rtl/>
              </w:rPr>
            </w:pPr>
            <w:r w:rsidRPr="004F3BBA">
              <w:rPr>
                <w:rFonts w:ascii="David" w:hAnsi="David"/>
                <w:sz w:val="24"/>
                <w:szCs w:val="24"/>
                <w:rtl/>
              </w:rPr>
              <w:t>תיקון התוספת השנייה</w:t>
            </w:r>
          </w:p>
        </w:tc>
        <w:tc>
          <w:tcPr>
            <w:tcW w:w="624" w:type="dxa"/>
          </w:tcPr>
          <w:p w14:paraId="5C1E5731" w14:textId="77777777" w:rsidR="00372D1E" w:rsidRPr="004F3BBA" w:rsidRDefault="00372D1E">
            <w:pPr>
              <w:pStyle w:val="TableText"/>
              <w:rPr>
                <w:rFonts w:ascii="David" w:hAnsi="David"/>
                <w:sz w:val="24"/>
                <w:szCs w:val="24"/>
              </w:rPr>
            </w:pPr>
            <w:r w:rsidRPr="004F3BBA">
              <w:rPr>
                <w:rFonts w:ascii="David" w:hAnsi="David"/>
                <w:sz w:val="24"/>
                <w:szCs w:val="24"/>
                <w:rtl/>
              </w:rPr>
              <w:t>1.</w:t>
            </w:r>
          </w:p>
        </w:tc>
        <w:tc>
          <w:tcPr>
            <w:tcW w:w="7146" w:type="dxa"/>
            <w:gridSpan w:val="4"/>
            <w:hideMark/>
          </w:tcPr>
          <w:p w14:paraId="1303CE4B" w14:textId="77777777" w:rsidR="00372D1E" w:rsidRPr="004F3BBA" w:rsidRDefault="00372D1E" w:rsidP="004F3BBA">
            <w:r w:rsidRPr="004F3BBA">
              <w:rPr>
                <w:rtl/>
              </w:rPr>
              <w:t>בצו הגנת הצרכן (סימון טובין), התשמ"ג-1983</w:t>
            </w:r>
            <w:r w:rsidRPr="004F3BBA">
              <w:rPr>
                <w:rStyle w:val="a7"/>
                <w:rtl/>
              </w:rPr>
              <w:footnoteReference w:id="2"/>
            </w:r>
            <w:r w:rsidRPr="004F3BBA">
              <w:rPr>
                <w:rtl/>
              </w:rPr>
              <w:t xml:space="preserve"> (להלן – הצו העיקרי), בתוספת השנייה בפרט מספר 3 -</w:t>
            </w:r>
          </w:p>
        </w:tc>
      </w:tr>
      <w:tr w:rsidR="00372D1E" w:rsidRPr="004F3BBA" w14:paraId="0F009B72" w14:textId="77777777" w:rsidTr="00372D1E">
        <w:trPr>
          <w:cantSplit/>
          <w:trHeight w:val="60"/>
        </w:trPr>
        <w:tc>
          <w:tcPr>
            <w:tcW w:w="1871" w:type="dxa"/>
          </w:tcPr>
          <w:p w14:paraId="6E4E673B" w14:textId="77777777" w:rsidR="00372D1E" w:rsidRPr="004F3BBA" w:rsidRDefault="00372D1E">
            <w:pPr>
              <w:pStyle w:val="TableSideHeading"/>
              <w:rPr>
                <w:rFonts w:ascii="David" w:hAnsi="David"/>
                <w:sz w:val="24"/>
                <w:szCs w:val="24"/>
              </w:rPr>
            </w:pPr>
          </w:p>
        </w:tc>
        <w:tc>
          <w:tcPr>
            <w:tcW w:w="624" w:type="dxa"/>
          </w:tcPr>
          <w:p w14:paraId="50DB3F43" w14:textId="77777777" w:rsidR="00372D1E" w:rsidRPr="004F3BBA" w:rsidRDefault="00372D1E">
            <w:pPr>
              <w:pStyle w:val="TableText"/>
              <w:rPr>
                <w:rFonts w:ascii="David" w:hAnsi="David"/>
                <w:sz w:val="24"/>
                <w:szCs w:val="24"/>
              </w:rPr>
            </w:pPr>
          </w:p>
        </w:tc>
        <w:tc>
          <w:tcPr>
            <w:tcW w:w="624" w:type="dxa"/>
          </w:tcPr>
          <w:p w14:paraId="0616DEDC" w14:textId="77777777" w:rsidR="00372D1E" w:rsidRPr="004F3BBA" w:rsidRDefault="00372D1E" w:rsidP="00372D1E">
            <w:pPr>
              <w:pStyle w:val="TableText"/>
              <w:numPr>
                <w:ilvl w:val="0"/>
                <w:numId w:val="20"/>
              </w:numPr>
              <w:rPr>
                <w:rFonts w:ascii="David" w:hAnsi="David"/>
                <w:sz w:val="24"/>
                <w:szCs w:val="24"/>
              </w:rPr>
            </w:pPr>
          </w:p>
        </w:tc>
        <w:tc>
          <w:tcPr>
            <w:tcW w:w="6522" w:type="dxa"/>
            <w:gridSpan w:val="3"/>
          </w:tcPr>
          <w:p w14:paraId="36705884" w14:textId="77777777" w:rsidR="00372D1E" w:rsidRPr="004F3BBA" w:rsidRDefault="00372D1E" w:rsidP="004F3BBA">
            <w:pPr>
              <w:pStyle w:val="TableBlock"/>
              <w:rPr>
                <w:rFonts w:ascii="David" w:hAnsi="David"/>
                <w:sz w:val="24"/>
                <w:szCs w:val="24"/>
              </w:rPr>
            </w:pPr>
            <w:r w:rsidRPr="004F3BBA">
              <w:rPr>
                <w:rFonts w:ascii="David" w:hAnsi="David"/>
                <w:sz w:val="24"/>
                <w:szCs w:val="24"/>
                <w:rtl/>
              </w:rPr>
              <w:t>במקום סעיף קטן (ט) יבוא -</w:t>
            </w:r>
          </w:p>
        </w:tc>
      </w:tr>
      <w:tr w:rsidR="00372D1E" w:rsidRPr="004F3BBA" w14:paraId="5E168077" w14:textId="77777777" w:rsidTr="00D82F37">
        <w:trPr>
          <w:cantSplit/>
          <w:trHeight w:val="60"/>
        </w:trPr>
        <w:tc>
          <w:tcPr>
            <w:tcW w:w="1871" w:type="dxa"/>
          </w:tcPr>
          <w:p w14:paraId="25580F93" w14:textId="77777777" w:rsidR="00372D1E" w:rsidRPr="004F3BBA" w:rsidRDefault="00372D1E">
            <w:pPr>
              <w:pStyle w:val="TableSideHeading"/>
              <w:rPr>
                <w:rFonts w:ascii="David" w:hAnsi="David"/>
                <w:sz w:val="24"/>
                <w:szCs w:val="24"/>
              </w:rPr>
            </w:pPr>
          </w:p>
        </w:tc>
        <w:tc>
          <w:tcPr>
            <w:tcW w:w="624" w:type="dxa"/>
          </w:tcPr>
          <w:p w14:paraId="3E5A45DB" w14:textId="77777777" w:rsidR="00372D1E" w:rsidRPr="004F3BBA" w:rsidRDefault="00372D1E">
            <w:pPr>
              <w:pStyle w:val="TableText"/>
              <w:rPr>
                <w:rFonts w:ascii="David" w:hAnsi="David"/>
                <w:sz w:val="24"/>
                <w:szCs w:val="24"/>
              </w:rPr>
            </w:pPr>
          </w:p>
        </w:tc>
        <w:tc>
          <w:tcPr>
            <w:tcW w:w="624" w:type="dxa"/>
          </w:tcPr>
          <w:p w14:paraId="2836B907" w14:textId="77777777" w:rsidR="00372D1E" w:rsidRPr="004F3BBA" w:rsidRDefault="00372D1E">
            <w:pPr>
              <w:pStyle w:val="TableText"/>
              <w:rPr>
                <w:rFonts w:ascii="David" w:hAnsi="David"/>
                <w:sz w:val="24"/>
                <w:szCs w:val="24"/>
              </w:rPr>
            </w:pPr>
          </w:p>
        </w:tc>
        <w:tc>
          <w:tcPr>
            <w:tcW w:w="624" w:type="dxa"/>
          </w:tcPr>
          <w:p w14:paraId="56650C8C" w14:textId="77777777" w:rsidR="00372D1E" w:rsidRPr="004F3BBA" w:rsidRDefault="00372D1E" w:rsidP="004F3BBA">
            <w:pPr>
              <w:pStyle w:val="TableText"/>
              <w:rPr>
                <w:rFonts w:ascii="David" w:hAnsi="David"/>
                <w:sz w:val="24"/>
                <w:szCs w:val="24"/>
              </w:rPr>
            </w:pPr>
            <w:r w:rsidRPr="004F3BBA">
              <w:rPr>
                <w:rFonts w:ascii="David" w:hAnsi="David"/>
                <w:sz w:val="24"/>
                <w:szCs w:val="24"/>
                <w:rtl/>
              </w:rPr>
              <w:t>"(ט)</w:t>
            </w:r>
          </w:p>
        </w:tc>
        <w:tc>
          <w:tcPr>
            <w:tcW w:w="5898" w:type="dxa"/>
            <w:gridSpan w:val="2"/>
            <w:shd w:val="clear" w:color="auto" w:fill="auto"/>
          </w:tcPr>
          <w:p w14:paraId="5A62397A" w14:textId="0FC40E88" w:rsidR="00C1185F" w:rsidRPr="004F3BBA" w:rsidRDefault="00C1185F" w:rsidP="004F3BBA">
            <w:pPr>
              <w:rPr>
                <w:rtl/>
              </w:rPr>
            </w:pPr>
            <w:r w:rsidRPr="004F3BBA">
              <w:rPr>
                <w:rtl/>
              </w:rPr>
              <w:t xml:space="preserve">על אף האמור בסעיף 2 לצו העיקרי,  סימון רהיטים יכול שייעשה </w:t>
            </w:r>
            <w:r w:rsidR="001E234F" w:rsidRPr="004F3BBA">
              <w:rPr>
                <w:rtl/>
              </w:rPr>
              <w:t>באופן מקוון</w:t>
            </w:r>
            <w:r w:rsidRPr="004F3BBA">
              <w:rPr>
                <w:rtl/>
              </w:rPr>
              <w:t xml:space="preserve"> ובלבד שהתקיימו כל אלה:</w:t>
            </w:r>
            <w:r w:rsidRPr="004F3BBA">
              <w:t xml:space="preserve"> </w:t>
            </w:r>
          </w:p>
          <w:p w14:paraId="3F6C03FB" w14:textId="2689F9C7" w:rsidR="001E234F" w:rsidRPr="004F3BBA" w:rsidRDefault="00C1185F" w:rsidP="004F3BBA">
            <w:pPr>
              <w:pStyle w:val="af"/>
              <w:numPr>
                <w:ilvl w:val="0"/>
                <w:numId w:val="24"/>
              </w:numPr>
              <w:spacing w:after="200" w:line="360" w:lineRule="auto"/>
              <w:rPr>
                <w:rFonts w:ascii="David" w:hAnsi="David"/>
                <w:sz w:val="24"/>
              </w:rPr>
            </w:pPr>
            <w:r w:rsidRPr="004F3BBA">
              <w:rPr>
                <w:rFonts w:ascii="David" w:hAnsi="David"/>
                <w:sz w:val="24"/>
                <w:rtl/>
              </w:rPr>
              <w:t>פרטי הסימון</w:t>
            </w:r>
            <w:r w:rsidR="001E234F" w:rsidRPr="004F3BBA">
              <w:rPr>
                <w:rFonts w:ascii="David" w:hAnsi="David"/>
                <w:sz w:val="24"/>
                <w:rtl/>
              </w:rPr>
              <w:t xml:space="preserve"> מופיעים בעברית באופן שהצרכן יכול לעיין בהם בחיפוש פשוט לפי שם המוצר ומאפייניו, ושם הדגם ככל שישנו.</w:t>
            </w:r>
          </w:p>
          <w:p w14:paraId="7D9F29E0" w14:textId="10018D0A" w:rsidR="00D82F37" w:rsidRPr="004F3BBA" w:rsidRDefault="001E234F" w:rsidP="004F3BBA">
            <w:pPr>
              <w:pStyle w:val="af"/>
              <w:numPr>
                <w:ilvl w:val="0"/>
                <w:numId w:val="24"/>
              </w:numPr>
              <w:spacing w:after="200" w:line="360" w:lineRule="auto"/>
              <w:rPr>
                <w:rFonts w:ascii="David" w:hAnsi="David"/>
                <w:sz w:val="24"/>
              </w:rPr>
            </w:pPr>
            <w:r w:rsidRPr="004F3BBA">
              <w:rPr>
                <w:rFonts w:ascii="David" w:hAnsi="David"/>
                <w:sz w:val="24"/>
                <w:rtl/>
              </w:rPr>
              <w:t>פרטי הסימון</w:t>
            </w:r>
            <w:r w:rsidR="00495FDB" w:rsidRPr="004F3BBA">
              <w:rPr>
                <w:rFonts w:ascii="David" w:hAnsi="David"/>
                <w:sz w:val="24"/>
                <w:rtl/>
              </w:rPr>
              <w:t xml:space="preserve"> של רהיט מסוג מסוים</w:t>
            </w:r>
            <w:r w:rsidRPr="004F3BBA">
              <w:rPr>
                <w:rFonts w:ascii="David" w:hAnsi="David"/>
                <w:sz w:val="24"/>
                <w:rtl/>
              </w:rPr>
              <w:t xml:space="preserve"> </w:t>
            </w:r>
            <w:r w:rsidR="00C1185F" w:rsidRPr="004F3BBA">
              <w:rPr>
                <w:rFonts w:ascii="David" w:hAnsi="David"/>
                <w:sz w:val="24"/>
                <w:rtl/>
              </w:rPr>
              <w:t xml:space="preserve">יופיעו בהתאם לאמור בסעיף קטן (א) לתקופה של 7 שנים לפחות </w:t>
            </w:r>
            <w:r w:rsidR="007C1744" w:rsidRPr="004F3BBA">
              <w:rPr>
                <w:rFonts w:ascii="David" w:hAnsi="David"/>
                <w:sz w:val="24"/>
                <w:rtl/>
              </w:rPr>
              <w:t xml:space="preserve">מהמועד האחרון שבו נמכר </w:t>
            </w:r>
            <w:r w:rsidR="00495FDB" w:rsidRPr="004F3BBA">
              <w:rPr>
                <w:rFonts w:ascii="David" w:hAnsi="David"/>
                <w:sz w:val="24"/>
                <w:rtl/>
              </w:rPr>
              <w:t xml:space="preserve">אותו </w:t>
            </w:r>
            <w:r w:rsidR="007C1744" w:rsidRPr="004F3BBA">
              <w:rPr>
                <w:rFonts w:ascii="David" w:hAnsi="David"/>
                <w:sz w:val="24"/>
                <w:rtl/>
              </w:rPr>
              <w:t xml:space="preserve">רהיט </w:t>
            </w:r>
            <w:r w:rsidR="00B57850" w:rsidRPr="004F3BBA">
              <w:rPr>
                <w:rFonts w:ascii="David" w:hAnsi="David"/>
                <w:sz w:val="24"/>
                <w:rtl/>
              </w:rPr>
              <w:t>לקמעונאי</w:t>
            </w:r>
            <w:r w:rsidR="00495FDB" w:rsidRPr="004F3BBA">
              <w:rPr>
                <w:rFonts w:ascii="David" w:hAnsi="David"/>
                <w:sz w:val="24"/>
                <w:rtl/>
              </w:rPr>
              <w:t>."</w:t>
            </w:r>
          </w:p>
        </w:tc>
      </w:tr>
      <w:tr w:rsidR="00372D1E" w:rsidRPr="004F3BBA" w14:paraId="7F2FC309" w14:textId="77777777" w:rsidTr="00372D1E">
        <w:trPr>
          <w:cantSplit/>
          <w:trHeight w:val="60"/>
        </w:trPr>
        <w:tc>
          <w:tcPr>
            <w:tcW w:w="1871" w:type="dxa"/>
          </w:tcPr>
          <w:p w14:paraId="204B4C72" w14:textId="77777777" w:rsidR="00372D1E" w:rsidRPr="004F3BBA" w:rsidRDefault="00372D1E">
            <w:pPr>
              <w:pStyle w:val="TableSideHeading"/>
              <w:rPr>
                <w:rFonts w:ascii="David" w:hAnsi="David"/>
                <w:sz w:val="24"/>
                <w:szCs w:val="24"/>
              </w:rPr>
            </w:pPr>
          </w:p>
        </w:tc>
        <w:tc>
          <w:tcPr>
            <w:tcW w:w="624" w:type="dxa"/>
          </w:tcPr>
          <w:p w14:paraId="03C06485" w14:textId="77777777" w:rsidR="00372D1E" w:rsidRPr="004F3BBA" w:rsidRDefault="00372D1E" w:rsidP="00372D1E">
            <w:pPr>
              <w:pStyle w:val="TableText"/>
              <w:rPr>
                <w:rFonts w:ascii="David" w:hAnsi="David"/>
                <w:sz w:val="24"/>
                <w:szCs w:val="24"/>
              </w:rPr>
            </w:pPr>
          </w:p>
        </w:tc>
        <w:tc>
          <w:tcPr>
            <w:tcW w:w="624" w:type="dxa"/>
          </w:tcPr>
          <w:p w14:paraId="06DCF127" w14:textId="77777777" w:rsidR="00372D1E" w:rsidRPr="004F3BBA" w:rsidRDefault="00372D1E" w:rsidP="00372D1E">
            <w:pPr>
              <w:pStyle w:val="TableText"/>
              <w:numPr>
                <w:ilvl w:val="0"/>
                <w:numId w:val="20"/>
              </w:numPr>
              <w:rPr>
                <w:rFonts w:ascii="David" w:hAnsi="David"/>
                <w:sz w:val="24"/>
                <w:szCs w:val="24"/>
              </w:rPr>
            </w:pPr>
          </w:p>
        </w:tc>
        <w:tc>
          <w:tcPr>
            <w:tcW w:w="6522" w:type="dxa"/>
            <w:gridSpan w:val="3"/>
          </w:tcPr>
          <w:p w14:paraId="651C066F" w14:textId="77777777" w:rsidR="00372D1E" w:rsidRPr="004F3BBA" w:rsidRDefault="00372D1E">
            <w:pPr>
              <w:pStyle w:val="TableBlock"/>
              <w:rPr>
                <w:rFonts w:ascii="David" w:hAnsi="David"/>
                <w:sz w:val="24"/>
                <w:szCs w:val="24"/>
                <w:rtl/>
              </w:rPr>
            </w:pPr>
            <w:r w:rsidRPr="004F3BBA">
              <w:rPr>
                <w:rFonts w:ascii="David" w:hAnsi="David"/>
                <w:sz w:val="24"/>
                <w:szCs w:val="24"/>
                <w:rtl/>
              </w:rPr>
              <w:t>אחרי סעיף קטן (ט) יבוא -</w:t>
            </w:r>
          </w:p>
        </w:tc>
      </w:tr>
      <w:tr w:rsidR="007C1744" w:rsidRPr="004F3BBA" w14:paraId="4EB750C9" w14:textId="77777777">
        <w:trPr>
          <w:cantSplit/>
          <w:trHeight w:val="60"/>
        </w:trPr>
        <w:tc>
          <w:tcPr>
            <w:tcW w:w="1871" w:type="dxa"/>
          </w:tcPr>
          <w:p w14:paraId="3C2D2252" w14:textId="77777777" w:rsidR="007C1744" w:rsidRPr="004F3BBA" w:rsidRDefault="007C1744">
            <w:pPr>
              <w:pStyle w:val="TableSideHeading"/>
              <w:rPr>
                <w:rFonts w:ascii="David" w:hAnsi="David"/>
                <w:sz w:val="24"/>
                <w:szCs w:val="24"/>
              </w:rPr>
            </w:pPr>
          </w:p>
        </w:tc>
        <w:tc>
          <w:tcPr>
            <w:tcW w:w="624" w:type="dxa"/>
          </w:tcPr>
          <w:p w14:paraId="2A8A75D6" w14:textId="77777777" w:rsidR="007C1744" w:rsidRPr="004F3BBA" w:rsidRDefault="007C1744">
            <w:pPr>
              <w:pStyle w:val="TableText"/>
              <w:rPr>
                <w:rFonts w:ascii="David" w:hAnsi="David"/>
                <w:sz w:val="24"/>
                <w:szCs w:val="24"/>
              </w:rPr>
            </w:pPr>
          </w:p>
        </w:tc>
        <w:tc>
          <w:tcPr>
            <w:tcW w:w="624" w:type="dxa"/>
          </w:tcPr>
          <w:p w14:paraId="1CD7689D" w14:textId="77777777" w:rsidR="007C1744" w:rsidRPr="004F3BBA" w:rsidRDefault="007C1744">
            <w:pPr>
              <w:pStyle w:val="TableText"/>
              <w:rPr>
                <w:rFonts w:ascii="David" w:hAnsi="David"/>
                <w:sz w:val="24"/>
                <w:szCs w:val="24"/>
              </w:rPr>
            </w:pPr>
          </w:p>
        </w:tc>
        <w:tc>
          <w:tcPr>
            <w:tcW w:w="624" w:type="dxa"/>
          </w:tcPr>
          <w:p w14:paraId="0ED508A9" w14:textId="1B4DD341" w:rsidR="007C1744" w:rsidRPr="004F3BBA" w:rsidRDefault="007C1744">
            <w:pPr>
              <w:pStyle w:val="TableText"/>
              <w:rPr>
                <w:rFonts w:ascii="David" w:hAnsi="David"/>
                <w:sz w:val="24"/>
                <w:szCs w:val="24"/>
              </w:rPr>
            </w:pPr>
            <w:r w:rsidRPr="004F3BBA">
              <w:rPr>
                <w:rFonts w:ascii="David" w:hAnsi="David"/>
                <w:sz w:val="24"/>
                <w:szCs w:val="24"/>
                <w:rtl/>
              </w:rPr>
              <w:t>"(י)</w:t>
            </w:r>
          </w:p>
        </w:tc>
        <w:tc>
          <w:tcPr>
            <w:tcW w:w="624" w:type="dxa"/>
          </w:tcPr>
          <w:p w14:paraId="1DB9E2A9" w14:textId="4AC7AE61" w:rsidR="007C1744" w:rsidRPr="004F3BBA" w:rsidRDefault="007C1744">
            <w:pPr>
              <w:pStyle w:val="TableText"/>
              <w:rPr>
                <w:rFonts w:ascii="David" w:hAnsi="David"/>
                <w:sz w:val="24"/>
                <w:szCs w:val="24"/>
              </w:rPr>
            </w:pPr>
            <w:r w:rsidRPr="004F3BBA">
              <w:rPr>
                <w:rFonts w:ascii="David" w:hAnsi="David"/>
                <w:sz w:val="24"/>
                <w:szCs w:val="24"/>
                <w:rtl/>
              </w:rPr>
              <w:t>(1)</w:t>
            </w:r>
          </w:p>
        </w:tc>
        <w:tc>
          <w:tcPr>
            <w:tcW w:w="5274" w:type="dxa"/>
          </w:tcPr>
          <w:p w14:paraId="7F3927C3" w14:textId="7619B472" w:rsidR="007C1744" w:rsidRPr="004F3BBA" w:rsidRDefault="005B44D3">
            <w:pPr>
              <w:pStyle w:val="TableBlock"/>
              <w:rPr>
                <w:rFonts w:ascii="David" w:hAnsi="David"/>
                <w:sz w:val="24"/>
                <w:szCs w:val="24"/>
              </w:rPr>
            </w:pPr>
            <w:r w:rsidRPr="004F3BBA">
              <w:rPr>
                <w:rFonts w:ascii="David" w:hAnsi="David"/>
                <w:sz w:val="24"/>
                <w:szCs w:val="24"/>
                <w:rtl/>
              </w:rPr>
              <w:t>סימון רהיטים המשמשים בתצוגה ייעשה על גבי שלט שיונח על הרהיט או בסמוך אליו; ואם הוצג הרהיט בקטלוג, ייעשה הסימון בקטלוג</w:t>
            </w:r>
            <w:r w:rsidRPr="004F3BBA">
              <w:rPr>
                <w:rFonts w:ascii="David" w:hAnsi="David"/>
                <w:sz w:val="24"/>
                <w:szCs w:val="24"/>
              </w:rPr>
              <w:t>;</w:t>
            </w:r>
          </w:p>
        </w:tc>
      </w:tr>
      <w:tr w:rsidR="005B44D3" w:rsidRPr="004F3BBA" w14:paraId="62622C79" w14:textId="77777777">
        <w:trPr>
          <w:cantSplit/>
          <w:trHeight w:val="60"/>
        </w:trPr>
        <w:tc>
          <w:tcPr>
            <w:tcW w:w="1871" w:type="dxa"/>
          </w:tcPr>
          <w:p w14:paraId="7350521F" w14:textId="77777777" w:rsidR="005B44D3" w:rsidRPr="004F3BBA" w:rsidRDefault="005B44D3">
            <w:pPr>
              <w:pStyle w:val="TableSideHeading"/>
              <w:rPr>
                <w:rFonts w:ascii="David" w:hAnsi="David"/>
                <w:sz w:val="24"/>
                <w:szCs w:val="24"/>
              </w:rPr>
            </w:pPr>
          </w:p>
        </w:tc>
        <w:tc>
          <w:tcPr>
            <w:tcW w:w="624" w:type="dxa"/>
          </w:tcPr>
          <w:p w14:paraId="6B6B6220" w14:textId="77777777" w:rsidR="005B44D3" w:rsidRPr="004F3BBA" w:rsidRDefault="005B44D3" w:rsidP="005B44D3">
            <w:pPr>
              <w:pStyle w:val="TableText"/>
              <w:rPr>
                <w:rFonts w:ascii="David" w:hAnsi="David"/>
                <w:sz w:val="24"/>
                <w:szCs w:val="24"/>
              </w:rPr>
            </w:pPr>
          </w:p>
        </w:tc>
        <w:tc>
          <w:tcPr>
            <w:tcW w:w="624" w:type="dxa"/>
          </w:tcPr>
          <w:p w14:paraId="11A05100" w14:textId="77777777" w:rsidR="005B44D3" w:rsidRPr="004F3BBA" w:rsidRDefault="005B44D3">
            <w:pPr>
              <w:pStyle w:val="TableText"/>
              <w:rPr>
                <w:rFonts w:ascii="David" w:hAnsi="David"/>
                <w:sz w:val="24"/>
                <w:szCs w:val="24"/>
              </w:rPr>
            </w:pPr>
          </w:p>
        </w:tc>
        <w:tc>
          <w:tcPr>
            <w:tcW w:w="624" w:type="dxa"/>
          </w:tcPr>
          <w:p w14:paraId="4E502BB7" w14:textId="77777777" w:rsidR="005B44D3" w:rsidRPr="004F3BBA" w:rsidRDefault="005B44D3">
            <w:pPr>
              <w:pStyle w:val="TableText"/>
              <w:rPr>
                <w:rFonts w:ascii="David" w:hAnsi="David"/>
                <w:sz w:val="24"/>
                <w:szCs w:val="24"/>
                <w:rtl/>
              </w:rPr>
            </w:pPr>
          </w:p>
        </w:tc>
        <w:tc>
          <w:tcPr>
            <w:tcW w:w="624" w:type="dxa"/>
          </w:tcPr>
          <w:p w14:paraId="74A9E697" w14:textId="24E03B9C" w:rsidR="005B44D3" w:rsidRPr="004F3BBA" w:rsidRDefault="005B44D3">
            <w:pPr>
              <w:pStyle w:val="TableText"/>
              <w:rPr>
                <w:rFonts w:ascii="David" w:hAnsi="David"/>
                <w:sz w:val="24"/>
                <w:szCs w:val="24"/>
                <w:rtl/>
              </w:rPr>
            </w:pPr>
            <w:r w:rsidRPr="004F3BBA">
              <w:rPr>
                <w:rFonts w:ascii="David" w:hAnsi="David"/>
                <w:sz w:val="24"/>
                <w:szCs w:val="24"/>
                <w:rtl/>
              </w:rPr>
              <w:t>(2)</w:t>
            </w:r>
          </w:p>
        </w:tc>
        <w:tc>
          <w:tcPr>
            <w:tcW w:w="5274" w:type="dxa"/>
          </w:tcPr>
          <w:p w14:paraId="35002A43" w14:textId="48D553A0" w:rsidR="005B44D3" w:rsidRPr="004F3BBA" w:rsidRDefault="005B44D3" w:rsidP="00495FDB">
            <w:pPr>
              <w:pStyle w:val="TableBlock"/>
              <w:rPr>
                <w:rFonts w:ascii="David" w:hAnsi="David"/>
                <w:sz w:val="24"/>
                <w:szCs w:val="24"/>
                <w:rtl/>
              </w:rPr>
            </w:pPr>
            <w:r w:rsidRPr="004F3BBA">
              <w:rPr>
                <w:rFonts w:ascii="David" w:hAnsi="David"/>
                <w:sz w:val="24"/>
                <w:szCs w:val="24"/>
                <w:rtl/>
              </w:rPr>
              <w:t>רכש צרכן רהיט שפרטיו לא מסומנים על גביו או על גבי אריזתו, ימסור לו העוסק את פרטי הסימון של הרהיט</w:t>
            </w:r>
            <w:r w:rsidR="00495FDB" w:rsidRPr="004F3BBA">
              <w:rPr>
                <w:rFonts w:ascii="David" w:hAnsi="David"/>
                <w:sz w:val="24"/>
                <w:szCs w:val="24"/>
                <w:rtl/>
              </w:rPr>
              <w:t xml:space="preserve"> או את הקישור לאתר האינטרנט של היצרן או היבואן כאמור בסעיף קטן (ט),</w:t>
            </w:r>
            <w:r w:rsidRPr="004F3BBA">
              <w:rPr>
                <w:rFonts w:ascii="David" w:hAnsi="David"/>
                <w:sz w:val="24"/>
                <w:szCs w:val="24"/>
                <w:rtl/>
              </w:rPr>
              <w:t xml:space="preserve"> במסמך, אלא אם </w:t>
            </w:r>
            <w:r w:rsidR="00495FDB" w:rsidRPr="004F3BBA">
              <w:rPr>
                <w:rFonts w:ascii="David" w:hAnsi="David"/>
                <w:sz w:val="24"/>
                <w:szCs w:val="24"/>
                <w:rtl/>
              </w:rPr>
              <w:t xml:space="preserve">סוכם בין הצדדים על מסירת פרטי הסימון </w:t>
            </w:r>
            <w:r w:rsidR="00F4282E" w:rsidRPr="004F3BBA">
              <w:rPr>
                <w:rFonts w:ascii="David" w:hAnsi="David"/>
                <w:sz w:val="24"/>
                <w:szCs w:val="24"/>
                <w:rtl/>
              </w:rPr>
              <w:t>בדרך אחרת</w:t>
            </w:r>
            <w:r w:rsidRPr="004F3BBA">
              <w:rPr>
                <w:rFonts w:ascii="David" w:hAnsi="David"/>
                <w:sz w:val="24"/>
                <w:szCs w:val="24"/>
                <w:rtl/>
              </w:rPr>
              <w:t>;</w:t>
            </w:r>
          </w:p>
        </w:tc>
      </w:tr>
      <w:tr w:rsidR="005B44D3" w:rsidRPr="004F3BBA" w14:paraId="381CE607" w14:textId="77777777">
        <w:trPr>
          <w:cantSplit/>
          <w:trHeight w:val="60"/>
        </w:trPr>
        <w:tc>
          <w:tcPr>
            <w:tcW w:w="1871" w:type="dxa"/>
          </w:tcPr>
          <w:p w14:paraId="374F436E" w14:textId="77777777" w:rsidR="005B44D3" w:rsidRPr="004F3BBA" w:rsidRDefault="005B44D3">
            <w:pPr>
              <w:pStyle w:val="TableSideHeading"/>
              <w:rPr>
                <w:rFonts w:ascii="David" w:hAnsi="David"/>
                <w:sz w:val="24"/>
                <w:szCs w:val="24"/>
              </w:rPr>
            </w:pPr>
          </w:p>
        </w:tc>
        <w:tc>
          <w:tcPr>
            <w:tcW w:w="624" w:type="dxa"/>
          </w:tcPr>
          <w:p w14:paraId="76DA94BF" w14:textId="77777777" w:rsidR="005B44D3" w:rsidRPr="004F3BBA" w:rsidRDefault="005B44D3" w:rsidP="005B44D3">
            <w:pPr>
              <w:pStyle w:val="TableText"/>
              <w:rPr>
                <w:rFonts w:ascii="David" w:hAnsi="David"/>
                <w:sz w:val="24"/>
                <w:szCs w:val="24"/>
              </w:rPr>
            </w:pPr>
          </w:p>
        </w:tc>
        <w:tc>
          <w:tcPr>
            <w:tcW w:w="624" w:type="dxa"/>
          </w:tcPr>
          <w:p w14:paraId="3A894FA9" w14:textId="77777777" w:rsidR="005B44D3" w:rsidRPr="004F3BBA" w:rsidRDefault="005B44D3">
            <w:pPr>
              <w:pStyle w:val="TableText"/>
              <w:rPr>
                <w:rFonts w:ascii="David" w:hAnsi="David"/>
                <w:sz w:val="24"/>
                <w:szCs w:val="24"/>
              </w:rPr>
            </w:pPr>
          </w:p>
        </w:tc>
        <w:tc>
          <w:tcPr>
            <w:tcW w:w="624" w:type="dxa"/>
          </w:tcPr>
          <w:p w14:paraId="40C1CC01" w14:textId="77777777" w:rsidR="005B44D3" w:rsidRPr="004F3BBA" w:rsidRDefault="005B44D3">
            <w:pPr>
              <w:pStyle w:val="TableText"/>
              <w:rPr>
                <w:rFonts w:ascii="David" w:hAnsi="David"/>
                <w:sz w:val="24"/>
                <w:szCs w:val="24"/>
                <w:rtl/>
              </w:rPr>
            </w:pPr>
          </w:p>
        </w:tc>
        <w:tc>
          <w:tcPr>
            <w:tcW w:w="624" w:type="dxa"/>
          </w:tcPr>
          <w:p w14:paraId="65BC1262" w14:textId="60C8D82E" w:rsidR="005B44D3" w:rsidRPr="004F3BBA" w:rsidRDefault="005B44D3">
            <w:pPr>
              <w:pStyle w:val="TableText"/>
              <w:rPr>
                <w:rFonts w:ascii="David" w:hAnsi="David"/>
                <w:sz w:val="24"/>
                <w:szCs w:val="24"/>
                <w:rtl/>
              </w:rPr>
            </w:pPr>
            <w:r w:rsidRPr="004F3BBA">
              <w:rPr>
                <w:rFonts w:ascii="David" w:hAnsi="David"/>
                <w:sz w:val="24"/>
                <w:szCs w:val="24"/>
                <w:rtl/>
              </w:rPr>
              <w:t>(3)</w:t>
            </w:r>
          </w:p>
        </w:tc>
        <w:tc>
          <w:tcPr>
            <w:tcW w:w="5274" w:type="dxa"/>
          </w:tcPr>
          <w:p w14:paraId="7B1A3980" w14:textId="04B88079" w:rsidR="005B44D3" w:rsidRPr="004F3BBA" w:rsidRDefault="005B44D3">
            <w:pPr>
              <w:pStyle w:val="TableBlock"/>
              <w:rPr>
                <w:rFonts w:ascii="David" w:hAnsi="David"/>
                <w:sz w:val="24"/>
                <w:szCs w:val="24"/>
                <w:rtl/>
              </w:rPr>
            </w:pPr>
            <w:r w:rsidRPr="004F3BBA">
              <w:rPr>
                <w:rFonts w:ascii="David" w:hAnsi="David"/>
                <w:sz w:val="24"/>
                <w:szCs w:val="24"/>
                <w:rtl/>
              </w:rPr>
              <w:t xml:space="preserve">פרטי הסימון </w:t>
            </w:r>
            <w:r w:rsidR="00495FDB" w:rsidRPr="004F3BBA">
              <w:rPr>
                <w:rFonts w:ascii="David" w:hAnsi="David"/>
                <w:sz w:val="24"/>
                <w:szCs w:val="24"/>
                <w:rtl/>
              </w:rPr>
              <w:t xml:space="preserve">כאמור בפסקה (2) </w:t>
            </w:r>
            <w:r w:rsidRPr="004F3BBA">
              <w:rPr>
                <w:rFonts w:ascii="David" w:hAnsi="David"/>
                <w:sz w:val="24"/>
                <w:szCs w:val="24"/>
                <w:rtl/>
              </w:rPr>
              <w:t>יימסרו לצרכן במעמד ביצוע העסקה.</w:t>
            </w:r>
          </w:p>
        </w:tc>
      </w:tr>
    </w:tbl>
    <w:p w14:paraId="367CE123" w14:textId="77777777" w:rsidR="00372D1E" w:rsidRPr="004F3BBA" w:rsidRDefault="00372D1E" w:rsidP="00307E94"/>
    <w:p w14:paraId="6FD5BE06" w14:textId="77777777" w:rsidR="00372D1E" w:rsidRPr="004F3BBA" w:rsidRDefault="00372D1E" w:rsidP="00307E94">
      <w:pPr>
        <w:rPr>
          <w:rtl/>
        </w:rPr>
      </w:pPr>
    </w:p>
    <w:p w14:paraId="75E7E2DD" w14:textId="77777777" w:rsidR="00372D1E" w:rsidRPr="004F3BBA" w:rsidRDefault="00372D1E" w:rsidP="00307E94">
      <w:pPr>
        <w:rPr>
          <w:rFonts w:eastAsia="Calibri"/>
          <w:rtl/>
        </w:rPr>
      </w:pPr>
      <w:r w:rsidRPr="004F3BBA">
        <w:rPr>
          <w:rFonts w:eastAsia="Calibri"/>
          <w:rtl/>
        </w:rPr>
        <w:t>___ ב________ התש_______ (___ ב________ ____20)</w:t>
      </w:r>
    </w:p>
    <w:p w14:paraId="5BF72DB2" w14:textId="77777777" w:rsidR="00372D1E" w:rsidRPr="004F3BBA" w:rsidRDefault="00372D1E" w:rsidP="00307E94">
      <w:pPr>
        <w:rPr>
          <w:rFonts w:eastAsia="Calibri"/>
          <w:rtl/>
        </w:rPr>
      </w:pPr>
      <w:r w:rsidRPr="004F3BBA">
        <w:rPr>
          <w:rFonts w:eastAsia="Calibri"/>
          <w:rtl/>
        </w:rPr>
        <w:t>[תאריך עברי] ([תאריך לועזי])</w:t>
      </w:r>
    </w:p>
    <w:p w14:paraId="34A0F7C8" w14:textId="77777777" w:rsidR="00372D1E" w:rsidRPr="004F3BBA" w:rsidRDefault="00372D1E" w:rsidP="00307E94">
      <w:pPr>
        <w:rPr>
          <w:rFonts w:eastAsia="Calibri"/>
          <w:rtl/>
        </w:rPr>
      </w:pPr>
      <w:r w:rsidRPr="004F3BBA">
        <w:rPr>
          <w:rFonts w:eastAsia="Calibri"/>
          <w:rtl/>
        </w:rPr>
        <w:lastRenderedPageBreak/>
        <w:t>(</w:t>
      </w:r>
      <w:proofErr w:type="spellStart"/>
      <w:r w:rsidRPr="004F3BBA">
        <w:rPr>
          <w:rFonts w:eastAsia="Calibri"/>
          <w:rtl/>
        </w:rPr>
        <w:t>חמ</w:t>
      </w:r>
      <w:proofErr w:type="spellEnd"/>
      <w:r w:rsidRPr="004F3BBA">
        <w:rPr>
          <w:rFonts w:eastAsia="Calibri"/>
          <w:rtl/>
        </w:rPr>
        <w:t xml:space="preserve"> _____-3)</w:t>
      </w:r>
    </w:p>
    <w:p w14:paraId="1E4E7FA3" w14:textId="77777777" w:rsidR="00372D1E" w:rsidRPr="004F3BBA" w:rsidRDefault="00372D1E" w:rsidP="00307E94">
      <w:pPr>
        <w:rPr>
          <w:rFonts w:eastAsia="Calibri"/>
          <w:rtl/>
        </w:rPr>
      </w:pPr>
    </w:p>
    <w:p w14:paraId="5AEB45EA" w14:textId="77777777" w:rsidR="000D55FC" w:rsidRPr="004F3BBA" w:rsidRDefault="000D55FC" w:rsidP="000D55FC">
      <w:pPr>
        <w:ind w:left="5760"/>
        <w:jc w:val="center"/>
        <w:rPr>
          <w:rFonts w:eastAsia="Calibri"/>
          <w:rtl/>
        </w:rPr>
      </w:pPr>
      <w:r w:rsidRPr="004F3BBA">
        <w:rPr>
          <w:rFonts w:eastAsia="Calibri"/>
          <w:rtl/>
        </w:rPr>
        <w:t>__________</w:t>
      </w:r>
    </w:p>
    <w:p w14:paraId="6BF61B7B" w14:textId="4C8CBA77" w:rsidR="000D55FC" w:rsidRPr="004F3BBA" w:rsidRDefault="000D55FC" w:rsidP="000D55FC">
      <w:pPr>
        <w:ind w:left="5760"/>
        <w:jc w:val="center"/>
        <w:rPr>
          <w:rtl/>
        </w:rPr>
      </w:pPr>
      <w:r w:rsidRPr="004F3BBA">
        <w:rPr>
          <w:rtl/>
        </w:rPr>
        <w:t>שר הכלכלה והתעשייה</w:t>
      </w:r>
    </w:p>
    <w:p w14:paraId="6145F309" w14:textId="77777777" w:rsidR="000D55FC" w:rsidRPr="004F3BBA" w:rsidRDefault="000D55FC" w:rsidP="00BE64B3">
      <w:pPr>
        <w:rPr>
          <w:rtl/>
        </w:rPr>
      </w:pPr>
    </w:p>
    <w:p w14:paraId="61205C2A" w14:textId="77777777" w:rsidR="000D55FC" w:rsidRPr="004F3BBA" w:rsidRDefault="000D55FC" w:rsidP="000D55FC">
      <w:pPr>
        <w:ind w:left="5760"/>
        <w:rPr>
          <w:rtl/>
        </w:rPr>
      </w:pPr>
    </w:p>
    <w:p w14:paraId="06884932" w14:textId="53899B87" w:rsidR="00372D1E" w:rsidRPr="004F3BBA" w:rsidRDefault="00372D1E" w:rsidP="00BE64B3">
      <w:pPr>
        <w:jc w:val="center"/>
        <w:rPr>
          <w:rtl/>
        </w:rPr>
      </w:pPr>
      <w:r w:rsidRPr="004F3BBA">
        <w:rPr>
          <w:rtl/>
        </w:rPr>
        <w:t>דברי הסבר</w:t>
      </w:r>
    </w:p>
    <w:p w14:paraId="1B7B9359" w14:textId="77777777" w:rsidR="006E2F21" w:rsidRPr="004F3BBA" w:rsidRDefault="006E2F21" w:rsidP="000D55FC">
      <w:pPr>
        <w:rPr>
          <w:rtl/>
        </w:rPr>
      </w:pPr>
    </w:p>
    <w:p w14:paraId="467742CD" w14:textId="77777777" w:rsidR="006E2F21" w:rsidRPr="004F3BBA" w:rsidRDefault="006E2F21" w:rsidP="006E2F21">
      <w:pPr>
        <w:rPr>
          <w:rtl/>
        </w:rPr>
      </w:pPr>
      <w:r w:rsidRPr="004F3BBA">
        <w:rPr>
          <w:rtl/>
        </w:rPr>
        <w:t>בהתאם להחלטת הממשלה מס' 2118 מיום 22.10.14 בעניין הפחתת הנטל הרגולטורי הקיים גיבשה הרשות להגנת הצרכן ולסחר הוגן (להלן: הרשות) תכנית חומש להפחתת הנטל הרגולטורי.</w:t>
      </w:r>
    </w:p>
    <w:p w14:paraId="2DF2A458" w14:textId="184097AB" w:rsidR="006E2F21" w:rsidRPr="004F3BBA" w:rsidRDefault="006E2F21" w:rsidP="006E2F21">
      <w:pPr>
        <w:rPr>
          <w:rtl/>
        </w:rPr>
      </w:pPr>
      <w:r w:rsidRPr="004F3BBA">
        <w:rPr>
          <w:rtl/>
        </w:rPr>
        <w:t>במסגרת תכנית החומש, התחייבה הרשות לבחון במהלך שנת  2019 את הדרישה החוקית לסימון רכיבי היסוד על גבי רהיטים או על אריזתם.</w:t>
      </w:r>
    </w:p>
    <w:p w14:paraId="684A9F57" w14:textId="4B3E09C1" w:rsidR="006E2F21" w:rsidRPr="004F3BBA" w:rsidRDefault="006E2F21" w:rsidP="006E2F21">
      <w:pPr>
        <w:rPr>
          <w:rtl/>
        </w:rPr>
      </w:pPr>
    </w:p>
    <w:p w14:paraId="49DB22FD" w14:textId="7CF204C5" w:rsidR="006E2F21" w:rsidRPr="004F3BBA" w:rsidRDefault="006E2F21" w:rsidP="006E2F21">
      <w:pPr>
        <w:rPr>
          <w:rtl/>
        </w:rPr>
      </w:pPr>
      <w:r w:rsidRPr="004F3BBA">
        <w:rPr>
          <w:rtl/>
        </w:rPr>
        <w:t>ביום 16.06.19 פרסמה הרשות "קול קורא" לקבלת התייחסות הציבור לבחינת הנטל</w:t>
      </w:r>
      <w:r w:rsidR="00D12B3F" w:rsidRPr="004F3BBA">
        <w:rPr>
          <w:rtl/>
        </w:rPr>
        <w:t xml:space="preserve"> הרגולטורי  הכרוך בסימון </w:t>
      </w:r>
      <w:r w:rsidRPr="004F3BBA">
        <w:rPr>
          <w:rtl/>
        </w:rPr>
        <w:t>רכיבי היסוד על גבי הרהיט או על אריזתו.</w:t>
      </w:r>
    </w:p>
    <w:p w14:paraId="11CFC9E4" w14:textId="2704F3D3" w:rsidR="006E2F21" w:rsidRPr="004F3BBA" w:rsidRDefault="006E2F21" w:rsidP="006E2F21">
      <w:pPr>
        <w:rPr>
          <w:rtl/>
        </w:rPr>
      </w:pPr>
    </w:p>
    <w:p w14:paraId="6B80D7EA" w14:textId="6011150B" w:rsidR="006E2F21" w:rsidRPr="004F3BBA" w:rsidRDefault="006E2F21" w:rsidP="006E2F21">
      <w:pPr>
        <w:rPr>
          <w:rtl/>
        </w:rPr>
      </w:pPr>
      <w:r w:rsidRPr="004F3BBA">
        <w:rPr>
          <w:rtl/>
        </w:rPr>
        <w:t>הרשות בחנה את ההתייחסויות שקיבלה ומצאה כי קיימת הצדקה לתקן את צו הגנת הצרכן (סימון טובין), התשמ"ג-1983 (להלן: הצו), באופן שיפחית את הנטל הרגולטורי הכרוך בחובת הסימון של רכיבי היסוד על רהיטים או אריזתם.</w:t>
      </w:r>
    </w:p>
    <w:p w14:paraId="0A611DD7" w14:textId="207690DB" w:rsidR="00A7709C" w:rsidRPr="004F3BBA" w:rsidRDefault="00A7709C" w:rsidP="00A7709C">
      <w:pPr>
        <w:rPr>
          <w:rtl/>
        </w:rPr>
      </w:pPr>
      <w:r w:rsidRPr="004F3BBA">
        <w:rPr>
          <w:rtl/>
        </w:rPr>
        <w:t>התיקון המוצע עוסק בשני עיקרים מרכזיים:</w:t>
      </w:r>
    </w:p>
    <w:p w14:paraId="1AAD0405" w14:textId="33FA04D0" w:rsidR="00A7709C" w:rsidRDefault="00BE64B3" w:rsidP="00EB2008">
      <w:pPr>
        <w:pStyle w:val="af"/>
        <w:numPr>
          <w:ilvl w:val="0"/>
          <w:numId w:val="27"/>
        </w:numPr>
        <w:spacing w:line="360" w:lineRule="auto"/>
        <w:ind w:left="697" w:hanging="357"/>
      </w:pPr>
      <w:r>
        <w:rPr>
          <w:rFonts w:hint="cs"/>
          <w:rtl/>
        </w:rPr>
        <w:t xml:space="preserve">מתן אפשרות ליצרן או היבואן שלא לסמן את </w:t>
      </w:r>
      <w:r w:rsidR="00A7709C" w:rsidRPr="004F3BBA">
        <w:rPr>
          <w:rtl/>
        </w:rPr>
        <w:t>רכיבי ה</w:t>
      </w:r>
      <w:r>
        <w:rPr>
          <w:rtl/>
        </w:rPr>
        <w:t>יסוד על גבי רהיטים או על אריזתם</w:t>
      </w:r>
      <w:r>
        <w:rPr>
          <w:rFonts w:hint="cs"/>
          <w:rtl/>
        </w:rPr>
        <w:t xml:space="preserve"> ובלבד שפרטי הרהיט יופיעו באופן מקוון לתקופה של 7 שנים ממכירת הריהוט לקמעונאי.</w:t>
      </w:r>
    </w:p>
    <w:p w14:paraId="2AF7FC09" w14:textId="7C1BE124" w:rsidR="00EB2008" w:rsidRPr="004F3BBA" w:rsidRDefault="00EB2008" w:rsidP="00EB2008">
      <w:pPr>
        <w:pStyle w:val="af"/>
        <w:numPr>
          <w:ilvl w:val="0"/>
          <w:numId w:val="27"/>
        </w:numPr>
        <w:spacing w:line="360" w:lineRule="auto"/>
        <w:ind w:left="697" w:hanging="357"/>
      </w:pPr>
      <w:r>
        <w:rPr>
          <w:rtl/>
        </w:rPr>
        <w:t>מתן מסמך</w:t>
      </w:r>
      <w:r>
        <w:rPr>
          <w:rFonts w:hint="cs"/>
          <w:rtl/>
        </w:rPr>
        <w:t xml:space="preserve"> על ידי הקמעונאי</w:t>
      </w:r>
      <w:r>
        <w:rPr>
          <w:rtl/>
        </w:rPr>
        <w:t xml:space="preserve"> </w:t>
      </w:r>
      <w:r>
        <w:rPr>
          <w:rFonts w:hint="cs"/>
          <w:rtl/>
        </w:rPr>
        <w:t xml:space="preserve">המפרט את רכיבי היסוד או את הקישור לאתר היצרן או היבואן </w:t>
      </w:r>
      <w:r w:rsidRPr="004F3BBA">
        <w:rPr>
          <w:rtl/>
        </w:rPr>
        <w:t>במ</w:t>
      </w:r>
      <w:r>
        <w:rPr>
          <w:rtl/>
        </w:rPr>
        <w:t>ועד עשיית העסקה</w:t>
      </w:r>
      <w:r>
        <w:rPr>
          <w:rFonts w:hint="cs"/>
          <w:rtl/>
        </w:rPr>
        <w:t>.</w:t>
      </w:r>
    </w:p>
    <w:p w14:paraId="6BB78F3C" w14:textId="610B2C89" w:rsidR="00A7709C" w:rsidRPr="004F3BBA" w:rsidRDefault="00A7709C" w:rsidP="00A7709C">
      <w:pPr>
        <w:rPr>
          <w:rtl/>
        </w:rPr>
      </w:pPr>
    </w:p>
    <w:p w14:paraId="3211A385" w14:textId="0E514B8D" w:rsidR="006E2F21" w:rsidRPr="004F3BBA" w:rsidRDefault="00A7709C" w:rsidP="00A25E20">
      <w:pPr>
        <w:rPr>
          <w:rtl/>
        </w:rPr>
      </w:pPr>
      <w:r w:rsidRPr="004F3BBA">
        <w:rPr>
          <w:rtl/>
        </w:rPr>
        <w:t xml:space="preserve">יובהר כי החובה לסמן את רכיבי היסוד על גבי שלט שמונח על רהיט המשמש לתצוגה או בסמוך אליו נותרה על כנה. </w:t>
      </w:r>
      <w:r w:rsidR="00A25E20" w:rsidRPr="004F3BBA">
        <w:rPr>
          <w:rtl/>
        </w:rPr>
        <w:t xml:space="preserve"> הוראה דומה נקבעה גם לגבי רהיט המוצג בקטלוג באופן המחייב לסמן את רכיבי היסוד שלו על גבי הקטלוג בו הוא מוצג.</w:t>
      </w:r>
    </w:p>
    <w:p w14:paraId="5FCC19C4" w14:textId="77777777" w:rsidR="00A25E20" w:rsidRPr="004F3BBA" w:rsidRDefault="00A25E20" w:rsidP="00A25E20"/>
    <w:p w14:paraId="525D333E" w14:textId="4645B2EF" w:rsidR="00A7709C" w:rsidRPr="004F3BBA" w:rsidRDefault="00A7709C" w:rsidP="00A7709C">
      <w:pPr>
        <w:rPr>
          <w:rtl/>
        </w:rPr>
      </w:pPr>
      <w:r w:rsidRPr="004F3BBA">
        <w:rPr>
          <w:b/>
          <w:bCs/>
          <w:rtl/>
        </w:rPr>
        <w:t xml:space="preserve">פרט 3 לתוספת השנייה </w:t>
      </w:r>
      <w:r w:rsidRPr="004F3BBA">
        <w:rPr>
          <w:rtl/>
        </w:rPr>
        <w:t>–</w:t>
      </w:r>
    </w:p>
    <w:p w14:paraId="253583CB" w14:textId="77777777" w:rsidR="00A7709C" w:rsidRPr="004F3BBA" w:rsidRDefault="00A7709C" w:rsidP="00A7709C">
      <w:pPr>
        <w:rPr>
          <w:rtl/>
        </w:rPr>
      </w:pPr>
    </w:p>
    <w:p w14:paraId="3EE7B35F" w14:textId="4EF9F6D7" w:rsidR="00BE64B3" w:rsidRDefault="006E2F21" w:rsidP="001118DB">
      <w:pPr>
        <w:pStyle w:val="af"/>
        <w:numPr>
          <w:ilvl w:val="0"/>
          <w:numId w:val="23"/>
        </w:numPr>
        <w:rPr>
          <w:rFonts w:ascii="David" w:hAnsi="David"/>
          <w:sz w:val="24"/>
        </w:rPr>
      </w:pPr>
      <w:r w:rsidRPr="004F3BBA">
        <w:rPr>
          <w:rFonts w:ascii="David" w:hAnsi="David"/>
          <w:sz w:val="24"/>
          <w:rtl/>
        </w:rPr>
        <w:t xml:space="preserve"> מוצע ל</w:t>
      </w:r>
      <w:r w:rsidR="00A7709C" w:rsidRPr="004F3BBA">
        <w:rPr>
          <w:rFonts w:ascii="David" w:hAnsi="David"/>
          <w:sz w:val="24"/>
          <w:rtl/>
        </w:rPr>
        <w:t xml:space="preserve">החליף את סעיף קטן (ט) </w:t>
      </w:r>
      <w:r w:rsidR="001118DB" w:rsidRPr="004F3BBA">
        <w:rPr>
          <w:rFonts w:ascii="David" w:hAnsi="David"/>
          <w:sz w:val="24"/>
          <w:rtl/>
        </w:rPr>
        <w:t xml:space="preserve">בנוסחו הנוכחי ובמקומו לקבוע </w:t>
      </w:r>
      <w:r w:rsidR="0082662A" w:rsidRPr="004F3BBA">
        <w:rPr>
          <w:rFonts w:ascii="David" w:hAnsi="David"/>
          <w:sz w:val="24"/>
          <w:rtl/>
        </w:rPr>
        <w:t xml:space="preserve">כי </w:t>
      </w:r>
      <w:r w:rsidR="00BE64B3">
        <w:rPr>
          <w:rFonts w:ascii="David" w:hAnsi="David" w:hint="cs"/>
          <w:sz w:val="24"/>
          <w:rtl/>
        </w:rPr>
        <w:t>יצרן או יבואן יוכלו לבחור האם לסמן את פרטי הרהיט בהתאם לסעיף 2 לצו העיקרי או לחלופין לבצע את הסימון באופן מקוון.</w:t>
      </w:r>
    </w:p>
    <w:p w14:paraId="667F85AC" w14:textId="45380315" w:rsidR="00BE64B3" w:rsidRDefault="00BE64B3" w:rsidP="00BE64B3">
      <w:pPr>
        <w:pStyle w:val="af"/>
        <w:ind w:left="700"/>
        <w:rPr>
          <w:rFonts w:ascii="David" w:hAnsi="David"/>
          <w:sz w:val="24"/>
          <w:rtl/>
        </w:rPr>
      </w:pPr>
    </w:p>
    <w:p w14:paraId="10DB102D" w14:textId="7A607C61" w:rsidR="00BE64B3" w:rsidRDefault="00BE64B3" w:rsidP="00BE64B3">
      <w:pPr>
        <w:pStyle w:val="af"/>
        <w:ind w:left="700"/>
        <w:rPr>
          <w:rFonts w:ascii="David" w:hAnsi="David"/>
          <w:sz w:val="24"/>
          <w:rtl/>
        </w:rPr>
      </w:pPr>
      <w:r>
        <w:rPr>
          <w:rFonts w:ascii="David" w:hAnsi="David" w:hint="cs"/>
          <w:sz w:val="24"/>
          <w:rtl/>
        </w:rPr>
        <w:t>סימון פרטי הרהיט באופן מקוון צריך שייעשה בעברית ובאופן שהצרכן יכול לעיין בפרטים שרלוונטיים לרהיט שרכש בקלות.</w:t>
      </w:r>
    </w:p>
    <w:p w14:paraId="7F8A899D" w14:textId="77777777" w:rsidR="00EB2008" w:rsidRDefault="00EB2008" w:rsidP="00EB2008">
      <w:pPr>
        <w:pStyle w:val="af"/>
        <w:ind w:left="700"/>
        <w:rPr>
          <w:rFonts w:ascii="David" w:hAnsi="David"/>
          <w:sz w:val="24"/>
          <w:rtl/>
        </w:rPr>
      </w:pPr>
    </w:p>
    <w:p w14:paraId="62908242" w14:textId="78E18A7B" w:rsidR="00BE64B3" w:rsidRDefault="00BE64B3" w:rsidP="00EB2008">
      <w:pPr>
        <w:pStyle w:val="af"/>
        <w:ind w:left="700"/>
        <w:rPr>
          <w:rFonts w:ascii="David" w:hAnsi="David"/>
          <w:sz w:val="24"/>
        </w:rPr>
      </w:pPr>
      <w:r>
        <w:rPr>
          <w:rFonts w:ascii="David" w:hAnsi="David" w:hint="cs"/>
          <w:sz w:val="24"/>
          <w:rtl/>
        </w:rPr>
        <w:t>על מנת לאפשר לצרכן לגשת בקלות למידע מוצע כי היצרן או היבואן יסמנו את פרטי</w:t>
      </w:r>
      <w:r w:rsidR="00EB2008">
        <w:rPr>
          <w:rFonts w:ascii="David" w:hAnsi="David" w:hint="cs"/>
          <w:sz w:val="24"/>
          <w:rtl/>
        </w:rPr>
        <w:t xml:space="preserve"> הרהיט באופן שניתן יהיה לחפש אותם </w:t>
      </w:r>
      <w:r>
        <w:rPr>
          <w:rFonts w:ascii="David" w:hAnsi="David" w:hint="cs"/>
          <w:sz w:val="24"/>
          <w:rtl/>
        </w:rPr>
        <w:t>לפי שם המוצר, מאפייניו ושם הדגם ככל שישנו.</w:t>
      </w:r>
    </w:p>
    <w:p w14:paraId="5336EA86" w14:textId="77777777" w:rsidR="00BE64B3" w:rsidRPr="004F3BBA" w:rsidRDefault="00BE64B3" w:rsidP="0082662A">
      <w:pPr>
        <w:pStyle w:val="af"/>
        <w:ind w:left="700"/>
        <w:rPr>
          <w:rFonts w:ascii="David" w:hAnsi="David"/>
          <w:sz w:val="24"/>
          <w:rtl/>
        </w:rPr>
      </w:pPr>
    </w:p>
    <w:p w14:paraId="2852313D" w14:textId="77777777" w:rsidR="003B22A1" w:rsidRPr="004F3BBA" w:rsidRDefault="003B22A1" w:rsidP="0082662A">
      <w:pPr>
        <w:pStyle w:val="af"/>
        <w:ind w:left="700"/>
        <w:rPr>
          <w:rFonts w:ascii="David" w:hAnsi="David"/>
          <w:sz w:val="24"/>
          <w:rtl/>
        </w:rPr>
      </w:pPr>
    </w:p>
    <w:p w14:paraId="2C37BCFB" w14:textId="4A55955E" w:rsidR="0082662A" w:rsidRPr="004F3BBA" w:rsidRDefault="00B855FE" w:rsidP="0052026C">
      <w:pPr>
        <w:pStyle w:val="af"/>
        <w:ind w:left="700"/>
        <w:rPr>
          <w:rFonts w:ascii="David" w:hAnsi="David"/>
          <w:sz w:val="24"/>
          <w:rtl/>
        </w:rPr>
      </w:pPr>
      <w:r>
        <w:rPr>
          <w:rFonts w:ascii="David" w:hAnsi="David" w:hint="cs"/>
          <w:sz w:val="24"/>
          <w:rtl/>
        </w:rPr>
        <w:t>הוראת הסימון</w:t>
      </w:r>
      <w:r w:rsidR="003B22A1" w:rsidRPr="004F3BBA">
        <w:rPr>
          <w:rFonts w:ascii="David" w:hAnsi="David"/>
          <w:sz w:val="24"/>
          <w:rtl/>
        </w:rPr>
        <w:t xml:space="preserve"> הנוכחית מחייבת סימון </w:t>
      </w:r>
      <w:r w:rsidR="0052026C" w:rsidRPr="004F3BBA">
        <w:rPr>
          <w:rFonts w:ascii="David" w:hAnsi="David"/>
          <w:sz w:val="24"/>
          <w:rtl/>
        </w:rPr>
        <w:t xml:space="preserve">באופן קבוע </w:t>
      </w:r>
      <w:r w:rsidR="003B22A1" w:rsidRPr="004F3BBA">
        <w:rPr>
          <w:rFonts w:ascii="David" w:hAnsi="David"/>
          <w:sz w:val="24"/>
          <w:rtl/>
        </w:rPr>
        <w:t xml:space="preserve">על גבי הרהיט באמצעות </w:t>
      </w:r>
      <w:r w:rsidR="0082662A" w:rsidRPr="004F3BBA">
        <w:rPr>
          <w:rFonts w:ascii="David" w:hAnsi="David"/>
          <w:sz w:val="24"/>
          <w:rtl/>
        </w:rPr>
        <w:t>הטבעה, חריטה או</w:t>
      </w:r>
      <w:r w:rsidR="003B22A1" w:rsidRPr="004F3BBA">
        <w:rPr>
          <w:rFonts w:ascii="David" w:hAnsi="David"/>
          <w:sz w:val="24"/>
          <w:rtl/>
        </w:rPr>
        <w:t xml:space="preserve"> </w:t>
      </w:r>
      <w:r w:rsidR="0082662A" w:rsidRPr="004F3BBA">
        <w:rPr>
          <w:rFonts w:ascii="David" w:hAnsi="David"/>
          <w:sz w:val="24"/>
          <w:rtl/>
        </w:rPr>
        <w:t>בכל דרך אחרת</w:t>
      </w:r>
      <w:r w:rsidR="003B22A1" w:rsidRPr="004F3BBA">
        <w:rPr>
          <w:rFonts w:ascii="David" w:hAnsi="David"/>
          <w:sz w:val="24"/>
          <w:rtl/>
        </w:rPr>
        <w:t xml:space="preserve"> ולחלופין, מקום בו לא </w:t>
      </w:r>
      <w:r w:rsidR="0082662A" w:rsidRPr="004F3BBA">
        <w:rPr>
          <w:rFonts w:ascii="David" w:hAnsi="David"/>
          <w:sz w:val="24"/>
          <w:rtl/>
        </w:rPr>
        <w:t xml:space="preserve"> קיימת אפשרות לסמן את הטובין </w:t>
      </w:r>
      <w:r w:rsidR="003B22A1" w:rsidRPr="004F3BBA">
        <w:rPr>
          <w:rFonts w:ascii="David" w:hAnsi="David"/>
          <w:sz w:val="24"/>
          <w:rtl/>
        </w:rPr>
        <w:t>באופן קבוע</w:t>
      </w:r>
      <w:r>
        <w:rPr>
          <w:rFonts w:ascii="David" w:hAnsi="David" w:hint="cs"/>
          <w:sz w:val="24"/>
          <w:rtl/>
        </w:rPr>
        <w:t>,</w:t>
      </w:r>
      <w:r w:rsidR="003B22A1" w:rsidRPr="004F3BBA">
        <w:rPr>
          <w:rFonts w:ascii="David" w:hAnsi="David"/>
          <w:sz w:val="24"/>
          <w:rtl/>
        </w:rPr>
        <w:t xml:space="preserve"> </w:t>
      </w:r>
      <w:r w:rsidR="0052026C" w:rsidRPr="004F3BBA">
        <w:rPr>
          <w:rFonts w:ascii="David" w:hAnsi="David"/>
          <w:sz w:val="24"/>
          <w:rtl/>
        </w:rPr>
        <w:t xml:space="preserve">מחייבת ההוראה כי הסימון ייעשה </w:t>
      </w:r>
      <w:r w:rsidR="0082662A" w:rsidRPr="004F3BBA">
        <w:rPr>
          <w:rFonts w:ascii="David" w:hAnsi="David"/>
          <w:sz w:val="24"/>
          <w:rtl/>
        </w:rPr>
        <w:t xml:space="preserve"> על גבי תוויות ב</w:t>
      </w:r>
      <w:r w:rsidR="003B22A1" w:rsidRPr="004F3BBA">
        <w:rPr>
          <w:rFonts w:ascii="David" w:hAnsi="David"/>
          <w:sz w:val="24"/>
          <w:rtl/>
        </w:rPr>
        <w:t>אופן שלא ניתן יהיה להסירה בקלות מהטובין.</w:t>
      </w:r>
    </w:p>
    <w:p w14:paraId="79AF7AEE" w14:textId="77777777" w:rsidR="003B22A1" w:rsidRPr="004F3BBA" w:rsidRDefault="003B22A1" w:rsidP="003B22A1">
      <w:pPr>
        <w:pStyle w:val="af"/>
        <w:ind w:left="700"/>
        <w:rPr>
          <w:rFonts w:ascii="David" w:hAnsi="David"/>
          <w:sz w:val="24"/>
          <w:rtl/>
        </w:rPr>
      </w:pPr>
    </w:p>
    <w:p w14:paraId="42DD49C4" w14:textId="4DF25A9B" w:rsidR="00AD0FFF" w:rsidRPr="004F3BBA" w:rsidRDefault="0052026C" w:rsidP="002E09F6">
      <w:pPr>
        <w:pStyle w:val="af"/>
        <w:ind w:left="700"/>
        <w:rPr>
          <w:rFonts w:ascii="David" w:hAnsi="David"/>
          <w:sz w:val="24"/>
          <w:rtl/>
        </w:rPr>
      </w:pPr>
      <w:r w:rsidRPr="004F3BBA">
        <w:rPr>
          <w:rFonts w:ascii="David" w:hAnsi="David"/>
          <w:sz w:val="24"/>
          <w:rtl/>
        </w:rPr>
        <w:t xml:space="preserve">במסגרת בחינת ההוראות הקיימות עלה כי </w:t>
      </w:r>
      <w:r w:rsidR="00AD0FFF" w:rsidRPr="004F3BBA">
        <w:rPr>
          <w:rFonts w:ascii="David" w:hAnsi="David"/>
          <w:sz w:val="24"/>
          <w:rtl/>
        </w:rPr>
        <w:t>רוב הרהיטים מגיעים ללא אריזה ולכן הסימון נעשה על גבי הרהיט עצמו, על פי רוב בתחתית הרהיט או במק</w:t>
      </w:r>
      <w:r w:rsidR="00B855FE">
        <w:rPr>
          <w:rFonts w:ascii="David" w:hAnsi="David"/>
          <w:sz w:val="24"/>
          <w:rtl/>
        </w:rPr>
        <w:t>ום נסתר אחר כדי לא לפגוע ב</w:t>
      </w:r>
      <w:r w:rsidR="00B855FE">
        <w:rPr>
          <w:rFonts w:ascii="David" w:hAnsi="David" w:hint="cs"/>
          <w:sz w:val="24"/>
          <w:rtl/>
        </w:rPr>
        <w:t>צורתו החיצונית</w:t>
      </w:r>
      <w:r w:rsidR="00AD0FFF" w:rsidRPr="004F3BBA">
        <w:rPr>
          <w:rFonts w:ascii="David" w:hAnsi="David"/>
          <w:sz w:val="24"/>
          <w:rtl/>
        </w:rPr>
        <w:t xml:space="preserve">. </w:t>
      </w:r>
    </w:p>
    <w:p w14:paraId="407425DC" w14:textId="77777777" w:rsidR="00AD0FFF" w:rsidRPr="004F3BBA" w:rsidRDefault="00AD0FFF" w:rsidP="0052026C">
      <w:pPr>
        <w:pStyle w:val="af"/>
        <w:ind w:left="700"/>
        <w:rPr>
          <w:rFonts w:ascii="David" w:hAnsi="David"/>
          <w:sz w:val="24"/>
          <w:rtl/>
        </w:rPr>
      </w:pPr>
    </w:p>
    <w:p w14:paraId="11150CDB" w14:textId="7FCF360C" w:rsidR="00AD0FFF" w:rsidRPr="004F3BBA" w:rsidRDefault="0052026C" w:rsidP="00AD0FFF">
      <w:pPr>
        <w:pStyle w:val="af"/>
        <w:ind w:left="700"/>
        <w:rPr>
          <w:rFonts w:ascii="David" w:hAnsi="David"/>
          <w:sz w:val="24"/>
          <w:rtl/>
        </w:rPr>
      </w:pPr>
      <w:r w:rsidRPr="004F3BBA">
        <w:rPr>
          <w:rFonts w:ascii="David" w:hAnsi="David"/>
          <w:sz w:val="24"/>
          <w:rtl/>
        </w:rPr>
        <w:t xml:space="preserve">סימון קבוע על גבי הרהיט מכביד באופן משמעותי </w:t>
      </w:r>
      <w:r w:rsidR="0082662A" w:rsidRPr="004F3BBA">
        <w:rPr>
          <w:rFonts w:ascii="David" w:hAnsi="David"/>
          <w:sz w:val="24"/>
          <w:rtl/>
        </w:rPr>
        <w:t xml:space="preserve">על היצרנים והיבואנים הן מבחינה </w:t>
      </w:r>
      <w:r w:rsidRPr="004F3BBA">
        <w:rPr>
          <w:rFonts w:ascii="David" w:hAnsi="David"/>
          <w:sz w:val="24"/>
          <w:rtl/>
        </w:rPr>
        <w:t>פרקטית והן מבחינת עלויות הסימון.</w:t>
      </w:r>
      <w:r w:rsidR="00AD0FFF" w:rsidRPr="004F3BBA">
        <w:rPr>
          <w:rFonts w:ascii="David" w:hAnsi="David"/>
          <w:sz w:val="24"/>
          <w:rtl/>
        </w:rPr>
        <w:t xml:space="preserve"> כיון שסימון כאמור נעשה במקום נסתר צרכן המעוניין לעיין ברכיבי היסוד (לאחר שלב הרכישה) נדרש לחפש את הסימון בתחתית הרהיט או בגבו (לעיתים מדובר בריהוט כבד ולא פעם אין אפשרות להזיזו ולעיין בסימון).</w:t>
      </w:r>
    </w:p>
    <w:p w14:paraId="47600A3F" w14:textId="6109CBA6" w:rsidR="001345D5" w:rsidRPr="004F3BBA" w:rsidRDefault="001345D5" w:rsidP="00AD0FFF">
      <w:pPr>
        <w:pStyle w:val="af"/>
        <w:ind w:left="700"/>
        <w:rPr>
          <w:rFonts w:ascii="David" w:hAnsi="David"/>
          <w:sz w:val="24"/>
          <w:rtl/>
        </w:rPr>
      </w:pPr>
    </w:p>
    <w:p w14:paraId="7EECCD0D" w14:textId="33026CCC" w:rsidR="0052026C" w:rsidRPr="004F3BBA" w:rsidRDefault="00AD0FFF" w:rsidP="00AD0FFF">
      <w:pPr>
        <w:pStyle w:val="af"/>
        <w:ind w:left="700"/>
        <w:rPr>
          <w:rFonts w:ascii="David" w:hAnsi="David"/>
          <w:sz w:val="24"/>
          <w:rtl/>
        </w:rPr>
      </w:pPr>
      <w:r w:rsidRPr="004F3BBA">
        <w:rPr>
          <w:rFonts w:ascii="David" w:hAnsi="David"/>
          <w:sz w:val="24"/>
          <w:rtl/>
        </w:rPr>
        <w:t>ב</w:t>
      </w:r>
      <w:r w:rsidR="0052026C" w:rsidRPr="004F3BBA">
        <w:rPr>
          <w:rFonts w:ascii="David" w:hAnsi="David"/>
          <w:sz w:val="24"/>
          <w:rtl/>
        </w:rPr>
        <w:t>מ</w:t>
      </w:r>
      <w:r w:rsidRPr="004F3BBA">
        <w:rPr>
          <w:rFonts w:ascii="David" w:hAnsi="David"/>
          <w:sz w:val="24"/>
          <w:rtl/>
        </w:rPr>
        <w:t>צב דברים זה -</w:t>
      </w:r>
      <w:r w:rsidR="0052026C" w:rsidRPr="004F3BBA">
        <w:rPr>
          <w:rFonts w:ascii="David" w:hAnsi="David"/>
          <w:sz w:val="24"/>
          <w:rtl/>
        </w:rPr>
        <w:t xml:space="preserve"> היצרן או היבואן משקיע משאבים על מנת לסמן את הפרטים בהתאם להוראות </w:t>
      </w:r>
      <w:r w:rsidR="00B855FE">
        <w:rPr>
          <w:rFonts w:ascii="David" w:hAnsi="David" w:hint="cs"/>
          <w:sz w:val="24"/>
          <w:rtl/>
        </w:rPr>
        <w:t xml:space="preserve">בעוד </w:t>
      </w:r>
      <w:r w:rsidRPr="004F3BBA">
        <w:rPr>
          <w:rFonts w:ascii="David" w:hAnsi="David"/>
          <w:sz w:val="24"/>
          <w:rtl/>
        </w:rPr>
        <w:t>הצרכן, שעבורו נעשה הסימון, אינו יכול לגשת למידע באופן המניח את הדעת.</w:t>
      </w:r>
    </w:p>
    <w:p w14:paraId="3C318A68" w14:textId="77777777" w:rsidR="002E09F6" w:rsidRPr="004F3BBA" w:rsidRDefault="002E09F6" w:rsidP="002E09F6">
      <w:pPr>
        <w:pStyle w:val="af"/>
        <w:ind w:left="700"/>
        <w:rPr>
          <w:rFonts w:ascii="David" w:hAnsi="David"/>
          <w:sz w:val="24"/>
          <w:rtl/>
        </w:rPr>
      </w:pPr>
    </w:p>
    <w:p w14:paraId="7C6FBDBA" w14:textId="132BEED7" w:rsidR="002E09F6" w:rsidRPr="004F3BBA" w:rsidRDefault="002E09F6" w:rsidP="002E09F6">
      <w:pPr>
        <w:pStyle w:val="af"/>
        <w:ind w:left="700"/>
        <w:rPr>
          <w:rFonts w:ascii="David" w:hAnsi="David"/>
          <w:sz w:val="24"/>
          <w:rtl/>
        </w:rPr>
      </w:pPr>
      <w:r w:rsidRPr="004F3BBA">
        <w:rPr>
          <w:rFonts w:ascii="David" w:hAnsi="David"/>
          <w:sz w:val="24"/>
          <w:rtl/>
        </w:rPr>
        <w:t xml:space="preserve">מצב דברים זה אינו מתיישב עם רוח הצו שמטרתו להבטיח כי הצרכן יקבל את המידע באופן מניח את הדעת ואינו מתיישב עם הוראת סעיף 2(ב) לצו לפיה :"פרטי הסימון יהיו ברורים, קריאים ובני קיימא; </w:t>
      </w:r>
      <w:r w:rsidRPr="004F3BBA">
        <w:rPr>
          <w:rFonts w:ascii="David" w:hAnsi="David"/>
          <w:b/>
          <w:bCs/>
          <w:sz w:val="24"/>
          <w:rtl/>
        </w:rPr>
        <w:t xml:space="preserve">כל מילה ופרט </w:t>
      </w:r>
      <w:proofErr w:type="spellStart"/>
      <w:r w:rsidRPr="004F3BBA">
        <w:rPr>
          <w:rFonts w:ascii="David" w:hAnsi="David"/>
          <w:b/>
          <w:bCs/>
          <w:sz w:val="24"/>
          <w:rtl/>
        </w:rPr>
        <w:t>יצויינו</w:t>
      </w:r>
      <w:proofErr w:type="spellEnd"/>
      <w:r w:rsidRPr="004F3BBA">
        <w:rPr>
          <w:rFonts w:ascii="David" w:hAnsi="David"/>
          <w:sz w:val="24"/>
          <w:rtl/>
        </w:rPr>
        <w:t xml:space="preserve"> בבהירות, באותיות לא קטנות ולא דחוסות, ב</w:t>
      </w:r>
      <w:r w:rsidRPr="004F3BBA">
        <w:rPr>
          <w:rFonts w:ascii="David" w:hAnsi="David"/>
          <w:b/>
          <w:bCs/>
          <w:sz w:val="24"/>
          <w:rtl/>
        </w:rPr>
        <w:t>מקום הנראה לעין ובאופן שיקל על הצרכן לקרוא ולהבין את הסימון</w:t>
      </w:r>
      <w:r w:rsidRPr="004F3BBA">
        <w:rPr>
          <w:rFonts w:ascii="David" w:hAnsi="David"/>
          <w:sz w:val="24"/>
          <w:rtl/>
        </w:rPr>
        <w:t>;".</w:t>
      </w:r>
    </w:p>
    <w:p w14:paraId="6B5C4DF1" w14:textId="4F271807" w:rsidR="00AD0FFF" w:rsidRPr="004F3BBA" w:rsidRDefault="00AD0FFF" w:rsidP="00AD0FFF">
      <w:pPr>
        <w:pStyle w:val="af"/>
        <w:ind w:left="700"/>
        <w:rPr>
          <w:rFonts w:ascii="David" w:hAnsi="David"/>
          <w:sz w:val="24"/>
          <w:rtl/>
        </w:rPr>
      </w:pPr>
    </w:p>
    <w:p w14:paraId="6C1F15F1" w14:textId="77777777" w:rsidR="008277DA" w:rsidRDefault="008277DA" w:rsidP="008277DA">
      <w:pPr>
        <w:pStyle w:val="af"/>
        <w:ind w:left="700"/>
        <w:rPr>
          <w:rFonts w:ascii="David" w:hAnsi="David"/>
          <w:sz w:val="24"/>
          <w:rtl/>
        </w:rPr>
      </w:pPr>
      <w:r>
        <w:rPr>
          <w:rFonts w:ascii="David" w:hAnsi="David"/>
          <w:sz w:val="24"/>
          <w:rtl/>
        </w:rPr>
        <w:t>בהתאם מוצע ל</w:t>
      </w:r>
      <w:r>
        <w:rPr>
          <w:rFonts w:ascii="David" w:hAnsi="David" w:hint="cs"/>
          <w:sz w:val="24"/>
          <w:rtl/>
        </w:rPr>
        <w:t>אפשר ליצרן או ליבואן לסמן את פרטי הרהיט בדרך נוספת שיש בה בכדי להקל על שני הצדדים לעסקה, הן על היצרן והיבואן והן על הצרכן.</w:t>
      </w:r>
    </w:p>
    <w:p w14:paraId="03AEA160" w14:textId="77777777" w:rsidR="008277DA" w:rsidRDefault="008277DA" w:rsidP="008277DA">
      <w:pPr>
        <w:pStyle w:val="af"/>
        <w:ind w:left="700"/>
        <w:rPr>
          <w:rFonts w:ascii="David" w:hAnsi="David"/>
          <w:sz w:val="24"/>
          <w:rtl/>
        </w:rPr>
      </w:pPr>
    </w:p>
    <w:p w14:paraId="20BE632D" w14:textId="39E17F8E" w:rsidR="008277DA" w:rsidRDefault="008277DA" w:rsidP="008277DA">
      <w:pPr>
        <w:pStyle w:val="af"/>
        <w:ind w:left="700"/>
        <w:rPr>
          <w:rFonts w:ascii="David" w:hAnsi="David"/>
          <w:sz w:val="24"/>
          <w:rtl/>
        </w:rPr>
      </w:pPr>
      <w:r>
        <w:rPr>
          <w:rFonts w:ascii="David" w:hAnsi="David" w:hint="cs"/>
          <w:sz w:val="24"/>
          <w:rtl/>
        </w:rPr>
        <w:t>על מנת להבטיח כי הצרכן יוכל לעיין במשך תקופה ראויה בפרטי הסימון של רהיט שרכש, מוצע לקבוע כי פרטי הסימון יישמרו בהתאם לסעיף קטן (א) למשך 7 שנים.</w:t>
      </w:r>
    </w:p>
    <w:p w14:paraId="2B934651" w14:textId="2712EE56" w:rsidR="008277DA" w:rsidRDefault="00AE6767" w:rsidP="00AE6767">
      <w:pPr>
        <w:pStyle w:val="af"/>
        <w:ind w:left="700"/>
        <w:rPr>
          <w:rFonts w:ascii="David" w:hAnsi="David"/>
          <w:sz w:val="24"/>
          <w:rtl/>
        </w:rPr>
      </w:pPr>
      <w:r>
        <w:rPr>
          <w:rFonts w:ascii="David" w:hAnsi="David" w:hint="cs"/>
          <w:sz w:val="24"/>
          <w:rtl/>
        </w:rPr>
        <w:t xml:space="preserve">משך הזמן שבו מחויב יצרן או יבואן לסמן את פרטיו של  רהיט </w:t>
      </w:r>
      <w:proofErr w:type="spellStart"/>
      <w:r>
        <w:rPr>
          <w:rFonts w:ascii="David" w:hAnsi="David" w:hint="cs"/>
          <w:sz w:val="24"/>
          <w:rtl/>
        </w:rPr>
        <w:t>מסויים</w:t>
      </w:r>
      <w:proofErr w:type="spellEnd"/>
      <w:r>
        <w:rPr>
          <w:rFonts w:ascii="David" w:hAnsi="David" w:hint="cs"/>
          <w:sz w:val="24"/>
          <w:rtl/>
        </w:rPr>
        <w:t xml:space="preserve">, בהתאם להוראת סעיף קטן (א), יחל </w:t>
      </w:r>
      <w:r w:rsidR="008277DA">
        <w:rPr>
          <w:rFonts w:ascii="David" w:hAnsi="David" w:hint="cs"/>
          <w:sz w:val="24"/>
          <w:rtl/>
        </w:rPr>
        <w:t xml:space="preserve">מהמועד </w:t>
      </w:r>
      <w:r>
        <w:rPr>
          <w:rFonts w:ascii="David" w:hAnsi="David" w:hint="cs"/>
          <w:sz w:val="24"/>
          <w:rtl/>
        </w:rPr>
        <w:t xml:space="preserve">האחרון </w:t>
      </w:r>
      <w:r w:rsidR="008277DA">
        <w:rPr>
          <w:rFonts w:ascii="David" w:hAnsi="David" w:hint="cs"/>
          <w:sz w:val="24"/>
          <w:rtl/>
        </w:rPr>
        <w:t xml:space="preserve">שבו מכר </w:t>
      </w:r>
      <w:r>
        <w:rPr>
          <w:rFonts w:ascii="David" w:hAnsi="David" w:hint="cs"/>
          <w:sz w:val="24"/>
          <w:rtl/>
        </w:rPr>
        <w:t>אותו לקמעונאי.</w:t>
      </w:r>
    </w:p>
    <w:p w14:paraId="29D19997" w14:textId="3DAE2768" w:rsidR="00AD0FFF" w:rsidRPr="008277DA" w:rsidRDefault="00AD0FFF" w:rsidP="008277DA">
      <w:pPr>
        <w:rPr>
          <w:rtl/>
        </w:rPr>
      </w:pPr>
    </w:p>
    <w:p w14:paraId="1D624120" w14:textId="77777777" w:rsidR="00F00F6A" w:rsidRPr="004F3BBA" w:rsidRDefault="00F00F6A" w:rsidP="00F00F6A">
      <w:pPr>
        <w:pStyle w:val="af"/>
        <w:numPr>
          <w:ilvl w:val="0"/>
          <w:numId w:val="23"/>
        </w:numPr>
        <w:rPr>
          <w:rFonts w:ascii="David" w:hAnsi="David"/>
          <w:sz w:val="24"/>
        </w:rPr>
      </w:pPr>
      <w:r w:rsidRPr="004F3BBA">
        <w:rPr>
          <w:rFonts w:ascii="David" w:hAnsi="David"/>
          <w:sz w:val="24"/>
          <w:rtl/>
        </w:rPr>
        <w:t>מוצע להוסיף את סעיף קטן (י) הקובע כי בכל הקשור לרהיטים המשמשים בתצוגה ייעשה הסימון על גבי שלט שיונח על הרהיט או בסמוך אליו. מדובר בחובה הקבועה בסעיף קטן (ט) בנוסחו הנוכחי.</w:t>
      </w:r>
    </w:p>
    <w:p w14:paraId="276D2EB7" w14:textId="23E9C258" w:rsidR="00F00F6A" w:rsidRPr="004F3BBA" w:rsidRDefault="00146F1D" w:rsidP="00F00F6A">
      <w:pPr>
        <w:pStyle w:val="af"/>
        <w:ind w:left="700"/>
        <w:rPr>
          <w:rFonts w:ascii="David" w:hAnsi="David"/>
          <w:sz w:val="24"/>
          <w:rtl/>
        </w:rPr>
      </w:pPr>
      <w:r w:rsidRPr="004F3BBA">
        <w:rPr>
          <w:rFonts w:ascii="David" w:hAnsi="David"/>
          <w:sz w:val="24"/>
          <w:rtl/>
        </w:rPr>
        <w:t>שימור חובה זו בא</w:t>
      </w:r>
      <w:r w:rsidR="00F00F6A" w:rsidRPr="004F3BBA">
        <w:rPr>
          <w:rFonts w:ascii="David" w:hAnsi="David"/>
          <w:sz w:val="24"/>
          <w:rtl/>
        </w:rPr>
        <w:t xml:space="preserve"> להבטיח את האפשרות של הצרכן לקבל מידע חיוני זה בייחוד טרם ביצוע עשיית העסקה.</w:t>
      </w:r>
    </w:p>
    <w:p w14:paraId="67AD4D4D" w14:textId="77777777" w:rsidR="000912BF" w:rsidRDefault="000912BF" w:rsidP="007259B0">
      <w:pPr>
        <w:pStyle w:val="af"/>
        <w:ind w:left="700"/>
        <w:rPr>
          <w:rFonts w:ascii="David" w:hAnsi="David"/>
          <w:sz w:val="24"/>
          <w:rtl/>
        </w:rPr>
      </w:pPr>
    </w:p>
    <w:p w14:paraId="2A45B635" w14:textId="591A7953" w:rsidR="00F00F6A" w:rsidRDefault="007259B0" w:rsidP="007259B0">
      <w:pPr>
        <w:pStyle w:val="af"/>
        <w:ind w:left="700"/>
        <w:rPr>
          <w:rFonts w:ascii="David" w:hAnsi="David"/>
          <w:sz w:val="24"/>
          <w:rtl/>
        </w:rPr>
      </w:pPr>
      <w:r w:rsidRPr="004F3BBA">
        <w:rPr>
          <w:rFonts w:ascii="David" w:hAnsi="David"/>
          <w:sz w:val="24"/>
          <w:rtl/>
        </w:rPr>
        <w:t>מתן מידע אוד</w:t>
      </w:r>
      <w:r w:rsidR="00146F1D" w:rsidRPr="004F3BBA">
        <w:rPr>
          <w:rFonts w:ascii="David" w:hAnsi="David"/>
          <w:sz w:val="24"/>
          <w:rtl/>
        </w:rPr>
        <w:t xml:space="preserve">ות רכיבי היסוד לגבי ריהוט בשלב </w:t>
      </w:r>
      <w:r w:rsidR="00F00F6A" w:rsidRPr="004F3BBA">
        <w:rPr>
          <w:rFonts w:ascii="David" w:hAnsi="David"/>
          <w:sz w:val="24"/>
          <w:rtl/>
        </w:rPr>
        <w:t xml:space="preserve"> הקודם לביצוע העסקה</w:t>
      </w:r>
      <w:r w:rsidRPr="004F3BBA">
        <w:rPr>
          <w:rFonts w:ascii="David" w:hAnsi="David"/>
          <w:sz w:val="24"/>
          <w:rtl/>
        </w:rPr>
        <w:t xml:space="preserve"> מאפשר לצרכן להגיע להחלטה מושכלת באשר לביצוע הרכישה. תכלית זו רלוונטית גם לרהיטים שאינם משמשים בתצוגה אלא מוצגים לצרכן בקטלוג. בהתאם</w:t>
      </w:r>
      <w:r w:rsidR="00146F1D" w:rsidRPr="004F3BBA">
        <w:rPr>
          <w:rFonts w:ascii="David" w:hAnsi="David"/>
          <w:sz w:val="24"/>
          <w:rtl/>
        </w:rPr>
        <w:t>,</w:t>
      </w:r>
      <w:r w:rsidRPr="004F3BBA">
        <w:rPr>
          <w:rFonts w:ascii="David" w:hAnsi="David"/>
          <w:sz w:val="24"/>
          <w:rtl/>
        </w:rPr>
        <w:t xml:space="preserve"> מוצע לקבוע כי חובת סימון רכיבי היסוד תחול גל לגבי רהיטים המוצגים בקטלוג.</w:t>
      </w:r>
    </w:p>
    <w:p w14:paraId="3ADA05BA" w14:textId="77777777" w:rsidR="000912BF" w:rsidRPr="004F3BBA" w:rsidRDefault="000912BF" w:rsidP="007259B0">
      <w:pPr>
        <w:pStyle w:val="af"/>
        <w:ind w:left="700"/>
        <w:rPr>
          <w:rFonts w:ascii="David" w:hAnsi="David"/>
          <w:sz w:val="24"/>
          <w:rtl/>
        </w:rPr>
      </w:pPr>
    </w:p>
    <w:p w14:paraId="0C564CB0" w14:textId="4E51FDDC" w:rsidR="007259B0" w:rsidRDefault="000912BF" w:rsidP="000B5650">
      <w:pPr>
        <w:pStyle w:val="af"/>
        <w:ind w:left="700"/>
        <w:rPr>
          <w:rFonts w:ascii="David" w:hAnsi="David"/>
          <w:sz w:val="24"/>
          <w:rtl/>
        </w:rPr>
      </w:pPr>
      <w:r>
        <w:rPr>
          <w:rFonts w:ascii="David" w:hAnsi="David" w:hint="cs"/>
          <w:sz w:val="24"/>
          <w:rtl/>
        </w:rPr>
        <w:t xml:space="preserve">על מנת להבטיח כי המידע יהיה זמין לצרכן גם לאחר עשיית העסקה מוצע לקבוע </w:t>
      </w:r>
      <w:r w:rsidR="000B5650">
        <w:rPr>
          <w:rFonts w:ascii="David" w:hAnsi="David" w:hint="cs"/>
          <w:sz w:val="24"/>
          <w:rtl/>
        </w:rPr>
        <w:t>כי ברכישה של רהיט שפרטי הסימון שלו לא סומנו על גביו או על אריזתו ימסרו פרטי הסימון או קישור</w:t>
      </w:r>
      <w:r>
        <w:rPr>
          <w:rFonts w:ascii="David" w:hAnsi="David" w:hint="cs"/>
          <w:sz w:val="24"/>
          <w:rtl/>
        </w:rPr>
        <w:t xml:space="preserve"> לאתר אינטרנט שבו מופיעים פרטים אלו</w:t>
      </w:r>
      <w:r w:rsidRPr="000B5650">
        <w:rPr>
          <w:rFonts w:ascii="David" w:hAnsi="David" w:hint="cs"/>
          <w:sz w:val="24"/>
          <w:rtl/>
        </w:rPr>
        <w:t xml:space="preserve"> במסמך</w:t>
      </w:r>
      <w:r>
        <w:rPr>
          <w:rFonts w:ascii="David" w:hAnsi="David" w:hint="cs"/>
          <w:sz w:val="24"/>
          <w:rtl/>
        </w:rPr>
        <w:t>.</w:t>
      </w:r>
    </w:p>
    <w:p w14:paraId="5C5FF451" w14:textId="77777777" w:rsidR="000B5650" w:rsidRDefault="000B5650" w:rsidP="007259B0">
      <w:pPr>
        <w:pStyle w:val="af"/>
        <w:ind w:left="700"/>
        <w:rPr>
          <w:rFonts w:ascii="David" w:hAnsi="David"/>
          <w:sz w:val="24"/>
          <w:rtl/>
        </w:rPr>
      </w:pPr>
    </w:p>
    <w:p w14:paraId="7E7878D2" w14:textId="113AAC22" w:rsidR="000912BF" w:rsidRDefault="000912BF" w:rsidP="000B5650">
      <w:pPr>
        <w:pStyle w:val="af"/>
        <w:ind w:left="700"/>
        <w:rPr>
          <w:rFonts w:ascii="David" w:hAnsi="David"/>
          <w:sz w:val="24"/>
          <w:rtl/>
        </w:rPr>
      </w:pPr>
      <w:r>
        <w:rPr>
          <w:rFonts w:ascii="David" w:hAnsi="David" w:hint="cs"/>
          <w:sz w:val="24"/>
          <w:rtl/>
        </w:rPr>
        <w:t xml:space="preserve">יחד עם זאת מוצע לאפשר לצדדים להסכים על </w:t>
      </w:r>
      <w:r w:rsidR="000B5650">
        <w:rPr>
          <w:rFonts w:ascii="David" w:hAnsi="David" w:hint="cs"/>
          <w:sz w:val="24"/>
          <w:rtl/>
        </w:rPr>
        <w:t>מסירת</w:t>
      </w:r>
      <w:r>
        <w:rPr>
          <w:rFonts w:ascii="David" w:hAnsi="David" w:hint="cs"/>
          <w:sz w:val="24"/>
          <w:rtl/>
        </w:rPr>
        <w:t xml:space="preserve"> פרטי הסימון שלא במסמך ובלבד שהייתה הסכמה של שניהם על אופן מסירת פרטי הסימון.</w:t>
      </w:r>
    </w:p>
    <w:p w14:paraId="30C3B91F" w14:textId="5D0AF0A7" w:rsidR="000912BF" w:rsidRDefault="000912BF" w:rsidP="007259B0">
      <w:pPr>
        <w:pStyle w:val="af"/>
        <w:ind w:left="700"/>
        <w:rPr>
          <w:rFonts w:ascii="David" w:hAnsi="David"/>
          <w:sz w:val="24"/>
          <w:rtl/>
        </w:rPr>
      </w:pPr>
      <w:r>
        <w:rPr>
          <w:rFonts w:ascii="David" w:hAnsi="David" w:hint="cs"/>
          <w:sz w:val="24"/>
          <w:rtl/>
        </w:rPr>
        <w:t>פרטי הסימון יימסרו לצרכן במעמד ביצוע העסקה, בין אם נמסרו במסמך ובין אם סוכם בין הצדדים למוסרם באופן אחר.</w:t>
      </w:r>
    </w:p>
    <w:p w14:paraId="07BF111C" w14:textId="48001BDD" w:rsidR="000912BF" w:rsidRDefault="000912BF" w:rsidP="007259B0">
      <w:pPr>
        <w:pStyle w:val="af"/>
        <w:ind w:left="700"/>
        <w:rPr>
          <w:rFonts w:ascii="David" w:hAnsi="David"/>
          <w:sz w:val="24"/>
          <w:rtl/>
        </w:rPr>
      </w:pPr>
    </w:p>
    <w:p w14:paraId="4739CC12" w14:textId="699EDC76" w:rsidR="000912BF" w:rsidRDefault="000B5650" w:rsidP="007259B0">
      <w:pPr>
        <w:pStyle w:val="af"/>
        <w:ind w:left="700"/>
        <w:rPr>
          <w:rFonts w:ascii="David" w:hAnsi="David"/>
          <w:sz w:val="24"/>
          <w:rtl/>
        </w:rPr>
      </w:pPr>
      <w:r>
        <w:rPr>
          <w:rFonts w:ascii="David" w:hAnsi="David" w:hint="cs"/>
          <w:sz w:val="24"/>
          <w:rtl/>
        </w:rPr>
        <w:t>חובה זו באה להבטיח כי ההקלה לפיה ניתן שלא לסמן את פרטי הסימון על גבי הרהיט או על אריזתו לא יפגעו בצרכן.</w:t>
      </w:r>
    </w:p>
    <w:p w14:paraId="5DDEAA67" w14:textId="77777777" w:rsidR="000912BF" w:rsidRPr="004F3BBA" w:rsidRDefault="000912BF" w:rsidP="007259B0">
      <w:pPr>
        <w:pStyle w:val="af"/>
        <w:ind w:left="700"/>
        <w:rPr>
          <w:rFonts w:ascii="David" w:hAnsi="David"/>
          <w:sz w:val="24"/>
          <w:rtl/>
        </w:rPr>
      </w:pPr>
    </w:p>
    <w:p w14:paraId="7F0FBD49" w14:textId="19F4CF96" w:rsidR="000912BF" w:rsidRPr="004F3BBA" w:rsidRDefault="007259B0" w:rsidP="000B5650">
      <w:pPr>
        <w:pStyle w:val="af"/>
        <w:ind w:left="700"/>
        <w:rPr>
          <w:rFonts w:ascii="David" w:hAnsi="David"/>
          <w:sz w:val="24"/>
          <w:rtl/>
        </w:rPr>
      </w:pPr>
      <w:r w:rsidRPr="004F3BBA">
        <w:rPr>
          <w:rFonts w:ascii="David" w:hAnsi="David"/>
          <w:sz w:val="24"/>
          <w:rtl/>
        </w:rPr>
        <w:t>מדובר בחובה שהעלויות הכספיות שלה שול</w:t>
      </w:r>
      <w:r w:rsidR="000B5650">
        <w:rPr>
          <w:rFonts w:ascii="David" w:hAnsi="David"/>
          <w:sz w:val="24"/>
          <w:rtl/>
        </w:rPr>
        <w:t>יות והחשיבות הצרכנית שלה מהותית</w:t>
      </w:r>
      <w:r w:rsidRPr="004F3BBA">
        <w:rPr>
          <w:rFonts w:ascii="David" w:hAnsi="David"/>
          <w:sz w:val="24"/>
          <w:rtl/>
        </w:rPr>
        <w:t xml:space="preserve"> </w:t>
      </w:r>
      <w:r w:rsidR="000B5650">
        <w:rPr>
          <w:rFonts w:ascii="David" w:hAnsi="David" w:hint="cs"/>
          <w:sz w:val="24"/>
          <w:rtl/>
        </w:rPr>
        <w:t xml:space="preserve">ולכן </w:t>
      </w:r>
      <w:r w:rsidR="00146F1D" w:rsidRPr="004F3BBA">
        <w:rPr>
          <w:rFonts w:ascii="David" w:hAnsi="David"/>
          <w:sz w:val="24"/>
          <w:rtl/>
        </w:rPr>
        <w:t xml:space="preserve">מצאנו כי מדובר באיזון ראוי, </w:t>
      </w:r>
      <w:r w:rsidRPr="004F3BBA">
        <w:rPr>
          <w:rFonts w:ascii="David" w:hAnsi="David"/>
          <w:sz w:val="24"/>
          <w:rtl/>
        </w:rPr>
        <w:t>בייחוד נוכח ההקלות כפי שנקבעו בסעיף קטן (ט) בנוסח המוצע בתיקון זה.</w:t>
      </w:r>
    </w:p>
    <w:sectPr w:rsidR="000912BF" w:rsidRPr="004F3BBA" w:rsidSect="00372D1E">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C83B7" w14:textId="77777777" w:rsidR="0066407B" w:rsidRDefault="0066407B" w:rsidP="00372D1E">
      <w:pPr>
        <w:spacing w:line="240" w:lineRule="auto"/>
      </w:pPr>
      <w:r>
        <w:separator/>
      </w:r>
    </w:p>
  </w:endnote>
  <w:endnote w:type="continuationSeparator" w:id="0">
    <w:p w14:paraId="663F37EA" w14:textId="77777777" w:rsidR="0066407B" w:rsidRDefault="0066407B" w:rsidP="00372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33D7B" w14:textId="77777777" w:rsidR="0066407B" w:rsidRDefault="0066407B" w:rsidP="00372D1E">
      <w:pPr>
        <w:spacing w:line="240" w:lineRule="auto"/>
      </w:pPr>
      <w:r>
        <w:separator/>
      </w:r>
    </w:p>
  </w:footnote>
  <w:footnote w:type="continuationSeparator" w:id="0">
    <w:p w14:paraId="67572002" w14:textId="77777777" w:rsidR="0066407B" w:rsidRDefault="0066407B" w:rsidP="00372D1E">
      <w:pPr>
        <w:spacing w:line="240" w:lineRule="auto"/>
      </w:pPr>
      <w:r>
        <w:continuationSeparator/>
      </w:r>
    </w:p>
  </w:footnote>
  <w:footnote w:id="1">
    <w:p w14:paraId="1F247C18" w14:textId="77777777" w:rsidR="00372D1E" w:rsidRDefault="00372D1E" w:rsidP="00372D1E">
      <w:pPr>
        <w:pStyle w:val="a5"/>
      </w:pPr>
      <w:r>
        <w:rPr>
          <w:rStyle w:val="a7"/>
        </w:rPr>
        <w:footnoteRef/>
      </w:r>
      <w:r>
        <w:rPr>
          <w:rtl/>
        </w:rPr>
        <w:t xml:space="preserve"> </w:t>
      </w:r>
      <w:r>
        <w:rPr>
          <w:rFonts w:hint="cs"/>
          <w:rtl/>
        </w:rPr>
        <w:t xml:space="preserve">ס"ח </w:t>
      </w:r>
      <w:proofErr w:type="spellStart"/>
      <w:r>
        <w:rPr>
          <w:rFonts w:hint="cs"/>
          <w:rtl/>
        </w:rPr>
        <w:t>התשמ"א</w:t>
      </w:r>
      <w:proofErr w:type="spellEnd"/>
      <w:r>
        <w:rPr>
          <w:rFonts w:hint="cs"/>
          <w:rtl/>
        </w:rPr>
        <w:t>, עמ' 248.</w:t>
      </w:r>
    </w:p>
  </w:footnote>
  <w:footnote w:id="2">
    <w:p w14:paraId="55B95F03" w14:textId="77777777" w:rsidR="00372D1E" w:rsidRDefault="00372D1E" w:rsidP="00372D1E">
      <w:pPr>
        <w:pStyle w:val="a5"/>
        <w:rPr>
          <w:rtl/>
        </w:rPr>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התשמ"ג</w:t>
      </w:r>
      <w:proofErr w:type="spellEnd"/>
      <w:r>
        <w:rPr>
          <w:rFonts w:hint="cs"/>
          <w:rtl/>
        </w:rPr>
        <w:t>, עמ' 862.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06E1F"/>
    <w:multiLevelType w:val="hybridMultilevel"/>
    <w:tmpl w:val="BD142230"/>
    <w:lvl w:ilvl="0" w:tplc="2B827A9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0DC621A1"/>
    <w:multiLevelType w:val="hybridMultilevel"/>
    <w:tmpl w:val="C8BC5A66"/>
    <w:lvl w:ilvl="0" w:tplc="D4AC651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86E6956"/>
    <w:multiLevelType w:val="hybridMultilevel"/>
    <w:tmpl w:val="98A4496E"/>
    <w:lvl w:ilvl="0" w:tplc="6A92FBF4">
      <w:start w:val="1"/>
      <w:numFmt w:val="hebrew1"/>
      <w:lvlText w:val="(%1)"/>
      <w:lvlJc w:val="left"/>
      <w:pPr>
        <w:ind w:left="720" w:hanging="360"/>
      </w:pPr>
      <w:rPr>
        <w:rFonts w:ascii="Calibri" w:eastAsia="Calibri" w:hAnsi="Calibr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75186"/>
    <w:multiLevelType w:val="hybridMultilevel"/>
    <w:tmpl w:val="1DA6E822"/>
    <w:lvl w:ilvl="0" w:tplc="573ADFBE">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396A48B5"/>
    <w:multiLevelType w:val="hybridMultilevel"/>
    <w:tmpl w:val="41B4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D0E90"/>
    <w:multiLevelType w:val="hybridMultilevel"/>
    <w:tmpl w:val="03949584"/>
    <w:lvl w:ilvl="0" w:tplc="707A555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80E37D7"/>
    <w:multiLevelType w:val="hybridMultilevel"/>
    <w:tmpl w:val="98A4496E"/>
    <w:lvl w:ilvl="0" w:tplc="6A92FBF4">
      <w:start w:val="1"/>
      <w:numFmt w:val="hebrew1"/>
      <w:lvlText w:val="(%1)"/>
      <w:lvlJc w:val="left"/>
      <w:pPr>
        <w:ind w:left="720" w:hanging="360"/>
      </w:pPr>
      <w:rPr>
        <w:rFonts w:ascii="Calibri" w:eastAsia="Calibri" w:hAnsi="Calibr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B7BF3"/>
    <w:multiLevelType w:val="hybridMultilevel"/>
    <w:tmpl w:val="1BAC0720"/>
    <w:lvl w:ilvl="0" w:tplc="82D800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14"/>
  </w:num>
  <w:num w:numId="6">
    <w:abstractNumId w:val="23"/>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7"/>
    <w:lvlOverride w:ilvl="0">
      <w:startOverride w:val="1"/>
    </w:lvlOverride>
  </w:num>
  <w:num w:numId="18">
    <w:abstractNumId w:val="12"/>
  </w:num>
  <w:num w:numId="19">
    <w:abstractNumId w:val="19"/>
  </w:num>
  <w:num w:numId="20">
    <w:abstractNumId w:val="21"/>
  </w:num>
  <w:num w:numId="21">
    <w:abstractNumId w:val="16"/>
  </w:num>
  <w:num w:numId="22">
    <w:abstractNumId w:val="18"/>
  </w:num>
  <w:num w:numId="23">
    <w:abstractNumId w:val="10"/>
  </w:num>
  <w:num w:numId="24">
    <w:abstractNumId w:val="13"/>
  </w:num>
  <w:num w:numId="25">
    <w:abstractNumId w:val="15"/>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81"/>
  <w:drawingGridVerticalSpacing w:val="181"/>
  <w:doNotUseMarginsForDrawingGridOrigin/>
  <w:drawingGridHorizontalOrigin w:val="6594"/>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1E"/>
    <w:rsid w:val="000912BF"/>
    <w:rsid w:val="000B5650"/>
    <w:rsid w:val="000D55FC"/>
    <w:rsid w:val="001118DB"/>
    <w:rsid w:val="001345D5"/>
    <w:rsid w:val="00146F1D"/>
    <w:rsid w:val="001E234F"/>
    <w:rsid w:val="002E09F6"/>
    <w:rsid w:val="00372D1E"/>
    <w:rsid w:val="003B22A1"/>
    <w:rsid w:val="00495FDB"/>
    <w:rsid w:val="004F3BBA"/>
    <w:rsid w:val="0052026C"/>
    <w:rsid w:val="00534739"/>
    <w:rsid w:val="00561C07"/>
    <w:rsid w:val="005B44D3"/>
    <w:rsid w:val="0066407B"/>
    <w:rsid w:val="006E2F21"/>
    <w:rsid w:val="007259B0"/>
    <w:rsid w:val="00763947"/>
    <w:rsid w:val="007C1744"/>
    <w:rsid w:val="0082662A"/>
    <w:rsid w:val="008277DA"/>
    <w:rsid w:val="00830BE3"/>
    <w:rsid w:val="00A25E20"/>
    <w:rsid w:val="00A7709C"/>
    <w:rsid w:val="00AD0FFF"/>
    <w:rsid w:val="00AE6767"/>
    <w:rsid w:val="00AF1BE9"/>
    <w:rsid w:val="00B55523"/>
    <w:rsid w:val="00B57850"/>
    <w:rsid w:val="00B855FE"/>
    <w:rsid w:val="00BE64B3"/>
    <w:rsid w:val="00C1185F"/>
    <w:rsid w:val="00D1091A"/>
    <w:rsid w:val="00D12B3F"/>
    <w:rsid w:val="00D82F37"/>
    <w:rsid w:val="00E617DF"/>
    <w:rsid w:val="00EB2008"/>
    <w:rsid w:val="00F00F6A"/>
    <w:rsid w:val="00F05E24"/>
    <w:rsid w:val="00F428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BDA3"/>
  <w15:chartTrackingRefBased/>
  <w15:docId w15:val="{A39F3212-8BE4-45AA-94B1-A8BB6E93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D1E"/>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372D1E"/>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372D1E"/>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372D1E"/>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372D1E"/>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372D1E"/>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72D1E"/>
    <w:rPr>
      <w:rFonts w:asciiTheme="majorHAnsi" w:eastAsiaTheme="majorEastAsia" w:hAnsiTheme="majorHAnsi" w:cs="David"/>
      <w:bCs/>
      <w:sz w:val="32"/>
      <w:szCs w:val="36"/>
    </w:rPr>
  </w:style>
  <w:style w:type="character" w:customStyle="1" w:styleId="40">
    <w:name w:val="כותרת 4 תו"/>
    <w:basedOn w:val="a0"/>
    <w:link w:val="4"/>
    <w:uiPriority w:val="9"/>
    <w:rsid w:val="00372D1E"/>
    <w:rPr>
      <w:rFonts w:ascii="David" w:hAnsi="David" w:cs="David"/>
      <w:b/>
      <w:bCs/>
      <w:color w:val="000000" w:themeColor="text1"/>
      <w:sz w:val="24"/>
      <w:szCs w:val="28"/>
    </w:rPr>
  </w:style>
  <w:style w:type="paragraph" w:customStyle="1" w:styleId="TableText">
    <w:name w:val="Table Text"/>
    <w:basedOn w:val="a"/>
    <w:rsid w:val="00372D1E"/>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372D1E"/>
    <w:pPr>
      <w:outlineLvl w:val="2"/>
    </w:pPr>
  </w:style>
  <w:style w:type="paragraph" w:customStyle="1" w:styleId="TableBlock">
    <w:name w:val="Table Block"/>
    <w:basedOn w:val="TableText"/>
    <w:rsid w:val="00372D1E"/>
    <w:pPr>
      <w:jc w:val="both"/>
    </w:pPr>
  </w:style>
  <w:style w:type="paragraph" w:customStyle="1" w:styleId="TableHead">
    <w:name w:val="Table Head"/>
    <w:basedOn w:val="TableText"/>
    <w:rsid w:val="00372D1E"/>
    <w:pPr>
      <w:jc w:val="center"/>
      <w:outlineLvl w:val="1"/>
    </w:pPr>
    <w:rPr>
      <w:b/>
      <w:bCs/>
    </w:rPr>
  </w:style>
  <w:style w:type="paragraph" w:customStyle="1" w:styleId="HeadMitparsemetBaze">
    <w:name w:val="Head MitparsemetBaze"/>
    <w:basedOn w:val="a"/>
    <w:rsid w:val="00372D1E"/>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372D1E"/>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372D1E"/>
    <w:pPr>
      <w:tabs>
        <w:tab w:val="left" w:pos="680"/>
        <w:tab w:val="left" w:pos="1020"/>
      </w:tabs>
      <w:ind w:firstLine="0"/>
    </w:pPr>
  </w:style>
  <w:style w:type="paragraph" w:customStyle="1" w:styleId="HeadDivreiHesber">
    <w:name w:val="Head DivreiHesber"/>
    <w:basedOn w:val="a"/>
    <w:rsid w:val="00372D1E"/>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372D1E"/>
    <w:rPr>
      <w:rFonts w:asciiTheme="majorHAnsi" w:eastAsiaTheme="majorEastAsia" w:hAnsiTheme="majorHAnsi" w:cs="David"/>
      <w:bCs/>
      <w:sz w:val="26"/>
      <w:szCs w:val="36"/>
      <w:u w:val="single"/>
    </w:rPr>
  </w:style>
  <w:style w:type="character" w:customStyle="1" w:styleId="30">
    <w:name w:val="כותרת 3 תו"/>
    <w:basedOn w:val="a0"/>
    <w:link w:val="3"/>
    <w:rsid w:val="00372D1E"/>
    <w:rPr>
      <w:rFonts w:asciiTheme="majorHAnsi" w:eastAsiaTheme="majorEastAsia" w:hAnsiTheme="majorHAnsi" w:cs="David"/>
      <w:sz w:val="24"/>
      <w:szCs w:val="28"/>
      <w:u w:val="double"/>
    </w:rPr>
  </w:style>
  <w:style w:type="character" w:customStyle="1" w:styleId="50">
    <w:name w:val="כותרת 5 תו"/>
    <w:basedOn w:val="a0"/>
    <w:link w:val="5"/>
    <w:uiPriority w:val="9"/>
    <w:rsid w:val="00372D1E"/>
    <w:rPr>
      <w:rFonts w:ascii="David" w:hAnsi="David" w:cs="David"/>
      <w:color w:val="000000" w:themeColor="text1"/>
      <w:sz w:val="24"/>
      <w:szCs w:val="24"/>
    </w:rPr>
  </w:style>
  <w:style w:type="paragraph" w:customStyle="1" w:styleId="HeadHatzaotHok4Futer">
    <w:name w:val="Head HatzaotHok4Futer"/>
    <w:basedOn w:val="HeadHatzaotHok"/>
    <w:rsid w:val="00372D1E"/>
    <w:pPr>
      <w:spacing w:before="120" w:after="120"/>
    </w:pPr>
    <w:rPr>
      <w:color w:val="FF0000"/>
      <w:w w:val="80"/>
    </w:rPr>
  </w:style>
  <w:style w:type="paragraph" w:styleId="a3">
    <w:name w:val="endnote text"/>
    <w:basedOn w:val="a"/>
    <w:link w:val="a4"/>
    <w:semiHidden/>
    <w:rsid w:val="00372D1E"/>
    <w:pPr>
      <w:ind w:left="227" w:hanging="227"/>
    </w:pPr>
    <w:rPr>
      <w:sz w:val="14"/>
      <w:szCs w:val="22"/>
    </w:rPr>
  </w:style>
  <w:style w:type="character" w:customStyle="1" w:styleId="a4">
    <w:name w:val="טקסט הערת סיום תו"/>
    <w:basedOn w:val="a0"/>
    <w:link w:val="a3"/>
    <w:semiHidden/>
    <w:rsid w:val="00372D1E"/>
    <w:rPr>
      <w:rFonts w:ascii="David" w:hAnsi="David" w:cs="David"/>
      <w:sz w:val="14"/>
    </w:rPr>
  </w:style>
  <w:style w:type="paragraph" w:customStyle="1" w:styleId="TableInnerSideHeading">
    <w:name w:val="Table InnerSideHeading"/>
    <w:basedOn w:val="TableSideHeading"/>
    <w:rsid w:val="00372D1E"/>
    <w:pPr>
      <w:outlineLvl w:val="9"/>
    </w:pPr>
  </w:style>
  <w:style w:type="paragraph" w:customStyle="1" w:styleId="Hesber">
    <w:name w:val="Hesber"/>
    <w:basedOn w:val="a"/>
    <w:rsid w:val="00372D1E"/>
    <w:pPr>
      <w:snapToGrid w:val="0"/>
      <w:ind w:left="0" w:firstLine="340"/>
    </w:pPr>
    <w:rPr>
      <w:rFonts w:ascii="Arial" w:eastAsia="Arial Unicode MS" w:hAnsi="Arial"/>
      <w:snapToGrid w:val="0"/>
      <w:sz w:val="20"/>
      <w:szCs w:val="26"/>
    </w:rPr>
  </w:style>
  <w:style w:type="paragraph" w:styleId="a5">
    <w:name w:val="footnote text"/>
    <w:basedOn w:val="a"/>
    <w:link w:val="a6"/>
    <w:autoRedefine/>
    <w:uiPriority w:val="99"/>
    <w:semiHidden/>
    <w:rsid w:val="00372D1E"/>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uiPriority w:val="99"/>
    <w:semiHidden/>
    <w:rsid w:val="00372D1E"/>
    <w:rPr>
      <w:rFonts w:ascii="Arial" w:eastAsia="Arial Unicode MS" w:hAnsi="Arial" w:cs="David"/>
      <w:snapToGrid w:val="0"/>
      <w:sz w:val="14"/>
      <w:szCs w:val="20"/>
    </w:rPr>
  </w:style>
  <w:style w:type="character" w:styleId="a7">
    <w:name w:val="footnote reference"/>
    <w:aliases w:val="Footnote Reference"/>
    <w:basedOn w:val="a0"/>
    <w:uiPriority w:val="99"/>
    <w:semiHidden/>
    <w:rsid w:val="00372D1E"/>
    <w:rPr>
      <w:vertAlign w:val="superscript"/>
    </w:rPr>
  </w:style>
  <w:style w:type="paragraph" w:customStyle="1" w:styleId="HesberHeading">
    <w:name w:val="Hesber Heading"/>
    <w:basedOn w:val="Hesber"/>
    <w:rsid w:val="00372D1E"/>
    <w:pPr>
      <w:tabs>
        <w:tab w:val="left" w:pos="624"/>
        <w:tab w:val="left" w:pos="1247"/>
      </w:tabs>
    </w:pPr>
    <w:rPr>
      <w:b/>
      <w:bCs/>
    </w:rPr>
  </w:style>
  <w:style w:type="paragraph" w:customStyle="1" w:styleId="HesberWriters">
    <w:name w:val="Hesber Writers"/>
    <w:basedOn w:val="Hesber"/>
    <w:rsid w:val="00372D1E"/>
    <w:pPr>
      <w:spacing w:before="120" w:after="120"/>
      <w:ind w:left="1418"/>
      <w:jc w:val="right"/>
    </w:pPr>
    <w:rPr>
      <w:b/>
      <w:bCs/>
    </w:rPr>
  </w:style>
  <w:style w:type="character" w:styleId="a8">
    <w:name w:val="endnote reference"/>
    <w:basedOn w:val="a0"/>
    <w:semiHidden/>
    <w:rsid w:val="00372D1E"/>
    <w:rPr>
      <w:vertAlign w:val="superscript"/>
    </w:rPr>
  </w:style>
  <w:style w:type="paragraph" w:customStyle="1" w:styleId="TableBlockOutdent">
    <w:name w:val="Table BlockOutdent"/>
    <w:basedOn w:val="TableBlock"/>
    <w:rsid w:val="00372D1E"/>
    <w:pPr>
      <w:ind w:left="624" w:hanging="624"/>
    </w:pPr>
  </w:style>
  <w:style w:type="paragraph" w:styleId="a9">
    <w:name w:val="header"/>
    <w:basedOn w:val="a"/>
    <w:link w:val="aa"/>
    <w:rsid w:val="00372D1E"/>
    <w:pPr>
      <w:tabs>
        <w:tab w:val="center" w:pos="4153"/>
        <w:tab w:val="right" w:pos="8306"/>
      </w:tabs>
    </w:pPr>
  </w:style>
  <w:style w:type="character" w:customStyle="1" w:styleId="aa">
    <w:name w:val="כותרת עליונה תו"/>
    <w:basedOn w:val="a0"/>
    <w:link w:val="a9"/>
    <w:rsid w:val="00372D1E"/>
    <w:rPr>
      <w:rFonts w:ascii="David" w:hAnsi="David" w:cs="David"/>
      <w:sz w:val="24"/>
      <w:szCs w:val="24"/>
    </w:rPr>
  </w:style>
  <w:style w:type="paragraph" w:styleId="ab">
    <w:name w:val="footer"/>
    <w:basedOn w:val="a"/>
    <w:link w:val="ac"/>
    <w:rsid w:val="00372D1E"/>
    <w:pPr>
      <w:tabs>
        <w:tab w:val="center" w:pos="4153"/>
        <w:tab w:val="right" w:pos="8306"/>
      </w:tabs>
    </w:pPr>
  </w:style>
  <w:style w:type="character" w:customStyle="1" w:styleId="ac">
    <w:name w:val="כותרת תחתונה תו"/>
    <w:basedOn w:val="a0"/>
    <w:link w:val="ab"/>
    <w:rsid w:val="00372D1E"/>
    <w:rPr>
      <w:rFonts w:ascii="David" w:hAnsi="David" w:cs="David"/>
      <w:sz w:val="24"/>
      <w:szCs w:val="24"/>
    </w:rPr>
  </w:style>
  <w:style w:type="character" w:styleId="ad">
    <w:name w:val="page number"/>
    <w:basedOn w:val="a0"/>
    <w:rsid w:val="00372D1E"/>
  </w:style>
  <w:style w:type="paragraph" w:customStyle="1" w:styleId="Cover1-Reshumot">
    <w:name w:val="Cover 1-Reshumot"/>
    <w:basedOn w:val="a"/>
    <w:rsid w:val="00372D1E"/>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372D1E"/>
    <w:rPr>
      <w:sz w:val="36"/>
      <w:szCs w:val="52"/>
    </w:rPr>
  </w:style>
  <w:style w:type="paragraph" w:customStyle="1" w:styleId="Cover3-Haknesset">
    <w:name w:val="Cover 3-Haknesset"/>
    <w:basedOn w:val="Cover1-Reshumot"/>
    <w:rsid w:val="00372D1E"/>
    <w:rPr>
      <w:b/>
      <w:bCs/>
      <w:spacing w:val="60"/>
    </w:rPr>
  </w:style>
  <w:style w:type="paragraph" w:customStyle="1" w:styleId="Cover4-Date">
    <w:name w:val="Cover 4-Date"/>
    <w:basedOn w:val="a"/>
    <w:rsid w:val="00372D1E"/>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372D1E"/>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372D1E"/>
    <w:pPr>
      <w:widowControl/>
      <w:spacing w:before="120" w:after="120"/>
      <w:outlineLvl w:val="9"/>
    </w:pPr>
    <w:rPr>
      <w:rtl/>
      <w:cs/>
    </w:rPr>
  </w:style>
  <w:style w:type="paragraph" w:styleId="TOC1">
    <w:name w:val="toc 1"/>
    <w:basedOn w:val="a"/>
    <w:next w:val="a"/>
    <w:autoRedefine/>
    <w:uiPriority w:val="39"/>
    <w:unhideWhenUsed/>
    <w:rsid w:val="00372D1E"/>
    <w:pPr>
      <w:tabs>
        <w:tab w:val="right" w:leader="dot" w:pos="9629"/>
      </w:tabs>
      <w:spacing w:after="100"/>
    </w:pPr>
    <w:rPr>
      <w:bCs/>
      <w:szCs w:val="22"/>
    </w:rPr>
  </w:style>
  <w:style w:type="paragraph" w:styleId="TOC2">
    <w:name w:val="toc 2"/>
    <w:basedOn w:val="a"/>
    <w:next w:val="a"/>
    <w:uiPriority w:val="39"/>
    <w:unhideWhenUsed/>
    <w:rsid w:val="00372D1E"/>
    <w:pPr>
      <w:tabs>
        <w:tab w:val="right" w:leader="dot" w:pos="9628"/>
      </w:tabs>
      <w:spacing w:after="100"/>
    </w:pPr>
    <w:rPr>
      <w:szCs w:val="22"/>
    </w:rPr>
  </w:style>
  <w:style w:type="character" w:styleId="Hyperlink">
    <w:name w:val="Hyperlink"/>
    <w:basedOn w:val="a0"/>
    <w:uiPriority w:val="99"/>
    <w:unhideWhenUsed/>
    <w:rsid w:val="00372D1E"/>
    <w:rPr>
      <w:color w:val="0563C1" w:themeColor="hyperlink"/>
      <w:u w:val="single"/>
    </w:rPr>
  </w:style>
  <w:style w:type="paragraph" w:styleId="TOC3">
    <w:name w:val="toc 3"/>
    <w:basedOn w:val="a"/>
    <w:next w:val="a"/>
    <w:uiPriority w:val="39"/>
    <w:unhideWhenUsed/>
    <w:rsid w:val="00372D1E"/>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372D1E"/>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372D1E"/>
    <w:pPr>
      <w:tabs>
        <w:tab w:val="right" w:leader="dot" w:pos="9628"/>
      </w:tabs>
      <w:spacing w:after="100"/>
      <w:ind w:left="567"/>
    </w:pPr>
    <w:rPr>
      <w:szCs w:val="22"/>
    </w:rPr>
  </w:style>
  <w:style w:type="paragraph" w:styleId="TOC6">
    <w:name w:val="toc 6"/>
    <w:basedOn w:val="a"/>
    <w:next w:val="a"/>
    <w:autoRedefine/>
    <w:semiHidden/>
    <w:unhideWhenUsed/>
    <w:rsid w:val="00372D1E"/>
    <w:pPr>
      <w:spacing w:after="100"/>
      <w:ind w:left="850"/>
    </w:pPr>
  </w:style>
  <w:style w:type="paragraph" w:styleId="TOC7">
    <w:name w:val="toc 7"/>
    <w:basedOn w:val="a"/>
    <w:next w:val="a"/>
    <w:autoRedefine/>
    <w:semiHidden/>
    <w:unhideWhenUsed/>
    <w:rsid w:val="00372D1E"/>
    <w:pPr>
      <w:spacing w:after="100"/>
      <w:ind w:left="1020"/>
    </w:pPr>
  </w:style>
  <w:style w:type="paragraph" w:styleId="TOC8">
    <w:name w:val="toc 8"/>
    <w:basedOn w:val="a"/>
    <w:next w:val="a"/>
    <w:autoRedefine/>
    <w:semiHidden/>
    <w:unhideWhenUsed/>
    <w:rsid w:val="00372D1E"/>
    <w:pPr>
      <w:spacing w:after="100"/>
      <w:ind w:left="1190"/>
    </w:pPr>
  </w:style>
  <w:style w:type="paragraph" w:styleId="TOC9">
    <w:name w:val="toc 9"/>
    <w:basedOn w:val="a"/>
    <w:next w:val="a"/>
    <w:autoRedefine/>
    <w:semiHidden/>
    <w:unhideWhenUsed/>
    <w:rsid w:val="00372D1E"/>
    <w:pPr>
      <w:spacing w:after="100"/>
      <w:ind w:left="1360"/>
    </w:pPr>
  </w:style>
  <w:style w:type="paragraph" w:customStyle="1" w:styleId="TableHead2">
    <w:name w:val="Table Head2"/>
    <w:basedOn w:val="TableHead"/>
    <w:qFormat/>
    <w:rsid w:val="00372D1E"/>
    <w:pPr>
      <w:outlineLvl w:val="9"/>
    </w:pPr>
  </w:style>
  <w:style w:type="paragraph" w:customStyle="1" w:styleId="TableSideHeading2">
    <w:name w:val="Table SideHeading2"/>
    <w:basedOn w:val="TableSideHeading"/>
    <w:autoRedefine/>
    <w:qFormat/>
    <w:rsid w:val="00372D1E"/>
    <w:pPr>
      <w:keepLines w:val="0"/>
      <w:outlineLvl w:val="9"/>
    </w:pPr>
  </w:style>
  <w:style w:type="paragraph" w:customStyle="1" w:styleId="0">
    <w:name w:val="סגנון שורה ראשונה:  0  ס''מ"/>
    <w:basedOn w:val="2"/>
    <w:rsid w:val="00372D1E"/>
    <w:rPr>
      <w:rFonts w:eastAsia="Times New Roman"/>
    </w:rPr>
  </w:style>
  <w:style w:type="paragraph" w:styleId="af">
    <w:name w:val="List Paragraph"/>
    <w:basedOn w:val="a"/>
    <w:uiPriority w:val="34"/>
    <w:qFormat/>
    <w:rsid w:val="00372D1E"/>
    <w:pPr>
      <w:widowControl/>
      <w:spacing w:line="259" w:lineRule="auto"/>
    </w:pPr>
    <w:rPr>
      <w:rFonts w:asciiTheme="minorHAnsi" w:hAnsiTheme="minorHAnsi"/>
      <w:sz w:val="22"/>
    </w:rPr>
  </w:style>
  <w:style w:type="table" w:styleId="af0">
    <w:name w:val="Table Grid"/>
    <w:basedOn w:val="a1"/>
    <w:rsid w:val="00372D1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372D1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372D1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372D1E"/>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372D1E"/>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372D1E"/>
    <w:rPr>
      <w:sz w:val="16"/>
      <w:szCs w:val="16"/>
    </w:rPr>
  </w:style>
  <w:style w:type="paragraph" w:styleId="af3">
    <w:name w:val="annotation text"/>
    <w:basedOn w:val="a"/>
    <w:link w:val="af4"/>
    <w:uiPriority w:val="99"/>
    <w:semiHidden/>
    <w:unhideWhenUsed/>
    <w:rsid w:val="00372D1E"/>
    <w:pPr>
      <w:widowControl/>
      <w:spacing w:after="200" w:line="240" w:lineRule="auto"/>
      <w:ind w:left="0"/>
      <w:contextualSpacing w:val="0"/>
      <w:jc w:val="left"/>
    </w:pPr>
    <w:rPr>
      <w:rFonts w:ascii="Calibri" w:eastAsia="Calibri" w:hAnsi="Calibri" w:cs="Arial"/>
      <w:sz w:val="20"/>
      <w:szCs w:val="20"/>
    </w:rPr>
  </w:style>
  <w:style w:type="character" w:customStyle="1" w:styleId="af4">
    <w:name w:val="טקסט הערה תו"/>
    <w:basedOn w:val="a0"/>
    <w:link w:val="af3"/>
    <w:uiPriority w:val="99"/>
    <w:semiHidden/>
    <w:rsid w:val="00372D1E"/>
    <w:rPr>
      <w:rFonts w:ascii="Calibri" w:eastAsia="Calibri" w:hAnsi="Calibri" w:cs="Arial"/>
      <w:sz w:val="20"/>
      <w:szCs w:val="20"/>
    </w:rPr>
  </w:style>
  <w:style w:type="paragraph" w:styleId="af5">
    <w:name w:val="Balloon Text"/>
    <w:basedOn w:val="a"/>
    <w:link w:val="af6"/>
    <w:uiPriority w:val="99"/>
    <w:semiHidden/>
    <w:unhideWhenUsed/>
    <w:rsid w:val="00372D1E"/>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372D1E"/>
    <w:rPr>
      <w:rFonts w:ascii="Tahoma" w:hAnsi="Tahoma" w:cs="Tahoma"/>
      <w:sz w:val="18"/>
      <w:szCs w:val="18"/>
    </w:rPr>
  </w:style>
  <w:style w:type="paragraph" w:styleId="af7">
    <w:name w:val="annotation subject"/>
    <w:basedOn w:val="af3"/>
    <w:next w:val="af3"/>
    <w:link w:val="af8"/>
    <w:uiPriority w:val="99"/>
    <w:semiHidden/>
    <w:unhideWhenUsed/>
    <w:rsid w:val="001E234F"/>
    <w:pPr>
      <w:widowControl w:val="0"/>
      <w:spacing w:after="0"/>
      <w:ind w:left="340"/>
      <w:contextualSpacing/>
      <w:jc w:val="both"/>
    </w:pPr>
    <w:rPr>
      <w:rFonts w:ascii="David" w:eastAsiaTheme="minorHAnsi" w:hAnsi="David" w:cs="David"/>
      <w:b/>
      <w:bCs/>
    </w:rPr>
  </w:style>
  <w:style w:type="character" w:customStyle="1" w:styleId="af8">
    <w:name w:val="נושא הערה תו"/>
    <w:basedOn w:val="af4"/>
    <w:link w:val="af7"/>
    <w:uiPriority w:val="99"/>
    <w:semiHidden/>
    <w:rsid w:val="001E234F"/>
    <w:rPr>
      <w:rFonts w:ascii="David" w:eastAsia="Calibri"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fNumber xmlns="d2589617-2f74-4077-aee7-f516ed639388">45357</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5F5026-13EC-46C0-92B0-B40D146FDBDD}">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26B793AF-34B7-4B55-ADE0-D64363D3E051}">
  <ds:schemaRefs>
    <ds:schemaRef ds:uri="http://schemas.microsoft.com/sharepoint/v3/contenttype/forms"/>
  </ds:schemaRefs>
</ds:datastoreItem>
</file>

<file path=customXml/itemProps3.xml><?xml version="1.0" encoding="utf-8"?>
<ds:datastoreItem xmlns:ds="http://schemas.openxmlformats.org/officeDocument/2006/customXml" ds:itemID="{47423A8A-1AD9-4D87-AC39-B6C05AC53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4775</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טיוטה מעודכנת.docx</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טיוטה מעודכנת.docx</dc:title>
  <dc:subject/>
  <dc:creator>אילנה מזרחי (Ilana Mizrachi)</dc:creator>
  <cp:keywords/>
  <dc:description/>
  <cp:lastModifiedBy>Adi Iflah - Chamber Of Commerce</cp:lastModifiedBy>
  <cp:revision>2</cp:revision>
  <cp:lastPrinted>2019-11-13T10:31:00Z</cp:lastPrinted>
  <dcterms:created xsi:type="dcterms:W3CDTF">2019-11-18T12:43:00Z</dcterms:created>
  <dcterms:modified xsi:type="dcterms:W3CDTF">2019-11-18T12:43:00Z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