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419" w:rsidRDefault="00597419" w:rsidP="00722C14">
      <w:pPr>
        <w:pStyle w:val="1"/>
        <w:keepNext w:val="0"/>
        <w:keepLines w:val="0"/>
      </w:pPr>
      <w:r>
        <w:rPr>
          <w:rtl/>
        </w:rPr>
        <w:t>טיוטת תקנות</w:t>
      </w:r>
    </w:p>
    <w:p w:rsidR="00597419" w:rsidRDefault="00597419" w:rsidP="00722C14">
      <w:pPr>
        <w:rPr>
          <w:rtl/>
        </w:rPr>
      </w:pPr>
    </w:p>
    <w:p w:rsidR="00597419" w:rsidRDefault="00597419" w:rsidP="00F24A78">
      <w:pPr>
        <w:pStyle w:val="4"/>
        <w:rPr>
          <w:rtl/>
        </w:rPr>
      </w:pPr>
      <w:r>
        <w:rPr>
          <w:rFonts w:hint="cs"/>
          <w:rtl/>
        </w:rPr>
        <w:t>שם התקנות המוצעות</w:t>
      </w:r>
    </w:p>
    <w:p w:rsidR="00597419" w:rsidRDefault="00597419" w:rsidP="003268AC">
      <w:r>
        <w:rPr>
          <w:rFonts w:hint="cs"/>
          <w:rtl/>
        </w:rPr>
        <w:t>תקנות ה</w:t>
      </w:r>
      <w:r w:rsidR="003268AC">
        <w:rPr>
          <w:rFonts w:hint="cs"/>
          <w:rtl/>
        </w:rPr>
        <w:t>תעבורה (תיקון מס'...), התשע"ט-2019</w:t>
      </w:r>
    </w:p>
    <w:p w:rsidR="00597419" w:rsidRPr="003268AC" w:rsidRDefault="00597419" w:rsidP="00722C14">
      <w:pPr>
        <w:rPr>
          <w:rtl/>
        </w:rPr>
      </w:pPr>
    </w:p>
    <w:p w:rsidR="00597419" w:rsidRDefault="00597419" w:rsidP="00722C14">
      <w:pPr>
        <w:rPr>
          <w:rtl/>
        </w:rPr>
      </w:pPr>
    </w:p>
    <w:p w:rsidR="00597419" w:rsidRPr="00C20421" w:rsidRDefault="00597419" w:rsidP="00C20421">
      <w:pPr>
        <w:pStyle w:val="4"/>
        <w:rPr>
          <w:rtl/>
        </w:rPr>
      </w:pPr>
      <w:r>
        <w:rPr>
          <w:rFonts w:hint="cs"/>
          <w:rtl/>
        </w:rPr>
        <w:t>מטרת התקנות המוצעות והצורך בהן</w:t>
      </w:r>
    </w:p>
    <w:p w:rsidR="00D55216" w:rsidRDefault="00D55216" w:rsidP="00D55216">
      <w:pPr>
        <w:pStyle w:val="af"/>
        <w:numPr>
          <w:ilvl w:val="0"/>
          <w:numId w:val="30"/>
        </w:numPr>
      </w:pPr>
      <w:r>
        <w:rPr>
          <w:rFonts w:hint="cs"/>
          <w:rtl/>
        </w:rPr>
        <w:t>תיקון תנאי ההטבה בהתקנת מערכות בטיחות ברכב משומש, כך שהפחתת אגרת הרישוי בסך 1,500 ₪ תינתן בפעימה אחת במקום שלוש כיום;</w:t>
      </w:r>
    </w:p>
    <w:p w:rsidR="00D55216" w:rsidRDefault="00D55216" w:rsidP="00D55216">
      <w:pPr>
        <w:pStyle w:val="af"/>
        <w:numPr>
          <w:ilvl w:val="0"/>
          <w:numId w:val="30"/>
        </w:numPr>
      </w:pPr>
      <w:r>
        <w:rPr>
          <w:rFonts w:hint="cs"/>
          <w:rtl/>
        </w:rPr>
        <w:t>הבהרת ניסוח פרט 3(א) לחלק ג' לתוספת הראשונה לתקנות התעבורה, התשכ"א-1961, לעניין אגרת הרישוי עבור רכב חשמלי;</w:t>
      </w:r>
    </w:p>
    <w:p w:rsidR="00D55216" w:rsidRPr="00D55216" w:rsidRDefault="00D55216" w:rsidP="00D55216">
      <w:pPr>
        <w:pStyle w:val="af"/>
        <w:numPr>
          <w:ilvl w:val="0"/>
          <w:numId w:val="30"/>
        </w:numPr>
        <w:rPr>
          <w:rtl/>
        </w:rPr>
      </w:pPr>
      <w:r>
        <w:rPr>
          <w:rFonts w:hint="cs"/>
          <w:rtl/>
        </w:rPr>
        <w:t xml:space="preserve">ייעול סיווגם של רכבים בייבוא אישי לקבוצות מחיר. </w:t>
      </w:r>
    </w:p>
    <w:p w:rsidR="00597419" w:rsidRDefault="00597419" w:rsidP="00722C14">
      <w:pPr>
        <w:rPr>
          <w:rtl/>
        </w:rPr>
      </w:pPr>
    </w:p>
    <w:p w:rsidR="00597419" w:rsidRDefault="00597419" w:rsidP="00722C14">
      <w:pPr>
        <w:rPr>
          <w:rtl/>
        </w:rPr>
      </w:pPr>
    </w:p>
    <w:p w:rsidR="00597419" w:rsidRDefault="00597419" w:rsidP="00F24A78">
      <w:pPr>
        <w:pStyle w:val="4"/>
      </w:pPr>
      <w:r>
        <w:rPr>
          <w:rFonts w:hint="cs"/>
          <w:rtl/>
        </w:rPr>
        <w:t xml:space="preserve">להלן נוסח טיוטת התקנות המוצעות: </w:t>
      </w:r>
    </w:p>
    <w:p w:rsidR="00597419" w:rsidRDefault="00597419" w:rsidP="00722C14">
      <w:pPr>
        <w:bidi w:val="0"/>
        <w:rPr>
          <w:rtl/>
        </w:rPr>
      </w:pPr>
      <w:r>
        <w:rPr>
          <w:rtl/>
        </w:rPr>
        <w:br w:type="page"/>
      </w:r>
    </w:p>
    <w:p w:rsidR="00597419" w:rsidRDefault="003268AC" w:rsidP="00722C14">
      <w:pPr>
        <w:pStyle w:val="HeadMitparsemetBaze"/>
        <w:keepNext w:val="0"/>
        <w:keepLines w:val="0"/>
        <w:pageBreakBefore w:val="0"/>
        <w:rPr>
          <w:rtl/>
        </w:rPr>
      </w:pPr>
      <w:r>
        <w:rPr>
          <w:rtl/>
        </w:rPr>
        <w:lastRenderedPageBreak/>
        <w:t>טיוטת תקנות מטעם משרד</w:t>
      </w:r>
      <w:r>
        <w:rPr>
          <w:rFonts w:hint="cs"/>
          <w:rtl/>
        </w:rPr>
        <w:t xml:space="preserve"> התחבורה והבטיחות בדרכים</w:t>
      </w:r>
      <w:r w:rsidR="00597419">
        <w:rPr>
          <w:rtl/>
        </w:rPr>
        <w:t xml:space="preserve">: </w:t>
      </w:r>
    </w:p>
    <w:p w:rsidR="00597419" w:rsidRDefault="00597419" w:rsidP="003268AC">
      <w:pPr>
        <w:pStyle w:val="HeadHatzaotHok"/>
        <w:keepNext w:val="0"/>
        <w:keepLines w:val="0"/>
        <w:rPr>
          <w:rtl/>
        </w:rPr>
      </w:pPr>
      <w:r>
        <w:rPr>
          <w:rtl/>
        </w:rPr>
        <w:t xml:space="preserve">טיוטת תקנות </w:t>
      </w:r>
      <w:r w:rsidR="003268AC">
        <w:rPr>
          <w:rFonts w:hint="cs"/>
          <w:rtl/>
        </w:rPr>
        <w:t xml:space="preserve">התעבורה </w:t>
      </w:r>
      <w:r>
        <w:rPr>
          <w:rtl/>
        </w:rPr>
        <w:t>(תיקון מס'...)</w:t>
      </w:r>
      <w:r w:rsidR="003268AC">
        <w:rPr>
          <w:rFonts w:hint="cs"/>
          <w:rtl/>
        </w:rPr>
        <w:t>, התשע"ט-2019</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5898"/>
      </w:tblGrid>
      <w:tr w:rsidR="005B6B8F" w:rsidTr="005B6B8F">
        <w:trPr>
          <w:cantSplit/>
          <w:trHeight w:val="60"/>
        </w:trPr>
        <w:tc>
          <w:tcPr>
            <w:tcW w:w="9641" w:type="dxa"/>
            <w:gridSpan w:val="5"/>
          </w:tcPr>
          <w:p w:rsidR="005B6B8F" w:rsidRPr="003268AC" w:rsidRDefault="005B6B8F" w:rsidP="0036514D">
            <w:pPr>
              <w:ind w:left="143"/>
              <w:rPr>
                <w:sz w:val="26"/>
                <w:szCs w:val="26"/>
              </w:rPr>
            </w:pPr>
            <w:r>
              <w:rPr>
                <w:sz w:val="26"/>
                <w:szCs w:val="26"/>
                <w:rtl/>
              </w:rPr>
              <w:t xml:space="preserve">בתוקף סמכותי לפי </w:t>
            </w:r>
            <w:r>
              <w:rPr>
                <w:rFonts w:hint="cs"/>
                <w:sz w:val="26"/>
                <w:szCs w:val="26"/>
                <w:rtl/>
              </w:rPr>
              <w:t>סעיפים 3 ו-70</w:t>
            </w:r>
            <w:r>
              <w:rPr>
                <w:sz w:val="26"/>
                <w:szCs w:val="26"/>
                <w:rtl/>
              </w:rPr>
              <w:t xml:space="preserve"> לפקודת התעבורה</w:t>
            </w:r>
            <w:r>
              <w:rPr>
                <w:rStyle w:val="a7"/>
                <w:sz w:val="26"/>
                <w:szCs w:val="26"/>
                <w:rtl/>
              </w:rPr>
              <w:footnoteReference w:id="1"/>
            </w:r>
            <w:r>
              <w:rPr>
                <w:rFonts w:hint="cs"/>
                <w:sz w:val="26"/>
                <w:szCs w:val="26"/>
                <w:rtl/>
              </w:rPr>
              <w:t xml:space="preserve"> (להלן </w:t>
            </w:r>
            <w:r>
              <w:rPr>
                <w:sz w:val="26"/>
                <w:szCs w:val="26"/>
                <w:rtl/>
              </w:rPr>
              <w:t>–</w:t>
            </w:r>
            <w:r>
              <w:rPr>
                <w:rFonts w:hint="cs"/>
                <w:sz w:val="26"/>
                <w:szCs w:val="26"/>
                <w:rtl/>
              </w:rPr>
              <w:t xml:space="preserve"> הפקודה)</w:t>
            </w:r>
            <w:r>
              <w:rPr>
                <w:sz w:val="26"/>
                <w:szCs w:val="26"/>
                <w:rtl/>
              </w:rPr>
              <w:t>, באישור שר האוצר לפי סעיף</w:t>
            </w:r>
            <w:r>
              <w:rPr>
                <w:rFonts w:hint="cs"/>
                <w:sz w:val="26"/>
                <w:szCs w:val="26"/>
                <w:rtl/>
              </w:rPr>
              <w:t xml:space="preserve"> 39ב ל</w:t>
            </w:r>
            <w:r>
              <w:rPr>
                <w:sz w:val="26"/>
                <w:szCs w:val="26"/>
                <w:rtl/>
              </w:rPr>
              <w:t xml:space="preserve">חוק יסודות התקציב, </w:t>
            </w:r>
            <w:proofErr w:type="spellStart"/>
            <w:r>
              <w:rPr>
                <w:sz w:val="26"/>
                <w:szCs w:val="26"/>
                <w:rtl/>
              </w:rPr>
              <w:t>התשמ"ה</w:t>
            </w:r>
            <w:proofErr w:type="spellEnd"/>
            <w:r>
              <w:rPr>
                <w:sz w:val="26"/>
                <w:szCs w:val="26"/>
                <w:rtl/>
              </w:rPr>
              <w:t xml:space="preserve"> - 1985</w:t>
            </w:r>
            <w:r>
              <w:rPr>
                <w:rStyle w:val="a7"/>
                <w:sz w:val="26"/>
                <w:szCs w:val="26"/>
                <w:rtl/>
              </w:rPr>
              <w:footnoteReference w:id="2"/>
            </w:r>
            <w:r>
              <w:rPr>
                <w:sz w:val="26"/>
                <w:szCs w:val="26"/>
                <w:rtl/>
              </w:rPr>
              <w:t>, ובאישור ועדת הכספים של הכנסת</w:t>
            </w:r>
            <w:r>
              <w:rPr>
                <w:rFonts w:hint="cs"/>
                <w:sz w:val="26"/>
                <w:szCs w:val="26"/>
                <w:rtl/>
              </w:rPr>
              <w:t xml:space="preserve"> לפי סעיף 1(ב) לחוק יסוד: משק המדינה</w:t>
            </w:r>
            <w:r>
              <w:rPr>
                <w:rStyle w:val="a7"/>
                <w:sz w:val="26"/>
                <w:szCs w:val="26"/>
                <w:rtl/>
              </w:rPr>
              <w:footnoteReference w:id="3"/>
            </w:r>
            <w:r>
              <w:rPr>
                <w:sz w:val="26"/>
                <w:szCs w:val="26"/>
                <w:rtl/>
              </w:rPr>
              <w:t>, אני מתקין תקנות אלה:</w:t>
            </w:r>
          </w:p>
        </w:tc>
      </w:tr>
      <w:tr w:rsidR="00597419" w:rsidTr="005B6B8F">
        <w:trPr>
          <w:cantSplit/>
          <w:trHeight w:val="60"/>
        </w:trPr>
        <w:tc>
          <w:tcPr>
            <w:tcW w:w="1871" w:type="dxa"/>
          </w:tcPr>
          <w:p w:rsidR="00597419" w:rsidRDefault="00597419">
            <w:pPr>
              <w:pStyle w:val="TableSideHeading"/>
            </w:pPr>
          </w:p>
        </w:tc>
        <w:tc>
          <w:tcPr>
            <w:tcW w:w="624" w:type="dxa"/>
          </w:tcPr>
          <w:p w:rsidR="00597419" w:rsidRDefault="00597419">
            <w:pPr>
              <w:pStyle w:val="TableText"/>
            </w:pPr>
          </w:p>
        </w:tc>
        <w:tc>
          <w:tcPr>
            <w:tcW w:w="7146" w:type="dxa"/>
            <w:gridSpan w:val="3"/>
          </w:tcPr>
          <w:p w:rsidR="00597419" w:rsidRDefault="00597419">
            <w:pPr>
              <w:pStyle w:val="TableHead"/>
            </w:pPr>
          </w:p>
        </w:tc>
      </w:tr>
      <w:tr w:rsidR="00597419" w:rsidTr="005B6B8F">
        <w:trPr>
          <w:cantSplit/>
          <w:trHeight w:val="60"/>
        </w:trPr>
        <w:tc>
          <w:tcPr>
            <w:tcW w:w="1871" w:type="dxa"/>
          </w:tcPr>
          <w:p w:rsidR="00597419" w:rsidRDefault="003268AC" w:rsidP="005B6B8F">
            <w:pPr>
              <w:pStyle w:val="TableSideHeading"/>
            </w:pPr>
            <w:r>
              <w:rPr>
                <w:rFonts w:hint="cs"/>
                <w:rtl/>
              </w:rPr>
              <w:t xml:space="preserve">תיקון </w:t>
            </w:r>
            <w:r w:rsidR="005B6B8F">
              <w:rPr>
                <w:rFonts w:hint="cs"/>
                <w:rtl/>
              </w:rPr>
              <w:t>ה</w:t>
            </w:r>
            <w:r w:rsidR="008D0081">
              <w:rPr>
                <w:rFonts w:hint="cs"/>
                <w:rtl/>
              </w:rPr>
              <w:t>תוספת הראשונה</w:t>
            </w:r>
          </w:p>
        </w:tc>
        <w:tc>
          <w:tcPr>
            <w:tcW w:w="624" w:type="dxa"/>
          </w:tcPr>
          <w:p w:rsidR="00597419" w:rsidRDefault="00597419" w:rsidP="00597419">
            <w:pPr>
              <w:pStyle w:val="TableText"/>
              <w:numPr>
                <w:ilvl w:val="0"/>
                <w:numId w:val="2"/>
              </w:numPr>
            </w:pPr>
          </w:p>
        </w:tc>
        <w:tc>
          <w:tcPr>
            <w:tcW w:w="7146" w:type="dxa"/>
            <w:gridSpan w:val="3"/>
          </w:tcPr>
          <w:p w:rsidR="00597419" w:rsidRDefault="003268AC" w:rsidP="005B6B8F">
            <w:pPr>
              <w:pStyle w:val="TableBlock"/>
            </w:pPr>
            <w:r>
              <w:rPr>
                <w:rFonts w:hint="cs"/>
                <w:rtl/>
              </w:rPr>
              <w:t>בתקנות התעבורה, התשכ"א-1961</w:t>
            </w:r>
            <w:r>
              <w:rPr>
                <w:rStyle w:val="a7"/>
                <w:rtl/>
              </w:rPr>
              <w:footnoteReference w:id="4"/>
            </w:r>
            <w:r>
              <w:rPr>
                <w:rFonts w:hint="cs"/>
                <w:rtl/>
              </w:rPr>
              <w:t xml:space="preserve"> (להלן </w:t>
            </w:r>
            <w:r>
              <w:rPr>
                <w:rtl/>
              </w:rPr>
              <w:t>–</w:t>
            </w:r>
            <w:r>
              <w:rPr>
                <w:rFonts w:hint="cs"/>
                <w:rtl/>
              </w:rPr>
              <w:t xml:space="preserve"> התקנות העיקריות), </w:t>
            </w:r>
            <w:r w:rsidRPr="00714182">
              <w:rPr>
                <w:rtl/>
              </w:rPr>
              <w:t xml:space="preserve">בתוספת הראשונה </w:t>
            </w:r>
            <w:r>
              <w:rPr>
                <w:rFonts w:hint="cs"/>
                <w:rtl/>
              </w:rPr>
              <w:t>בחלק ג'</w:t>
            </w:r>
            <w:r w:rsidR="005B6B8F">
              <w:rPr>
                <w:rFonts w:hint="cs"/>
                <w:rtl/>
              </w:rPr>
              <w:t xml:space="preserve"> - </w:t>
            </w:r>
            <w:r>
              <w:rPr>
                <w:rFonts w:hint="cs"/>
                <w:rtl/>
              </w:rPr>
              <w:t xml:space="preserve"> </w:t>
            </w:r>
          </w:p>
        </w:tc>
      </w:tr>
      <w:tr w:rsidR="005B6B8F">
        <w:trPr>
          <w:cantSplit/>
          <w:trHeight w:val="60"/>
        </w:trPr>
        <w:tc>
          <w:tcPr>
            <w:tcW w:w="1871" w:type="dxa"/>
          </w:tcPr>
          <w:p w:rsidR="005B6B8F" w:rsidRDefault="005B6B8F">
            <w:pPr>
              <w:pStyle w:val="TableSideHeading"/>
            </w:pPr>
          </w:p>
        </w:tc>
        <w:tc>
          <w:tcPr>
            <w:tcW w:w="624" w:type="dxa"/>
          </w:tcPr>
          <w:p w:rsidR="005B6B8F" w:rsidRDefault="005B6B8F">
            <w:pPr>
              <w:pStyle w:val="TableText"/>
            </w:pPr>
          </w:p>
        </w:tc>
        <w:tc>
          <w:tcPr>
            <w:tcW w:w="624" w:type="dxa"/>
          </w:tcPr>
          <w:p w:rsidR="005B6B8F" w:rsidRDefault="005B6B8F" w:rsidP="002D51C2">
            <w:pPr>
              <w:pStyle w:val="TableText"/>
              <w:numPr>
                <w:ilvl w:val="0"/>
                <w:numId w:val="24"/>
              </w:numPr>
              <w:tabs>
                <w:tab w:val="left" w:pos="624"/>
              </w:tabs>
              <w:jc w:val="both"/>
            </w:pPr>
          </w:p>
        </w:tc>
        <w:tc>
          <w:tcPr>
            <w:tcW w:w="6522" w:type="dxa"/>
            <w:gridSpan w:val="2"/>
          </w:tcPr>
          <w:p w:rsidR="005B6B8F" w:rsidRDefault="005B6B8F" w:rsidP="002D51C2">
            <w:pPr>
              <w:pStyle w:val="TableBlock"/>
              <w:tabs>
                <w:tab w:val="clear" w:pos="624"/>
              </w:tabs>
            </w:pPr>
            <w:r>
              <w:rPr>
                <w:rFonts w:hint="cs"/>
                <w:rtl/>
              </w:rPr>
              <w:t>בפרט 2, בפרט משנה (ב3)(2) -</w:t>
            </w:r>
          </w:p>
        </w:tc>
      </w:tr>
      <w:tr w:rsidR="005B6B8F">
        <w:trPr>
          <w:cantSplit/>
          <w:trHeight w:val="60"/>
        </w:trPr>
        <w:tc>
          <w:tcPr>
            <w:tcW w:w="1871" w:type="dxa"/>
          </w:tcPr>
          <w:p w:rsidR="005B6B8F" w:rsidRDefault="005B6B8F">
            <w:pPr>
              <w:pStyle w:val="TableSideHeading"/>
            </w:pPr>
          </w:p>
        </w:tc>
        <w:tc>
          <w:tcPr>
            <w:tcW w:w="624" w:type="dxa"/>
          </w:tcPr>
          <w:p w:rsidR="005B6B8F" w:rsidRDefault="005B6B8F">
            <w:pPr>
              <w:pStyle w:val="TableText"/>
            </w:pPr>
          </w:p>
        </w:tc>
        <w:tc>
          <w:tcPr>
            <w:tcW w:w="624" w:type="dxa"/>
          </w:tcPr>
          <w:p w:rsidR="005B6B8F" w:rsidRDefault="005B6B8F">
            <w:pPr>
              <w:pStyle w:val="TableText"/>
            </w:pPr>
          </w:p>
        </w:tc>
        <w:tc>
          <w:tcPr>
            <w:tcW w:w="624" w:type="dxa"/>
          </w:tcPr>
          <w:p w:rsidR="005B6B8F" w:rsidRDefault="005B6B8F" w:rsidP="002D51C2">
            <w:pPr>
              <w:pStyle w:val="TableText"/>
              <w:numPr>
                <w:ilvl w:val="0"/>
                <w:numId w:val="25"/>
              </w:numPr>
              <w:tabs>
                <w:tab w:val="left" w:pos="624"/>
              </w:tabs>
              <w:jc w:val="both"/>
            </w:pPr>
          </w:p>
        </w:tc>
        <w:tc>
          <w:tcPr>
            <w:tcW w:w="5898" w:type="dxa"/>
          </w:tcPr>
          <w:p w:rsidR="005B6B8F" w:rsidRDefault="005B6B8F" w:rsidP="002D51C2">
            <w:pPr>
              <w:pStyle w:val="TableBlock"/>
              <w:tabs>
                <w:tab w:val="clear" w:pos="624"/>
              </w:tabs>
            </w:pPr>
            <w:r>
              <w:rPr>
                <w:rFonts w:hint="cs"/>
                <w:rtl/>
              </w:rPr>
              <w:t>בפסקת משנה (א), במקום "700" יבוא "1,500";</w:t>
            </w:r>
          </w:p>
        </w:tc>
      </w:tr>
      <w:tr w:rsidR="005B6B8F">
        <w:trPr>
          <w:cantSplit/>
          <w:trHeight w:val="60"/>
        </w:trPr>
        <w:tc>
          <w:tcPr>
            <w:tcW w:w="1871" w:type="dxa"/>
          </w:tcPr>
          <w:p w:rsidR="005B6B8F" w:rsidRDefault="005B6B8F">
            <w:pPr>
              <w:pStyle w:val="TableSideHeading"/>
            </w:pPr>
          </w:p>
        </w:tc>
        <w:tc>
          <w:tcPr>
            <w:tcW w:w="624" w:type="dxa"/>
          </w:tcPr>
          <w:p w:rsidR="005B6B8F" w:rsidRDefault="005B6B8F" w:rsidP="005B6B8F">
            <w:pPr>
              <w:pStyle w:val="TableText"/>
            </w:pPr>
          </w:p>
        </w:tc>
        <w:tc>
          <w:tcPr>
            <w:tcW w:w="624" w:type="dxa"/>
          </w:tcPr>
          <w:p w:rsidR="005B6B8F" w:rsidRDefault="005B6B8F">
            <w:pPr>
              <w:pStyle w:val="TableText"/>
            </w:pPr>
          </w:p>
        </w:tc>
        <w:tc>
          <w:tcPr>
            <w:tcW w:w="624" w:type="dxa"/>
          </w:tcPr>
          <w:p w:rsidR="005B6B8F" w:rsidRPr="002D51C2" w:rsidRDefault="005B6B8F" w:rsidP="002D51C2">
            <w:pPr>
              <w:pStyle w:val="TableText"/>
              <w:numPr>
                <w:ilvl w:val="0"/>
                <w:numId w:val="25"/>
              </w:numPr>
              <w:tabs>
                <w:tab w:val="left" w:pos="624"/>
              </w:tabs>
              <w:jc w:val="both"/>
            </w:pPr>
          </w:p>
        </w:tc>
        <w:tc>
          <w:tcPr>
            <w:tcW w:w="5898" w:type="dxa"/>
          </w:tcPr>
          <w:p w:rsidR="005B6B8F" w:rsidRDefault="005B6B8F" w:rsidP="002D51C2">
            <w:pPr>
              <w:pStyle w:val="TableBlock"/>
              <w:tabs>
                <w:tab w:val="clear" w:pos="624"/>
              </w:tabs>
            </w:pPr>
            <w:r>
              <w:rPr>
                <w:rFonts w:hint="cs"/>
                <w:rtl/>
              </w:rPr>
              <w:t>בפסקת משנה (ב), בתחילתו יבוא "הייתה ההפחתה לפי פסקת משנה (א) בסכום נמוך מ-1,500 שקלים חדשים," ובמקום "700 שקלים חדשים" יבוא "סכום ההפרש בין 1,500 שקלים חדשים לסכום שהופחת לפי בפסקת משנה (א)";</w:t>
            </w:r>
          </w:p>
        </w:tc>
      </w:tr>
      <w:tr w:rsidR="005B6B8F">
        <w:trPr>
          <w:cantSplit/>
          <w:trHeight w:val="60"/>
        </w:trPr>
        <w:tc>
          <w:tcPr>
            <w:tcW w:w="1871" w:type="dxa"/>
          </w:tcPr>
          <w:p w:rsidR="005B6B8F" w:rsidRDefault="005B6B8F">
            <w:pPr>
              <w:pStyle w:val="TableSideHeading"/>
            </w:pPr>
          </w:p>
        </w:tc>
        <w:tc>
          <w:tcPr>
            <w:tcW w:w="624" w:type="dxa"/>
          </w:tcPr>
          <w:p w:rsidR="005B6B8F" w:rsidRDefault="005B6B8F" w:rsidP="005B6B8F">
            <w:pPr>
              <w:pStyle w:val="TableText"/>
            </w:pPr>
          </w:p>
        </w:tc>
        <w:tc>
          <w:tcPr>
            <w:tcW w:w="624" w:type="dxa"/>
          </w:tcPr>
          <w:p w:rsidR="005B6B8F" w:rsidRDefault="005B6B8F">
            <w:pPr>
              <w:pStyle w:val="TableText"/>
            </w:pPr>
          </w:p>
        </w:tc>
        <w:tc>
          <w:tcPr>
            <w:tcW w:w="624" w:type="dxa"/>
          </w:tcPr>
          <w:p w:rsidR="005B6B8F" w:rsidRPr="002D51C2" w:rsidRDefault="005B6B8F" w:rsidP="002D51C2">
            <w:pPr>
              <w:pStyle w:val="TableText"/>
              <w:numPr>
                <w:ilvl w:val="0"/>
                <w:numId w:val="25"/>
              </w:numPr>
              <w:tabs>
                <w:tab w:val="left" w:pos="624"/>
              </w:tabs>
              <w:jc w:val="both"/>
            </w:pPr>
          </w:p>
        </w:tc>
        <w:tc>
          <w:tcPr>
            <w:tcW w:w="5898" w:type="dxa"/>
          </w:tcPr>
          <w:p w:rsidR="005B6B8F" w:rsidRDefault="005B6B8F" w:rsidP="002D51C2">
            <w:pPr>
              <w:pStyle w:val="TableBlock"/>
              <w:tabs>
                <w:tab w:val="clear" w:pos="624"/>
              </w:tabs>
            </w:pPr>
            <w:r>
              <w:rPr>
                <w:rFonts w:hint="cs"/>
                <w:rtl/>
              </w:rPr>
              <w:t xml:space="preserve">פרט משנה (ג) </w:t>
            </w:r>
            <w:r>
              <w:rPr>
                <w:rtl/>
              </w:rPr>
              <w:t>–</w:t>
            </w:r>
            <w:r>
              <w:rPr>
                <w:rFonts w:hint="cs"/>
                <w:rtl/>
              </w:rPr>
              <w:t xml:space="preserve"> יימחק;</w:t>
            </w:r>
          </w:p>
        </w:tc>
      </w:tr>
      <w:tr w:rsidR="005B6B8F">
        <w:trPr>
          <w:cantSplit/>
          <w:trHeight w:val="60"/>
        </w:trPr>
        <w:tc>
          <w:tcPr>
            <w:tcW w:w="1871" w:type="dxa"/>
          </w:tcPr>
          <w:p w:rsidR="005B6B8F" w:rsidRDefault="005B6B8F">
            <w:pPr>
              <w:pStyle w:val="TableSideHeading"/>
            </w:pPr>
          </w:p>
        </w:tc>
        <w:tc>
          <w:tcPr>
            <w:tcW w:w="624" w:type="dxa"/>
          </w:tcPr>
          <w:p w:rsidR="005B6B8F" w:rsidRDefault="005B6B8F">
            <w:pPr>
              <w:pStyle w:val="TableText"/>
            </w:pPr>
          </w:p>
        </w:tc>
        <w:tc>
          <w:tcPr>
            <w:tcW w:w="624" w:type="dxa"/>
          </w:tcPr>
          <w:p w:rsidR="005B6B8F" w:rsidRDefault="005B6B8F" w:rsidP="002D51C2">
            <w:pPr>
              <w:pStyle w:val="TableText"/>
              <w:numPr>
                <w:ilvl w:val="0"/>
                <w:numId w:val="24"/>
              </w:numPr>
              <w:tabs>
                <w:tab w:val="left" w:pos="624"/>
              </w:tabs>
              <w:jc w:val="both"/>
            </w:pPr>
          </w:p>
        </w:tc>
        <w:tc>
          <w:tcPr>
            <w:tcW w:w="6522" w:type="dxa"/>
            <w:gridSpan w:val="2"/>
          </w:tcPr>
          <w:p w:rsidR="005B6B8F" w:rsidRPr="005B6B8F" w:rsidRDefault="005B6B8F">
            <w:pPr>
              <w:pStyle w:val="TableBlock"/>
            </w:pPr>
            <w:r>
              <w:rPr>
                <w:rFonts w:hint="cs"/>
                <w:rtl/>
              </w:rPr>
              <w:t>בפרט משנה 3(א) לחלק ג' לתוספת הראשונה לתקנות העיקריות המילים "רכב חשמלי" יימחקו, ואחרי המילים "על ידי מנוע בנזין" יבוא "ולרכב חשמלי";</w:t>
            </w:r>
          </w:p>
        </w:tc>
      </w:tr>
      <w:tr w:rsidR="005B6B8F" w:rsidTr="005B6B8F">
        <w:trPr>
          <w:cantSplit/>
          <w:trHeight w:val="60"/>
        </w:trPr>
        <w:tc>
          <w:tcPr>
            <w:tcW w:w="1871" w:type="dxa"/>
          </w:tcPr>
          <w:p w:rsidR="005B6B8F" w:rsidRDefault="005B6B8F">
            <w:pPr>
              <w:pStyle w:val="TableSideHeading"/>
              <w:rPr>
                <w:rtl/>
              </w:rPr>
            </w:pPr>
          </w:p>
        </w:tc>
        <w:tc>
          <w:tcPr>
            <w:tcW w:w="624" w:type="dxa"/>
          </w:tcPr>
          <w:p w:rsidR="005B6B8F" w:rsidRDefault="005B6B8F" w:rsidP="002D51C2">
            <w:pPr>
              <w:pStyle w:val="TableText"/>
            </w:pPr>
          </w:p>
        </w:tc>
        <w:tc>
          <w:tcPr>
            <w:tcW w:w="7146" w:type="dxa"/>
            <w:gridSpan w:val="3"/>
          </w:tcPr>
          <w:p w:rsidR="005B6B8F" w:rsidRDefault="005B6B8F" w:rsidP="000D567C">
            <w:pPr>
              <w:pStyle w:val="TableBlock"/>
              <w:rPr>
                <w:rtl/>
              </w:rPr>
            </w:pPr>
            <w:r>
              <w:rPr>
                <w:rFonts w:hint="cs"/>
                <w:rtl/>
              </w:rPr>
              <w:t>(3)</w:t>
            </w:r>
            <w:r>
              <w:rPr>
                <w:rtl/>
              </w:rPr>
              <w:tab/>
            </w:r>
            <w:r w:rsidR="000D567C">
              <w:rPr>
                <w:rFonts w:hint="cs"/>
                <w:rtl/>
              </w:rPr>
              <w:t>ב</w:t>
            </w:r>
            <w:r>
              <w:rPr>
                <w:rFonts w:hint="cs"/>
                <w:rtl/>
              </w:rPr>
              <w:t>פתיח לנספח א -</w:t>
            </w:r>
          </w:p>
        </w:tc>
      </w:tr>
      <w:tr w:rsidR="005B6B8F">
        <w:trPr>
          <w:cantSplit/>
          <w:trHeight w:val="60"/>
        </w:trPr>
        <w:tc>
          <w:tcPr>
            <w:tcW w:w="1871" w:type="dxa"/>
          </w:tcPr>
          <w:p w:rsidR="005B6B8F" w:rsidRDefault="005B6B8F">
            <w:pPr>
              <w:pStyle w:val="TableSideHeading"/>
            </w:pPr>
          </w:p>
        </w:tc>
        <w:tc>
          <w:tcPr>
            <w:tcW w:w="624" w:type="dxa"/>
          </w:tcPr>
          <w:p w:rsidR="005B6B8F" w:rsidRDefault="005B6B8F">
            <w:pPr>
              <w:pStyle w:val="TableText"/>
            </w:pPr>
          </w:p>
        </w:tc>
        <w:tc>
          <w:tcPr>
            <w:tcW w:w="624" w:type="dxa"/>
          </w:tcPr>
          <w:p w:rsidR="005B6B8F" w:rsidRDefault="005B6B8F">
            <w:pPr>
              <w:pStyle w:val="TableText"/>
            </w:pPr>
          </w:p>
        </w:tc>
        <w:tc>
          <w:tcPr>
            <w:tcW w:w="6522" w:type="dxa"/>
            <w:gridSpan w:val="2"/>
          </w:tcPr>
          <w:p w:rsidR="005B6B8F" w:rsidRDefault="005B6B8F" w:rsidP="005B6B8F">
            <w:pPr>
              <w:pStyle w:val="TableBlock"/>
              <w:numPr>
                <w:ilvl w:val="0"/>
                <w:numId w:val="23"/>
              </w:numPr>
              <w:tabs>
                <w:tab w:val="left" w:pos="624"/>
              </w:tabs>
            </w:pPr>
            <w:r>
              <w:rPr>
                <w:rFonts w:hint="cs"/>
                <w:rtl/>
              </w:rPr>
              <w:t xml:space="preserve">המילים "שאין לו יבוא מסחרי מקביל" </w:t>
            </w:r>
            <w:r>
              <w:rPr>
                <w:rtl/>
              </w:rPr>
              <w:t>–</w:t>
            </w:r>
            <w:r>
              <w:rPr>
                <w:rFonts w:hint="cs"/>
                <w:rtl/>
              </w:rPr>
              <w:t xml:space="preserve"> יימחקו;</w:t>
            </w:r>
          </w:p>
        </w:tc>
      </w:tr>
      <w:tr w:rsidR="005B6B8F">
        <w:trPr>
          <w:cantSplit/>
          <w:trHeight w:val="60"/>
        </w:trPr>
        <w:tc>
          <w:tcPr>
            <w:tcW w:w="1871" w:type="dxa"/>
          </w:tcPr>
          <w:p w:rsidR="005B6B8F" w:rsidRDefault="005B6B8F">
            <w:pPr>
              <w:pStyle w:val="TableSideHeading"/>
            </w:pPr>
          </w:p>
        </w:tc>
        <w:tc>
          <w:tcPr>
            <w:tcW w:w="624" w:type="dxa"/>
          </w:tcPr>
          <w:p w:rsidR="005B6B8F" w:rsidRDefault="005B6B8F" w:rsidP="005B6B8F">
            <w:pPr>
              <w:pStyle w:val="TableText"/>
            </w:pPr>
          </w:p>
        </w:tc>
        <w:tc>
          <w:tcPr>
            <w:tcW w:w="624" w:type="dxa"/>
          </w:tcPr>
          <w:p w:rsidR="005B6B8F" w:rsidRDefault="005B6B8F">
            <w:pPr>
              <w:pStyle w:val="TableText"/>
            </w:pPr>
          </w:p>
        </w:tc>
        <w:tc>
          <w:tcPr>
            <w:tcW w:w="6522" w:type="dxa"/>
            <w:gridSpan w:val="2"/>
          </w:tcPr>
          <w:p w:rsidR="005B6B8F" w:rsidRDefault="005B6B8F" w:rsidP="005B6B8F">
            <w:pPr>
              <w:pStyle w:val="TableBlock"/>
              <w:numPr>
                <w:ilvl w:val="0"/>
                <w:numId w:val="23"/>
              </w:numPr>
              <w:tabs>
                <w:tab w:val="left" w:pos="624"/>
              </w:tabs>
            </w:pPr>
            <w:r>
              <w:rPr>
                <w:rFonts w:hint="cs"/>
                <w:rtl/>
              </w:rPr>
              <w:t>אחרי "מס קניה ומע"מ" יבוא "אגרה או כל תשלום חובה אחר,";</w:t>
            </w:r>
          </w:p>
        </w:tc>
      </w:tr>
      <w:tr w:rsidR="005B6B8F">
        <w:trPr>
          <w:cantSplit/>
          <w:trHeight w:val="60"/>
        </w:trPr>
        <w:tc>
          <w:tcPr>
            <w:tcW w:w="1871" w:type="dxa"/>
          </w:tcPr>
          <w:p w:rsidR="005B6B8F" w:rsidRDefault="005B6B8F">
            <w:pPr>
              <w:pStyle w:val="TableSideHeading"/>
            </w:pPr>
          </w:p>
        </w:tc>
        <w:tc>
          <w:tcPr>
            <w:tcW w:w="624" w:type="dxa"/>
          </w:tcPr>
          <w:p w:rsidR="005B6B8F" w:rsidRDefault="005B6B8F" w:rsidP="005B6B8F">
            <w:pPr>
              <w:pStyle w:val="TableText"/>
            </w:pPr>
          </w:p>
        </w:tc>
        <w:tc>
          <w:tcPr>
            <w:tcW w:w="624" w:type="dxa"/>
          </w:tcPr>
          <w:p w:rsidR="005B6B8F" w:rsidRDefault="005B6B8F">
            <w:pPr>
              <w:pStyle w:val="TableText"/>
            </w:pPr>
          </w:p>
        </w:tc>
        <w:tc>
          <w:tcPr>
            <w:tcW w:w="6522" w:type="dxa"/>
            <w:gridSpan w:val="2"/>
          </w:tcPr>
          <w:p w:rsidR="005B6B8F" w:rsidRDefault="000D567C" w:rsidP="002D51C2">
            <w:pPr>
              <w:pStyle w:val="TableBlock"/>
              <w:numPr>
                <w:ilvl w:val="0"/>
                <w:numId w:val="23"/>
              </w:numPr>
              <w:tabs>
                <w:tab w:val="left" w:pos="624"/>
              </w:tabs>
              <w:ind w:left="624" w:hanging="624"/>
            </w:pPr>
            <w:r>
              <w:rPr>
                <w:rFonts w:hint="cs"/>
                <w:rtl/>
              </w:rPr>
              <w:t>בסופו</w:t>
            </w:r>
            <w:r w:rsidR="005B6B8F">
              <w:rPr>
                <w:rFonts w:hint="cs"/>
                <w:rtl/>
              </w:rPr>
              <w:t xml:space="preserve"> יבוא "והפחתות, </w:t>
            </w:r>
            <w:r>
              <w:rPr>
                <w:rFonts w:hint="cs"/>
                <w:rtl/>
              </w:rPr>
              <w:t xml:space="preserve">והכל </w:t>
            </w:r>
            <w:r w:rsidR="005B6B8F">
              <w:rPr>
                <w:rFonts w:hint="cs"/>
                <w:rtl/>
              </w:rPr>
              <w:t xml:space="preserve">בתוספת 20% רווח סביר ובתוספת פחת שימוש; לעניין זה, "פחת שימוש" </w:t>
            </w:r>
            <w:r w:rsidR="005B6B8F">
              <w:rPr>
                <w:rtl/>
              </w:rPr>
              <w:t>–</w:t>
            </w:r>
            <w:r w:rsidR="005B6B8F">
              <w:rPr>
                <w:rFonts w:hint="cs"/>
                <w:rtl/>
              </w:rPr>
              <w:t xml:space="preserve"> שיעור של 1.25% לכל חודש מהמועד שבו נרשם הרכב לראשונה לתנועה במדינת חוץ עד ייבואו לישראל. "</w:t>
            </w:r>
          </w:p>
        </w:tc>
      </w:tr>
      <w:tr w:rsidR="008D0081" w:rsidTr="005B6B8F">
        <w:trPr>
          <w:cantSplit/>
          <w:trHeight w:val="60"/>
        </w:trPr>
        <w:tc>
          <w:tcPr>
            <w:tcW w:w="1871" w:type="dxa"/>
          </w:tcPr>
          <w:p w:rsidR="008D0081" w:rsidRDefault="008D0081">
            <w:pPr>
              <w:pStyle w:val="TableSideHeading"/>
            </w:pPr>
            <w:r>
              <w:rPr>
                <w:rFonts w:hint="cs"/>
                <w:rtl/>
              </w:rPr>
              <w:t>תחילה</w:t>
            </w:r>
            <w:r w:rsidR="000D567C">
              <w:rPr>
                <w:rFonts w:hint="cs"/>
                <w:rtl/>
              </w:rPr>
              <w:t xml:space="preserve"> ותחולה</w:t>
            </w:r>
          </w:p>
        </w:tc>
        <w:tc>
          <w:tcPr>
            <w:tcW w:w="624" w:type="dxa"/>
          </w:tcPr>
          <w:p w:rsidR="008D0081" w:rsidRDefault="008D0081" w:rsidP="008D0081">
            <w:pPr>
              <w:pStyle w:val="TableText"/>
              <w:numPr>
                <w:ilvl w:val="0"/>
                <w:numId w:val="2"/>
              </w:numPr>
            </w:pPr>
          </w:p>
        </w:tc>
        <w:tc>
          <w:tcPr>
            <w:tcW w:w="7146" w:type="dxa"/>
            <w:gridSpan w:val="3"/>
          </w:tcPr>
          <w:p w:rsidR="008D0081" w:rsidRPr="00C34DE2" w:rsidRDefault="008D0081" w:rsidP="002D51C2">
            <w:pPr>
              <w:pStyle w:val="TableBlock"/>
              <w:numPr>
                <w:ilvl w:val="2"/>
                <w:numId w:val="2"/>
              </w:numPr>
            </w:pPr>
            <w:r>
              <w:rPr>
                <w:rFonts w:hint="cs"/>
                <w:rtl/>
              </w:rPr>
              <w:t>תחילתן של תקנות אלה 30 יום מפרסומן</w:t>
            </w:r>
            <w:r w:rsidR="005B6B8F">
              <w:rPr>
                <w:rFonts w:hint="cs"/>
                <w:rtl/>
              </w:rPr>
              <w:t xml:space="preserve"> (להלן </w:t>
            </w:r>
            <w:r w:rsidR="005B6B8F">
              <w:rPr>
                <w:rtl/>
              </w:rPr>
              <w:t>–</w:t>
            </w:r>
            <w:r w:rsidR="005B6B8F">
              <w:rPr>
                <w:rFonts w:hint="cs"/>
                <w:rtl/>
              </w:rPr>
              <w:t xml:space="preserve"> יום התחילה)</w:t>
            </w:r>
            <w:r>
              <w:rPr>
                <w:rFonts w:hint="cs"/>
                <w:rtl/>
              </w:rPr>
              <w:t xml:space="preserve">. </w:t>
            </w:r>
          </w:p>
        </w:tc>
      </w:tr>
      <w:tr w:rsidR="000D567C" w:rsidTr="005B6B8F">
        <w:trPr>
          <w:cantSplit/>
          <w:trHeight w:val="60"/>
        </w:trPr>
        <w:tc>
          <w:tcPr>
            <w:tcW w:w="1871" w:type="dxa"/>
          </w:tcPr>
          <w:p w:rsidR="000D567C" w:rsidRDefault="000D567C">
            <w:pPr>
              <w:pStyle w:val="TableSideHeading"/>
              <w:rPr>
                <w:rtl/>
              </w:rPr>
            </w:pPr>
          </w:p>
        </w:tc>
        <w:tc>
          <w:tcPr>
            <w:tcW w:w="624" w:type="dxa"/>
          </w:tcPr>
          <w:p w:rsidR="000D567C" w:rsidRDefault="000D567C" w:rsidP="0036514D">
            <w:pPr>
              <w:pStyle w:val="TableText"/>
            </w:pPr>
          </w:p>
        </w:tc>
        <w:tc>
          <w:tcPr>
            <w:tcW w:w="7146" w:type="dxa"/>
            <w:gridSpan w:val="3"/>
          </w:tcPr>
          <w:p w:rsidR="000D567C" w:rsidRDefault="000D567C" w:rsidP="0036514D">
            <w:pPr>
              <w:pStyle w:val="TableBlock"/>
              <w:numPr>
                <w:ilvl w:val="2"/>
                <w:numId w:val="2"/>
              </w:numPr>
              <w:ind w:left="624" w:hanging="624"/>
              <w:rPr>
                <w:rtl/>
              </w:rPr>
            </w:pPr>
            <w:r>
              <w:rPr>
                <w:rFonts w:hint="cs"/>
                <w:rtl/>
              </w:rPr>
              <w:t xml:space="preserve">תקנה 1 לא תחול על רכב שהופחתה לגביו האגרה לפי </w:t>
            </w:r>
            <w:r w:rsidRPr="000D567C">
              <w:rPr>
                <w:rtl/>
              </w:rPr>
              <w:t>פרט משנה (ב3)</w:t>
            </w:r>
            <w:r>
              <w:rPr>
                <w:rFonts w:hint="cs"/>
                <w:rtl/>
              </w:rPr>
              <w:t>(2)(א) ו-(ב)</w:t>
            </w:r>
            <w:r w:rsidRPr="000D567C">
              <w:rPr>
                <w:rtl/>
              </w:rPr>
              <w:t xml:space="preserve"> בפרט 2 בחלק ג' לתוספת הראשונה</w:t>
            </w:r>
            <w:r>
              <w:rPr>
                <w:rFonts w:hint="cs"/>
                <w:rtl/>
              </w:rPr>
              <w:t xml:space="preserve"> לתקנות העיקריות.</w:t>
            </w:r>
          </w:p>
        </w:tc>
      </w:tr>
      <w:tr w:rsidR="005B6B8F" w:rsidTr="005B6B8F">
        <w:trPr>
          <w:cantSplit/>
          <w:trHeight w:val="60"/>
        </w:trPr>
        <w:tc>
          <w:tcPr>
            <w:tcW w:w="1871" w:type="dxa"/>
          </w:tcPr>
          <w:p w:rsidR="005B6B8F" w:rsidRDefault="005B6B8F" w:rsidP="005B6B8F">
            <w:pPr>
              <w:pStyle w:val="TableSideHeading"/>
              <w:rPr>
                <w:rtl/>
              </w:rPr>
            </w:pPr>
            <w:r>
              <w:rPr>
                <w:rFonts w:hint="cs"/>
                <w:rtl/>
              </w:rPr>
              <w:t>הוראת מעבר</w:t>
            </w:r>
          </w:p>
        </w:tc>
        <w:tc>
          <w:tcPr>
            <w:tcW w:w="624" w:type="dxa"/>
          </w:tcPr>
          <w:p w:rsidR="005B6B8F" w:rsidRDefault="005B6B8F" w:rsidP="002D51C2">
            <w:pPr>
              <w:pStyle w:val="TableText"/>
              <w:numPr>
                <w:ilvl w:val="0"/>
                <w:numId w:val="2"/>
              </w:numPr>
            </w:pPr>
          </w:p>
        </w:tc>
        <w:tc>
          <w:tcPr>
            <w:tcW w:w="7146" w:type="dxa"/>
            <w:gridSpan w:val="3"/>
          </w:tcPr>
          <w:p w:rsidR="005B6B8F" w:rsidRDefault="002D51C2">
            <w:pPr>
              <w:pStyle w:val="TableBlock"/>
              <w:rPr>
                <w:rtl/>
              </w:rPr>
            </w:pPr>
            <w:r>
              <w:rPr>
                <w:rFonts w:hint="cs"/>
                <w:rtl/>
              </w:rPr>
              <w:t>רכב אשר ביום התחילה סכום האגרה לגביו הופחת לפי פרט משנה (ב3) בחלק ג' לתוספת הראשונה, תופחת האגרה במועד חידוש רישיון הרכב הראשון אחרי יום התחילה, בסכום ההפרש שבין בין 1,500 ₪ לסכום המצטבר שהופחת לו לפני יום התחילה, ובלבד שסכום האגרה לתשלום אחרי ההפחתה לא יפחת מעשרה שקלים חדשים, בתוספת הסכום הנוסף לפי סעיף 84 לפקודה.</w:t>
            </w:r>
          </w:p>
        </w:tc>
      </w:tr>
    </w:tbl>
    <w:p w:rsidR="00597419" w:rsidRDefault="00597419" w:rsidP="00722C14"/>
    <w:p w:rsidR="00233B87" w:rsidRDefault="00233B87" w:rsidP="00233B87"/>
    <w:p w:rsidR="00597419" w:rsidRPr="00233B87" w:rsidRDefault="00597419" w:rsidP="00722C14">
      <w:pPr>
        <w:rPr>
          <w:rtl/>
        </w:rPr>
      </w:pPr>
    </w:p>
    <w:p w:rsidR="00597419" w:rsidRDefault="00597419" w:rsidP="003268AC">
      <w:pPr>
        <w:rPr>
          <w:rFonts w:eastAsia="Calibri"/>
          <w:rtl/>
        </w:rPr>
      </w:pPr>
      <w:r>
        <w:rPr>
          <w:rFonts w:eastAsia="Calibri" w:hint="cs"/>
          <w:rtl/>
        </w:rPr>
        <w:t xml:space="preserve">___ ב________ </w:t>
      </w:r>
      <w:proofErr w:type="spellStart"/>
      <w:r>
        <w:rPr>
          <w:rFonts w:eastAsia="Calibri" w:hint="cs"/>
          <w:rtl/>
        </w:rPr>
        <w:t>התש</w:t>
      </w:r>
      <w:r w:rsidR="003268AC">
        <w:rPr>
          <w:rFonts w:eastAsia="Calibri" w:hint="cs"/>
          <w:rtl/>
        </w:rPr>
        <w:t>ע"ט</w:t>
      </w:r>
      <w:proofErr w:type="spellEnd"/>
      <w:r w:rsidR="003268AC">
        <w:rPr>
          <w:rFonts w:eastAsia="Calibri" w:hint="cs"/>
          <w:rtl/>
        </w:rPr>
        <w:t xml:space="preserve"> </w:t>
      </w:r>
      <w:r>
        <w:rPr>
          <w:rFonts w:eastAsia="Calibri" w:hint="cs"/>
          <w:rtl/>
        </w:rPr>
        <w:t xml:space="preserve">(___ ב________ </w:t>
      </w:r>
      <w:r w:rsidR="003268AC">
        <w:rPr>
          <w:rFonts w:eastAsia="Calibri" w:hint="cs"/>
          <w:rtl/>
        </w:rPr>
        <w:t>2019</w:t>
      </w:r>
      <w:r>
        <w:rPr>
          <w:rFonts w:eastAsia="Calibri" w:hint="cs"/>
          <w:rtl/>
        </w:rPr>
        <w:t>)</w:t>
      </w:r>
    </w:p>
    <w:p w:rsidR="00597419" w:rsidRDefault="003268AC" w:rsidP="00722C14">
      <w:pPr>
        <w:rPr>
          <w:rtl/>
        </w:rPr>
      </w:pPr>
      <w:r>
        <w:rPr>
          <w:rFonts w:hint="cs"/>
          <w:rtl/>
        </w:rPr>
        <w:t xml:space="preserve"> </w:t>
      </w:r>
      <w:r w:rsidR="00597419">
        <w:rPr>
          <w:rFonts w:hint="cs"/>
          <w:rtl/>
        </w:rPr>
        <w:t>(</w:t>
      </w:r>
      <w:proofErr w:type="spellStart"/>
      <w:r w:rsidR="00597419">
        <w:rPr>
          <w:rFonts w:hint="cs"/>
          <w:rtl/>
        </w:rPr>
        <w:t>חמ</w:t>
      </w:r>
      <w:proofErr w:type="spellEnd"/>
      <w:r w:rsidR="00597419">
        <w:rPr>
          <w:rFonts w:hint="cs"/>
          <w:rtl/>
        </w:rPr>
        <w:t xml:space="preserve"> _____-3)</w:t>
      </w:r>
    </w:p>
    <w:p w:rsidR="00597419" w:rsidRDefault="00597419" w:rsidP="00722C14">
      <w:pPr>
        <w:rPr>
          <w:rtl/>
        </w:rPr>
      </w:pPr>
    </w:p>
    <w:p w:rsidR="00597419" w:rsidRDefault="00597419" w:rsidP="003268AC">
      <w:pPr>
        <w:ind w:left="5760"/>
        <w:jc w:val="center"/>
        <w:rPr>
          <w:rtl/>
        </w:rPr>
      </w:pPr>
      <w:r>
        <w:rPr>
          <w:rFonts w:hint="cs"/>
          <w:rtl/>
        </w:rPr>
        <w:t>__________________</w:t>
      </w:r>
    </w:p>
    <w:p w:rsidR="00597419" w:rsidRDefault="00C20421" w:rsidP="00722C14">
      <w:pPr>
        <w:ind w:left="5760"/>
        <w:jc w:val="center"/>
        <w:rPr>
          <w:rtl/>
        </w:rPr>
      </w:pPr>
      <w:r>
        <w:rPr>
          <w:rFonts w:hint="cs"/>
          <w:rtl/>
        </w:rPr>
        <w:t xml:space="preserve">ישראל </w:t>
      </w:r>
      <w:proofErr w:type="spellStart"/>
      <w:r>
        <w:rPr>
          <w:rFonts w:hint="cs"/>
          <w:rtl/>
        </w:rPr>
        <w:t>כ"ץ</w:t>
      </w:r>
      <w:proofErr w:type="spellEnd"/>
    </w:p>
    <w:p w:rsidR="00597419" w:rsidRDefault="003268AC" w:rsidP="00722C14">
      <w:pPr>
        <w:ind w:left="5760"/>
        <w:jc w:val="center"/>
        <w:rPr>
          <w:rtl/>
        </w:rPr>
      </w:pPr>
      <w:r>
        <w:rPr>
          <w:rFonts w:hint="cs"/>
          <w:rtl/>
        </w:rPr>
        <w:t>שר התחבורה והבטיחות בדרכים</w:t>
      </w:r>
    </w:p>
    <w:p w:rsidR="00597419" w:rsidRDefault="00597419" w:rsidP="00722C14">
      <w:pPr>
        <w:rPr>
          <w:rtl/>
        </w:rPr>
      </w:pPr>
    </w:p>
    <w:p w:rsidR="00597419" w:rsidRDefault="00597419" w:rsidP="00722C14">
      <w:pPr>
        <w:pStyle w:val="HeadDivreiHesber"/>
        <w:rPr>
          <w:rtl/>
        </w:rPr>
      </w:pPr>
      <w:r>
        <w:rPr>
          <w:rtl/>
        </w:rPr>
        <w:t>דברי הסבר</w:t>
      </w:r>
    </w:p>
    <w:p w:rsidR="00597419" w:rsidRDefault="00597419" w:rsidP="00722C14">
      <w:pPr>
        <w:pStyle w:val="Hesber1st"/>
        <w:tabs>
          <w:tab w:val="clear" w:pos="680"/>
        </w:tabs>
        <w:rPr>
          <w:rtl/>
        </w:rPr>
      </w:pPr>
    </w:p>
    <w:p w:rsidR="006F22CB" w:rsidRPr="00E75559" w:rsidRDefault="0036514D">
      <w:pPr>
        <w:rPr>
          <w:b/>
          <w:bCs/>
          <w:rtl/>
        </w:rPr>
      </w:pPr>
      <w:r>
        <w:rPr>
          <w:rFonts w:hint="cs"/>
          <w:b/>
          <w:bCs/>
          <w:rtl/>
        </w:rPr>
        <w:t xml:space="preserve">תקנה  (1)1 </w:t>
      </w:r>
    </w:p>
    <w:p w:rsidR="003F31B4" w:rsidRPr="00E75559" w:rsidRDefault="003F31B4" w:rsidP="0036514D">
      <w:pPr>
        <w:spacing w:before="120" w:after="120"/>
        <w:rPr>
          <w:rtl/>
        </w:rPr>
      </w:pPr>
      <w:r w:rsidRPr="00E75559">
        <w:rPr>
          <w:rFonts w:hint="cs"/>
          <w:rtl/>
        </w:rPr>
        <w:t>תחום בטיחות כלי הרכב מאופיין בשנים האחרונות בהתפתחו</w:t>
      </w:r>
      <w:r w:rsidRPr="00E75559">
        <w:rPr>
          <w:rFonts w:hint="eastAsia"/>
          <w:rtl/>
        </w:rPr>
        <w:t>ת</w:t>
      </w:r>
      <w:r w:rsidRPr="00E75559">
        <w:rPr>
          <w:rFonts w:hint="cs"/>
          <w:rtl/>
        </w:rPr>
        <w:t xml:space="preserve"> טכנולוגית מהירה ופיתוח מערכות חדשניות מגוונות אשר מסייעות למנוע תאונה ו/או למזער את נזקי הפגיעה בנפש וברכוש. </w:t>
      </w:r>
    </w:p>
    <w:p w:rsidR="003F31B4" w:rsidRPr="00E75559" w:rsidRDefault="003F31B4" w:rsidP="0036514D">
      <w:pPr>
        <w:spacing w:before="120" w:after="120"/>
        <w:rPr>
          <w:rtl/>
        </w:rPr>
      </w:pPr>
      <w:r w:rsidRPr="00E75559">
        <w:rPr>
          <w:rFonts w:hint="cs"/>
          <w:rtl/>
        </w:rPr>
        <w:t xml:space="preserve">משרד התחבורה ורשות המסים מייחסים חשיבות רבה לקידום השימוש במערכות בטיחות בכלי רכב. </w:t>
      </w:r>
      <w:r w:rsidRPr="00E75559">
        <w:rPr>
          <w:rtl/>
        </w:rPr>
        <w:t>החל מה- 1 באוגוסט 2013, מ</w:t>
      </w:r>
      <w:r w:rsidRPr="00E75559">
        <w:rPr>
          <w:rFonts w:hint="cs"/>
          <w:rtl/>
        </w:rPr>
        <w:t>ו</w:t>
      </w:r>
      <w:r w:rsidRPr="00E75559">
        <w:rPr>
          <w:rtl/>
        </w:rPr>
        <w:t>ענקים תמריצי מס</w:t>
      </w:r>
      <w:r w:rsidRPr="00E75559">
        <w:rPr>
          <w:rFonts w:hint="cs"/>
          <w:rtl/>
        </w:rPr>
        <w:t xml:space="preserve"> </w:t>
      </w:r>
      <w:r w:rsidRPr="00E75559">
        <w:rPr>
          <w:rtl/>
        </w:rPr>
        <w:t>לכלי רכב המאובזרים במערכות בטיחות, זאת על מנת לעודד ייבוא ורכישה של כלי רכב מאובזרים ובטיחותיים יותר, לעורר את מודעות הציבור לנושא ולהפחית את מספר תאונות הדרכים.</w:t>
      </w:r>
      <w:r w:rsidRPr="00E75559">
        <w:rPr>
          <w:rFonts w:hint="cs"/>
          <w:rtl/>
        </w:rPr>
        <w:t xml:space="preserve"> </w:t>
      </w:r>
    </w:p>
    <w:p w:rsidR="003F31B4" w:rsidRPr="00E75559" w:rsidRDefault="003F31B4" w:rsidP="0036514D">
      <w:pPr>
        <w:spacing w:before="120" w:after="120"/>
        <w:rPr>
          <w:rtl/>
        </w:rPr>
      </w:pPr>
      <w:r w:rsidRPr="00E75559">
        <w:rPr>
          <w:rFonts w:hint="cs"/>
          <w:rtl/>
        </w:rPr>
        <w:t xml:space="preserve">ההטבה ניתנה עבור מערכות בטיחות שהותקנו בכלי רכב חדשים על ידי יצרני הרכב בפס הייצור של הרכב, כאשר </w:t>
      </w:r>
      <w:r w:rsidRPr="00E75559">
        <w:rPr>
          <w:rtl/>
        </w:rPr>
        <w:t>בסוף</w:t>
      </w:r>
      <w:r w:rsidRPr="00E75559">
        <w:rPr>
          <w:rFonts w:hint="cs"/>
          <w:rtl/>
        </w:rPr>
        <w:t xml:space="preserve"> חודש</w:t>
      </w:r>
      <w:r w:rsidRPr="00E75559">
        <w:rPr>
          <w:rtl/>
        </w:rPr>
        <w:t xml:space="preserve"> ספטמבר </w:t>
      </w:r>
      <w:r w:rsidRPr="00E75559">
        <w:rPr>
          <w:rFonts w:hint="cs"/>
          <w:rtl/>
        </w:rPr>
        <w:t>2013 אושר מתן ההטבה לגבי</w:t>
      </w:r>
      <w:r w:rsidRPr="00E75559">
        <w:rPr>
          <w:rtl/>
        </w:rPr>
        <w:t xml:space="preserve"> התקנה מקומית של מערכות בטיחות בכלי רכב</w:t>
      </w:r>
      <w:r w:rsidRPr="00E75559">
        <w:rPr>
          <w:rFonts w:hint="cs"/>
          <w:rtl/>
        </w:rPr>
        <w:t xml:space="preserve"> חדשים בידי היבואן. הדבר נועד לקדם את השימוש במערכות בטיחות בכלי רכב המיובאים לישראל גם בדגמים עממיים שבהם רמת החדירה של מערכות אלה נמוכה יחסית.</w:t>
      </w:r>
    </w:p>
    <w:p w:rsidR="003F31B4" w:rsidRPr="00E75559" w:rsidRDefault="003F31B4" w:rsidP="0036514D">
      <w:pPr>
        <w:spacing w:before="120" w:after="120"/>
        <w:rPr>
          <w:rtl/>
        </w:rPr>
      </w:pPr>
      <w:r w:rsidRPr="00E75559">
        <w:rPr>
          <w:rFonts w:hint="cs"/>
          <w:rtl/>
        </w:rPr>
        <w:t xml:space="preserve">תמריצי המס שניתנו שינו את תמונת המצב ושיפרו באופן משמעותי את רמת הבטיחות של כלי הרכב המיובאים. </w:t>
      </w:r>
    </w:p>
    <w:p w:rsidR="003F31B4" w:rsidRPr="00E75559" w:rsidRDefault="003F31B4" w:rsidP="0036514D">
      <w:pPr>
        <w:spacing w:before="120" w:after="120"/>
        <w:rPr>
          <w:b/>
          <w:bCs/>
          <w:u w:val="single"/>
          <w:rtl/>
        </w:rPr>
      </w:pPr>
      <w:r w:rsidRPr="00E75559">
        <w:rPr>
          <w:rFonts w:hint="cs"/>
          <w:rtl/>
        </w:rPr>
        <w:t xml:space="preserve">כיום בהתקנה מקומית ניתן להתקין מערכות הבטיחות כדוגמת מערכת סטייה מנתיב, שמירת מרחק מלפנים, זיהוי הולכי רגל, זיהוי תמרורים ומערכות אורות בכלי רכב החל משנת יצור 2000. </w:t>
      </w:r>
    </w:p>
    <w:p w:rsidR="003F31B4" w:rsidRPr="00E75559" w:rsidRDefault="003F31B4" w:rsidP="0036514D">
      <w:pPr>
        <w:spacing w:before="120" w:after="120"/>
        <w:rPr>
          <w:rtl/>
        </w:rPr>
      </w:pPr>
      <w:r w:rsidRPr="00E75559">
        <w:rPr>
          <w:rFonts w:hint="cs"/>
          <w:rtl/>
        </w:rPr>
        <w:t>מאחר והטבות לכלי רכב חדשים באות לידי ביטוי במס הקניה ביקש המשרד לעודד התקנה של מערכות בטיחות גם בכלי רכב שאינם חדשים, באמצעות הפחתת אגרות הרישוי השנתיות.</w:t>
      </w:r>
    </w:p>
    <w:p w:rsidR="003F31B4" w:rsidRPr="00E75559" w:rsidRDefault="003F31B4" w:rsidP="0036514D">
      <w:pPr>
        <w:spacing w:before="120" w:after="120"/>
        <w:rPr>
          <w:rtl/>
        </w:rPr>
      </w:pPr>
      <w:r w:rsidRPr="00E75559">
        <w:rPr>
          <w:rtl/>
        </w:rPr>
        <w:lastRenderedPageBreak/>
        <w:t xml:space="preserve">אגרה בעד רישיון לכלי רכב קבועה בחלק ג בתוספת הראשונה לתקנות התעבורה, </w:t>
      </w:r>
      <w:proofErr w:type="spellStart"/>
      <w:r w:rsidRPr="00E75559">
        <w:rPr>
          <w:rtl/>
        </w:rPr>
        <w:t>התשכ"א</w:t>
      </w:r>
      <w:proofErr w:type="spellEnd"/>
      <w:r w:rsidRPr="00E75559">
        <w:rPr>
          <w:rtl/>
        </w:rPr>
        <w:t>- 1961 (להלן "</w:t>
      </w:r>
      <w:r w:rsidRPr="00E75559">
        <w:rPr>
          <w:b/>
          <w:bCs/>
          <w:rtl/>
        </w:rPr>
        <w:t>התקנות</w:t>
      </w:r>
      <w:r w:rsidRPr="00E75559">
        <w:rPr>
          <w:rtl/>
        </w:rPr>
        <w:t xml:space="preserve">"). </w:t>
      </w:r>
    </w:p>
    <w:p w:rsidR="003F31B4" w:rsidRPr="00E75559" w:rsidRDefault="003F31B4" w:rsidP="0036514D">
      <w:pPr>
        <w:spacing w:before="120" w:after="120"/>
        <w:rPr>
          <w:rtl/>
        </w:rPr>
      </w:pPr>
      <w:r w:rsidRPr="00E75559">
        <w:rPr>
          <w:rtl/>
        </w:rPr>
        <w:t>על-פי התקנות,</w:t>
      </w:r>
      <w:r w:rsidRPr="00E75559">
        <w:rPr>
          <w:rFonts w:hint="cs"/>
          <w:rtl/>
        </w:rPr>
        <w:t xml:space="preserve"> </w:t>
      </w:r>
      <w:r w:rsidRPr="00E75559">
        <w:rPr>
          <w:rtl/>
        </w:rPr>
        <w:t xml:space="preserve">האגרה </w:t>
      </w:r>
      <w:r w:rsidRPr="00E75559">
        <w:rPr>
          <w:rFonts w:hint="cs"/>
          <w:rtl/>
        </w:rPr>
        <w:t>מופחתת</w:t>
      </w:r>
      <w:r w:rsidRPr="00E75559">
        <w:rPr>
          <w:rtl/>
        </w:rPr>
        <w:t xml:space="preserve"> בסכום כולל של 1,500 </w:t>
      </w:r>
      <w:r w:rsidRPr="00E75559">
        <w:rPr>
          <w:rFonts w:hint="cs"/>
          <w:rtl/>
        </w:rPr>
        <w:t>ש"ח עבור כל רכב שהותקנו בו מערכות בטיחות. ההטבה ניתנת על פני שלוש שנים כאשר בשנתיים הראשונות מופחתת אגרת הרישוי ב- 700 ש"ח בכל שנה ו- 100 ש"ח נוספים בשנה השלישית.</w:t>
      </w:r>
    </w:p>
    <w:p w:rsidR="003F31B4" w:rsidRPr="00E75559" w:rsidRDefault="003F31B4" w:rsidP="0036514D">
      <w:pPr>
        <w:spacing w:before="120" w:after="120"/>
        <w:rPr>
          <w:rtl/>
        </w:rPr>
      </w:pPr>
      <w:r w:rsidRPr="00E75559">
        <w:rPr>
          <w:rFonts w:hint="cs"/>
          <w:rtl/>
        </w:rPr>
        <w:t xml:space="preserve">על פי נתוני ההתקנות שבוצעו עד כה עולה כי החל משנת 2017 מערכות בטיחות בהתקנה מקומית (בכלי רכב שאינם חדשים) הותקנו רק </w:t>
      </w:r>
      <w:proofErr w:type="spellStart"/>
      <w:r w:rsidRPr="00E75559">
        <w:rPr>
          <w:rFonts w:hint="cs"/>
          <w:rtl/>
        </w:rPr>
        <w:t>בכ</w:t>
      </w:r>
      <w:proofErr w:type="spellEnd"/>
      <w:r w:rsidRPr="00E75559">
        <w:rPr>
          <w:rFonts w:hint="cs"/>
          <w:rtl/>
        </w:rPr>
        <w:t xml:space="preserve">- 40 אלף כלי רכב פרטיים, המהווים כ- 2% ממצבת כלי הרכב משנת ייצור 2000 ואילך. </w:t>
      </w:r>
    </w:p>
    <w:p w:rsidR="003F31B4" w:rsidRPr="00E75559" w:rsidRDefault="003F31B4" w:rsidP="0036514D">
      <w:pPr>
        <w:spacing w:before="120" w:after="120"/>
        <w:rPr>
          <w:rtl/>
        </w:rPr>
      </w:pPr>
      <w:r w:rsidRPr="00E75559">
        <w:rPr>
          <w:rFonts w:hint="cs"/>
          <w:rtl/>
        </w:rPr>
        <w:t>מבדיקה שערכנו התברר כי פריסת ההטבה על פני שלוש שנים, בניגוד לתשלום חד פעמי אותו נדרשים לשלם בעלי הרכב בעד ההתקנה, היא אחת הסיבות למיעוט ההתקנות.</w:t>
      </w:r>
    </w:p>
    <w:p w:rsidR="003F31B4" w:rsidRPr="00E75559" w:rsidRDefault="003F31B4" w:rsidP="0036514D">
      <w:pPr>
        <w:spacing w:before="120" w:after="120"/>
        <w:rPr>
          <w:rtl/>
        </w:rPr>
      </w:pPr>
      <w:r w:rsidRPr="00E75559">
        <w:rPr>
          <w:rFonts w:hint="cs"/>
          <w:rtl/>
        </w:rPr>
        <w:t xml:space="preserve">על מנת לעודד התקנה של מערכות בטיחות אנו מבקשים לקבוע כי </w:t>
      </w:r>
      <w:r w:rsidRPr="00E75559">
        <w:rPr>
          <w:rtl/>
        </w:rPr>
        <w:t>האגרה תופחת</w:t>
      </w:r>
      <w:r w:rsidRPr="00E75559">
        <w:rPr>
          <w:rFonts w:hint="cs"/>
          <w:rtl/>
        </w:rPr>
        <w:t xml:space="preserve"> בפעימה אחת</w:t>
      </w:r>
      <w:r w:rsidRPr="00E75559">
        <w:rPr>
          <w:rtl/>
        </w:rPr>
        <w:t xml:space="preserve"> בסכום של 1,500 </w:t>
      </w:r>
      <w:r w:rsidRPr="00E75559">
        <w:rPr>
          <w:rFonts w:hint="cs"/>
          <w:rtl/>
        </w:rPr>
        <w:t>ש"ח</w:t>
      </w:r>
      <w:r w:rsidRPr="00E75559">
        <w:rPr>
          <w:rtl/>
        </w:rPr>
        <w:t xml:space="preserve"> ובלבד שסכום האגרה לתשלום אחרי ההפחתה לא יפחת מעשרה שקלים</w:t>
      </w:r>
      <w:r w:rsidRPr="00E75559">
        <w:rPr>
          <w:rFonts w:hint="cs"/>
          <w:rtl/>
        </w:rPr>
        <w:t xml:space="preserve">. התיקון יחול גם על אגרות </w:t>
      </w:r>
      <w:r w:rsidRPr="00E75559">
        <w:rPr>
          <w:rtl/>
        </w:rPr>
        <w:t xml:space="preserve">רכב שכבר </w:t>
      </w:r>
      <w:r w:rsidRPr="00E75559">
        <w:rPr>
          <w:rFonts w:hint="cs"/>
          <w:rtl/>
        </w:rPr>
        <w:t>הופחתו במועד חידוש הרכב הראשון לאחר ההתקנה</w:t>
      </w:r>
      <w:r w:rsidRPr="00E75559">
        <w:rPr>
          <w:rtl/>
        </w:rPr>
        <w:t xml:space="preserve">. </w:t>
      </w:r>
    </w:p>
    <w:p w:rsidR="003F31B4" w:rsidRPr="00E75559" w:rsidRDefault="003F31B4" w:rsidP="0036514D">
      <w:pPr>
        <w:spacing w:before="120" w:after="120"/>
        <w:rPr>
          <w:rtl/>
        </w:rPr>
      </w:pPr>
      <w:r w:rsidRPr="00E75559">
        <w:rPr>
          <w:rFonts w:hint="cs"/>
          <w:rtl/>
        </w:rPr>
        <w:t xml:space="preserve">כלומר, </w:t>
      </w:r>
      <w:r w:rsidRPr="00E75559">
        <w:rPr>
          <w:rtl/>
        </w:rPr>
        <w:t xml:space="preserve">כלי רכב </w:t>
      </w:r>
      <w:r w:rsidRPr="00E75559">
        <w:rPr>
          <w:rFonts w:hint="cs"/>
          <w:rtl/>
        </w:rPr>
        <w:t>שהאגרה בעדם</w:t>
      </w:r>
      <w:r w:rsidRPr="00E75559">
        <w:rPr>
          <w:rtl/>
        </w:rPr>
        <w:t xml:space="preserve"> </w:t>
      </w:r>
      <w:r w:rsidRPr="00E75559">
        <w:rPr>
          <w:rFonts w:hint="cs"/>
          <w:rtl/>
        </w:rPr>
        <w:t xml:space="preserve">נמוכה מ- </w:t>
      </w:r>
      <w:r w:rsidRPr="00E75559">
        <w:rPr>
          <w:rtl/>
        </w:rPr>
        <w:t xml:space="preserve">1,510 </w:t>
      </w:r>
      <w:r w:rsidRPr="00E75559">
        <w:rPr>
          <w:rFonts w:hint="cs"/>
          <w:rtl/>
        </w:rPr>
        <w:t>ש"ח</w:t>
      </w:r>
      <w:r w:rsidRPr="00E75559">
        <w:rPr>
          <w:rtl/>
        </w:rPr>
        <w:t xml:space="preserve"> יקבלו בתשלום הראשון הטבה של  רוב סכום האגרה כך שיישאר תשלום של 10 </w:t>
      </w:r>
      <w:r w:rsidRPr="00E75559">
        <w:rPr>
          <w:rFonts w:hint="cs"/>
          <w:rtl/>
        </w:rPr>
        <w:t>ש"ח</w:t>
      </w:r>
      <w:r w:rsidRPr="00E75559">
        <w:rPr>
          <w:rtl/>
        </w:rPr>
        <w:t xml:space="preserve"> ואת יתר ההטבה יקבלו בשנים הבאות</w:t>
      </w:r>
      <w:r w:rsidRPr="00E75559">
        <w:rPr>
          <w:rFonts w:hint="cs"/>
          <w:rtl/>
        </w:rPr>
        <w:t xml:space="preserve">. </w:t>
      </w:r>
    </w:p>
    <w:p w:rsidR="003F31B4" w:rsidRPr="00E75559" w:rsidRDefault="003F31B4" w:rsidP="0036514D">
      <w:pPr>
        <w:spacing w:before="120" w:after="120"/>
        <w:rPr>
          <w:b/>
          <w:bCs/>
          <w:rtl/>
        </w:rPr>
      </w:pPr>
    </w:p>
    <w:p w:rsidR="00E75559" w:rsidRPr="00E75559" w:rsidRDefault="00E75559" w:rsidP="0036514D">
      <w:pPr>
        <w:spacing w:before="120" w:after="120"/>
        <w:rPr>
          <w:b/>
          <w:bCs/>
          <w:rtl/>
        </w:rPr>
      </w:pPr>
      <w:r w:rsidRPr="00E75559">
        <w:rPr>
          <w:rFonts w:hint="cs"/>
          <w:b/>
          <w:bCs/>
          <w:rtl/>
        </w:rPr>
        <w:t xml:space="preserve">תקנה </w:t>
      </w:r>
      <w:r w:rsidR="0036514D">
        <w:rPr>
          <w:rFonts w:hint="cs"/>
          <w:b/>
          <w:bCs/>
          <w:rtl/>
        </w:rPr>
        <w:t>1(2)</w:t>
      </w:r>
    </w:p>
    <w:p w:rsidR="00E75559" w:rsidRDefault="00E75559" w:rsidP="0036514D">
      <w:pPr>
        <w:spacing w:before="120" w:after="120"/>
        <w:rPr>
          <w:rtl/>
        </w:rPr>
      </w:pPr>
      <w:r w:rsidRPr="00E75559">
        <w:rPr>
          <w:rFonts w:hint="cs"/>
          <w:rtl/>
        </w:rPr>
        <w:t xml:space="preserve">אגרת רישיון רכב חשמלי נקבעה בפרט 3(א) </w:t>
      </w:r>
      <w:r>
        <w:rPr>
          <w:rFonts w:hint="cs"/>
          <w:rtl/>
        </w:rPr>
        <w:t xml:space="preserve">לחלק ג' לתוספת הראשונה לתקנות. מחמת טעות בניסוח של פרט משנה זה, עולה כי האגרה מתייחסת לסוגי הרכב המנויים ברישא לפרט המשנה, "אשר מופעלים על ידי מנוע בנזין", כאשר מבחינת מבנה המשפט, גם רכב חשמלי צ"ל מופעל על ידי מנוע בנזין. </w:t>
      </w:r>
    </w:p>
    <w:p w:rsidR="00E75559" w:rsidRDefault="00E75559" w:rsidP="0036514D">
      <w:pPr>
        <w:spacing w:before="120" w:after="120"/>
        <w:rPr>
          <w:rtl/>
        </w:rPr>
      </w:pPr>
      <w:r>
        <w:rPr>
          <w:rFonts w:hint="cs"/>
          <w:rtl/>
        </w:rPr>
        <w:t xml:space="preserve">מוצע להסיר את אי הבהירות בניסוח פרט המשנה, ולרשום את הרכב החשמלי לאחר פירוט סוגי הרכב המופעלים במנוע בנזין. </w:t>
      </w:r>
    </w:p>
    <w:p w:rsidR="0036514D" w:rsidRPr="00E75559" w:rsidRDefault="0036514D" w:rsidP="0036514D">
      <w:pPr>
        <w:spacing w:before="120" w:after="120"/>
        <w:rPr>
          <w:rtl/>
        </w:rPr>
      </w:pPr>
    </w:p>
    <w:p w:rsidR="001C37CE" w:rsidRPr="00E75559" w:rsidRDefault="001C37CE" w:rsidP="0036514D">
      <w:pPr>
        <w:spacing w:before="120" w:after="120"/>
        <w:rPr>
          <w:b/>
          <w:bCs/>
          <w:rtl/>
        </w:rPr>
      </w:pPr>
      <w:r w:rsidRPr="00E75559">
        <w:rPr>
          <w:rFonts w:hint="cs"/>
          <w:b/>
          <w:bCs/>
          <w:rtl/>
        </w:rPr>
        <w:t xml:space="preserve">תקנה </w:t>
      </w:r>
      <w:r w:rsidR="0036514D">
        <w:rPr>
          <w:rFonts w:hint="cs"/>
          <w:b/>
          <w:bCs/>
          <w:rtl/>
        </w:rPr>
        <w:t>1(3)</w:t>
      </w:r>
    </w:p>
    <w:p w:rsidR="001C37CE" w:rsidRPr="00E75559" w:rsidRDefault="001C37CE" w:rsidP="0036514D">
      <w:pPr>
        <w:spacing w:before="120" w:after="120"/>
        <w:rPr>
          <w:rtl/>
        </w:rPr>
      </w:pPr>
      <w:r w:rsidRPr="00E75559">
        <w:rPr>
          <w:rFonts w:hint="cs"/>
          <w:rtl/>
        </w:rPr>
        <w:t xml:space="preserve">אגרה בעד רישיון לכלי רכב קבועה בחלק ג בתוספת הראשונה לתקנות. </w:t>
      </w:r>
      <w:r w:rsidRPr="00E75559">
        <w:rPr>
          <w:rtl/>
        </w:rPr>
        <w:t xml:space="preserve">על-פי </w:t>
      </w:r>
      <w:r w:rsidRPr="00E75559">
        <w:rPr>
          <w:rFonts w:hint="cs"/>
          <w:rtl/>
        </w:rPr>
        <w:t>ה</w:t>
      </w:r>
      <w:r w:rsidRPr="00E75559">
        <w:rPr>
          <w:rtl/>
        </w:rPr>
        <w:t>תקנות, מסווגים כלי רכב הנרשמים לתנועה במדינת ישראל לקבוצות מחיר בהתאם ל</w:t>
      </w:r>
      <w:r w:rsidRPr="00E75559">
        <w:rPr>
          <w:rFonts w:hint="cs"/>
          <w:rtl/>
        </w:rPr>
        <w:t>"</w:t>
      </w:r>
      <w:r w:rsidRPr="00E75559">
        <w:rPr>
          <w:rtl/>
        </w:rPr>
        <w:t>מחיר הרכב לצרכן</w:t>
      </w:r>
      <w:r w:rsidRPr="00E75559">
        <w:rPr>
          <w:rFonts w:hint="cs"/>
          <w:rtl/>
        </w:rPr>
        <w:t>"</w:t>
      </w:r>
      <w:r w:rsidRPr="00E75559">
        <w:rPr>
          <w:rtl/>
        </w:rPr>
        <w:t xml:space="preserve">, אשר מוגדר בנספח א' </w:t>
      </w:r>
      <w:r w:rsidRPr="00E75559">
        <w:rPr>
          <w:rFonts w:hint="cs"/>
          <w:rtl/>
        </w:rPr>
        <w:t>ב</w:t>
      </w:r>
      <w:r w:rsidRPr="00E75559">
        <w:rPr>
          <w:rtl/>
        </w:rPr>
        <w:t xml:space="preserve">תוספת </w:t>
      </w:r>
      <w:r w:rsidRPr="00E75559">
        <w:rPr>
          <w:rFonts w:hint="cs"/>
          <w:rtl/>
        </w:rPr>
        <w:t>ה</w:t>
      </w:r>
      <w:r w:rsidRPr="00E75559">
        <w:rPr>
          <w:rtl/>
        </w:rPr>
        <w:t>ראשונה לתקנות התעבורה כ"מחיר בהתאם למחירון היבואן של רכב ראשון מדגם ביום רישומו לראשונה או ב- 1 בינואר בכל שנה, המאוחר מבין השנים ....;</w:t>
      </w:r>
      <w:r w:rsidRPr="00E75559">
        <w:rPr>
          <w:rFonts w:hint="cs"/>
          <w:rtl/>
        </w:rPr>
        <w:t xml:space="preserve"> </w:t>
      </w:r>
      <w:r w:rsidRPr="00E75559">
        <w:rPr>
          <w:rtl/>
        </w:rPr>
        <w:t xml:space="preserve">ואם הוא רכב מיבוא אישי שאין לו יבוא מסחרי מקביל – ערך הרכב שנקבע לצורך המכס; בתוספת המכס, מס קניה ומע"מ שיש </w:t>
      </w:r>
      <w:proofErr w:type="spellStart"/>
      <w:r w:rsidRPr="00E75559">
        <w:rPr>
          <w:rFonts w:hint="cs"/>
          <w:rtl/>
        </w:rPr>
        <w:t>לשלמם</w:t>
      </w:r>
      <w:proofErr w:type="spellEnd"/>
      <w:r w:rsidRPr="00E75559">
        <w:rPr>
          <w:rtl/>
        </w:rPr>
        <w:t xml:space="preserve"> בעד </w:t>
      </w:r>
      <w:r w:rsidRPr="00E75559">
        <w:rPr>
          <w:rFonts w:hint="cs"/>
          <w:rtl/>
        </w:rPr>
        <w:t>י</w:t>
      </w:r>
      <w:r w:rsidRPr="00E75559">
        <w:rPr>
          <w:rtl/>
        </w:rPr>
        <w:t>יבואו".</w:t>
      </w:r>
    </w:p>
    <w:p w:rsidR="001C37CE" w:rsidRPr="00E75559" w:rsidRDefault="001C37CE" w:rsidP="0036514D">
      <w:pPr>
        <w:spacing w:before="120" w:after="120"/>
        <w:rPr>
          <w:rtl/>
        </w:rPr>
      </w:pPr>
      <w:r w:rsidRPr="00E75559">
        <w:rPr>
          <w:rtl/>
        </w:rPr>
        <w:t xml:space="preserve">תקנות התעבורה לא קובעות מהו רכב </w:t>
      </w:r>
      <w:r w:rsidRPr="00E75559">
        <w:rPr>
          <w:rFonts w:hint="cs"/>
          <w:rtl/>
        </w:rPr>
        <w:t>ב</w:t>
      </w:r>
      <w:r w:rsidRPr="00E75559">
        <w:rPr>
          <w:rtl/>
        </w:rPr>
        <w:t xml:space="preserve">יבוא אישי שאין לו יבוא מסחרי מקביל. </w:t>
      </w:r>
      <w:r w:rsidRPr="00E75559">
        <w:rPr>
          <w:rFonts w:hint="cs"/>
          <w:rtl/>
        </w:rPr>
        <w:t>בשנת 2010</w:t>
      </w:r>
      <w:r w:rsidRPr="00E75559">
        <w:rPr>
          <w:rtl/>
        </w:rPr>
        <w:t xml:space="preserve"> הוגשה נגד משרד התחבורה תביעה </w:t>
      </w:r>
      <w:r w:rsidRPr="00E75559">
        <w:rPr>
          <w:rFonts w:hint="cs"/>
          <w:rtl/>
        </w:rPr>
        <w:t>י</w:t>
      </w:r>
      <w:r w:rsidRPr="00E75559">
        <w:rPr>
          <w:rtl/>
        </w:rPr>
        <w:t xml:space="preserve">יצוגית בעניין (ת"צ </w:t>
      </w:r>
      <w:r w:rsidRPr="00E75559">
        <w:rPr>
          <w:rFonts w:hint="cs"/>
          <w:rtl/>
        </w:rPr>
        <w:t>2764</w:t>
      </w:r>
      <w:r w:rsidRPr="00E75559">
        <w:rPr>
          <w:rtl/>
        </w:rPr>
        <w:t>-03-</w:t>
      </w:r>
      <w:r w:rsidRPr="00E75559">
        <w:rPr>
          <w:rFonts w:hint="cs"/>
          <w:rtl/>
        </w:rPr>
        <w:t xml:space="preserve">10 </w:t>
      </w:r>
      <w:r w:rsidRPr="00E75559">
        <w:rPr>
          <w:rFonts w:hint="cs"/>
          <w:b/>
          <w:bCs/>
          <w:rtl/>
        </w:rPr>
        <w:t>גמליאל נ' מדינת ישראל</w:t>
      </w:r>
      <w:r w:rsidRPr="00E75559">
        <w:rPr>
          <w:rtl/>
        </w:rPr>
        <w:t xml:space="preserve">). במסגרת הסדר פשרה בתביעה זו קבע בית המשפט קריטריונים להגדרת רכב </w:t>
      </w:r>
      <w:r w:rsidRPr="00E75559">
        <w:rPr>
          <w:rFonts w:hint="cs"/>
          <w:rtl/>
        </w:rPr>
        <w:t>ב</w:t>
      </w:r>
      <w:r w:rsidRPr="00E75559">
        <w:rPr>
          <w:rtl/>
        </w:rPr>
        <w:t xml:space="preserve">יבוא אישי </w:t>
      </w:r>
      <w:r w:rsidRPr="00E75559">
        <w:rPr>
          <w:rFonts w:hint="cs"/>
          <w:rtl/>
        </w:rPr>
        <w:t>שיש לו</w:t>
      </w:r>
      <w:r w:rsidRPr="00E75559">
        <w:rPr>
          <w:rtl/>
        </w:rPr>
        <w:t xml:space="preserve"> יבוא מסחרי מקביל</w:t>
      </w:r>
      <w:r w:rsidRPr="00E75559">
        <w:rPr>
          <w:rFonts w:hint="cs"/>
          <w:rtl/>
        </w:rPr>
        <w:t>, ו</w:t>
      </w:r>
      <w:r w:rsidRPr="00E75559">
        <w:rPr>
          <w:rtl/>
        </w:rPr>
        <w:t xml:space="preserve">החל מאישור הסדר </w:t>
      </w:r>
      <w:r w:rsidRPr="00E75559">
        <w:rPr>
          <w:rFonts w:hint="cs"/>
          <w:rtl/>
        </w:rPr>
        <w:t>ה</w:t>
      </w:r>
      <w:r w:rsidRPr="00E75559">
        <w:rPr>
          <w:rtl/>
        </w:rPr>
        <w:t xml:space="preserve">פשרה (פסק דין ניתן ביום 19/3/2012), טיפול בתלונות בנושא סיווג רכבים </w:t>
      </w:r>
      <w:r w:rsidRPr="00E75559">
        <w:rPr>
          <w:rFonts w:hint="cs"/>
          <w:rtl/>
        </w:rPr>
        <w:t>ב</w:t>
      </w:r>
      <w:r w:rsidRPr="00E75559">
        <w:rPr>
          <w:rtl/>
        </w:rPr>
        <w:t xml:space="preserve">יבוא אישי לקבוצות אגרה נעשה בהתאם לקריטריונים. </w:t>
      </w:r>
    </w:p>
    <w:p w:rsidR="001C37CE" w:rsidRPr="00E75559" w:rsidRDefault="001C37CE" w:rsidP="0036514D">
      <w:pPr>
        <w:spacing w:before="120" w:after="120"/>
        <w:rPr>
          <w:rtl/>
        </w:rPr>
      </w:pPr>
      <w:r w:rsidRPr="00E75559">
        <w:rPr>
          <w:rtl/>
        </w:rPr>
        <w:t>הקריטריונים כוללים</w:t>
      </w:r>
      <w:r w:rsidRPr="00E75559">
        <w:rPr>
          <w:rFonts w:hint="cs"/>
          <w:rtl/>
        </w:rPr>
        <w:t xml:space="preserve"> את</w:t>
      </w:r>
      <w:r w:rsidRPr="00E75559">
        <w:rPr>
          <w:rtl/>
        </w:rPr>
        <w:t xml:space="preserve"> תוצר הרכב, כינויו המסחרי, שנת יצור, נפח מנוע, סוג דלק וסוג תיבת </w:t>
      </w:r>
      <w:r w:rsidRPr="00E75559">
        <w:rPr>
          <w:rFonts w:hint="cs"/>
          <w:rtl/>
        </w:rPr>
        <w:t>ה</w:t>
      </w:r>
      <w:r w:rsidRPr="00E75559">
        <w:rPr>
          <w:rtl/>
        </w:rPr>
        <w:t xml:space="preserve">הילוכים. בהתקיים כל ששת הקריטריונים בדגם רכב מיבוא סדיר/מקביל, מוגדר אותו דגם הרכב כ"דגם מקביל" והרכב </w:t>
      </w:r>
      <w:r w:rsidRPr="00E75559">
        <w:rPr>
          <w:rFonts w:hint="cs"/>
          <w:rtl/>
        </w:rPr>
        <w:t>ב</w:t>
      </w:r>
      <w:r w:rsidRPr="00E75559">
        <w:rPr>
          <w:rtl/>
        </w:rPr>
        <w:t>יבוא אישי יסווג לאותה קב</w:t>
      </w:r>
      <w:r w:rsidRPr="00E75559">
        <w:rPr>
          <w:rFonts w:hint="cs"/>
          <w:rtl/>
        </w:rPr>
        <w:t>וצת</w:t>
      </w:r>
      <w:r w:rsidRPr="00E75559">
        <w:rPr>
          <w:rtl/>
        </w:rPr>
        <w:t xml:space="preserve"> אגרה כמו הדגם המקביל </w:t>
      </w:r>
      <w:r w:rsidRPr="00E75559">
        <w:rPr>
          <w:rFonts w:hint="cs"/>
          <w:rtl/>
        </w:rPr>
        <w:t>ב</w:t>
      </w:r>
      <w:r w:rsidRPr="00E75559">
        <w:rPr>
          <w:rtl/>
        </w:rPr>
        <w:t xml:space="preserve">יבוא סדיר (בין אם מדובר ביבואן ראשי או ביבואן מקביל). </w:t>
      </w:r>
    </w:p>
    <w:p w:rsidR="001C37CE" w:rsidRPr="00E75559" w:rsidRDefault="001C37CE" w:rsidP="0036514D">
      <w:pPr>
        <w:spacing w:before="120" w:after="120"/>
        <w:rPr>
          <w:rtl/>
        </w:rPr>
      </w:pPr>
      <w:r w:rsidRPr="00E75559">
        <w:rPr>
          <w:rtl/>
        </w:rPr>
        <w:t xml:space="preserve">במידה ולא קיים דגם מקביל על-פי הקריטריונים כאמור, נעשה הסיווג על-פי ערך הרכב שנקבע לצורכי מס בתוספת </w:t>
      </w:r>
      <w:r w:rsidRPr="00E75559">
        <w:rPr>
          <w:rFonts w:hint="cs"/>
          <w:rtl/>
        </w:rPr>
        <w:t>המכס, מס קנייה ומע"מ,</w:t>
      </w:r>
      <w:r w:rsidRPr="00E75559">
        <w:rPr>
          <w:rtl/>
        </w:rPr>
        <w:t xml:space="preserve"> על פי רשימון המכס של הרכב המיובא ביבוא אישי.</w:t>
      </w:r>
    </w:p>
    <w:p w:rsidR="001C37CE" w:rsidRPr="00E75559" w:rsidRDefault="001C37CE" w:rsidP="0036514D">
      <w:pPr>
        <w:spacing w:before="120" w:after="120"/>
        <w:rPr>
          <w:rtl/>
        </w:rPr>
      </w:pPr>
      <w:r w:rsidRPr="00E75559">
        <w:rPr>
          <w:rFonts w:hint="cs"/>
          <w:rtl/>
        </w:rPr>
        <w:t>התהליך כרוך בטיפול בתלונות רבות, מחייב טיפול פרטני ברכבים אלו, השקעת משאבים בהיקפים שאינם סבירים, ביצוע החזרי אגרות שנגבו ביתר וכד'.</w:t>
      </w:r>
    </w:p>
    <w:p w:rsidR="001C37CE" w:rsidRPr="00E75559" w:rsidRDefault="001C37CE" w:rsidP="0036514D">
      <w:pPr>
        <w:spacing w:before="120" w:after="120"/>
        <w:rPr>
          <w:rtl/>
        </w:rPr>
      </w:pPr>
      <w:r w:rsidRPr="00E75559">
        <w:rPr>
          <w:rFonts w:hint="cs"/>
          <w:rtl/>
        </w:rPr>
        <w:t>עם עלייתה לאוויר של מערכת "שער עולמי" גובש מתווה, בשיתוף נציגי היחידות הרלוונטיות במשרד התחבורה ורשות המיסים, שיאפשר סיווג בצורה ממוכנת.</w:t>
      </w:r>
    </w:p>
    <w:p w:rsidR="001C37CE" w:rsidRDefault="001C37CE" w:rsidP="0036514D">
      <w:pPr>
        <w:spacing w:before="120" w:after="120"/>
        <w:rPr>
          <w:rtl/>
        </w:rPr>
      </w:pPr>
      <w:r w:rsidRPr="00E75559">
        <w:rPr>
          <w:rFonts w:hint="cs"/>
          <w:rtl/>
        </w:rPr>
        <w:t xml:space="preserve">על פי המתווה החדש יבוצע הסיווג לקבוצות מחיר של רכב ביבוא אישי על פי ערך הרכב שנקבע לצורך המכס, בתוספת המכס, המס ומע"מ, אגרה או כל תשלום חובה אחר, שיש </w:t>
      </w:r>
      <w:proofErr w:type="spellStart"/>
      <w:r w:rsidRPr="00E75559">
        <w:rPr>
          <w:rFonts w:hint="cs"/>
          <w:rtl/>
        </w:rPr>
        <w:t>לשלמם</w:t>
      </w:r>
      <w:proofErr w:type="spellEnd"/>
      <w:r w:rsidRPr="00E75559">
        <w:rPr>
          <w:rFonts w:hint="cs"/>
          <w:rtl/>
        </w:rPr>
        <w:t xml:space="preserve"> בעת ייבואו (או שהיה צריך </w:t>
      </w:r>
      <w:proofErr w:type="spellStart"/>
      <w:r w:rsidRPr="00E75559">
        <w:rPr>
          <w:rFonts w:hint="cs"/>
          <w:rtl/>
        </w:rPr>
        <w:t>לשלמם</w:t>
      </w:r>
      <w:proofErr w:type="spellEnd"/>
      <w:r w:rsidRPr="00E75559">
        <w:rPr>
          <w:rFonts w:hint="cs"/>
          <w:rtl/>
        </w:rPr>
        <w:t xml:space="preserve"> אלמלא נקבעו פטורים והפחתות), בתוספת 20% רווח סביר ובתוספת פחת שימוש. הגדרה זו של "מחיר הרכב לצרכן" מופיעה היום בצו תעריף המכס והפטורים ומס קנייה על טובין, התשע"ח-2018.</w:t>
      </w:r>
    </w:p>
    <w:p w:rsidR="0036514D" w:rsidRDefault="0036514D" w:rsidP="0036514D">
      <w:pPr>
        <w:spacing w:before="120" w:after="120"/>
        <w:rPr>
          <w:rtl/>
        </w:rPr>
      </w:pPr>
    </w:p>
    <w:p w:rsidR="0036514D" w:rsidRDefault="0036514D" w:rsidP="0036514D">
      <w:pPr>
        <w:spacing w:before="120" w:after="120"/>
        <w:rPr>
          <w:b/>
          <w:bCs/>
          <w:rtl/>
        </w:rPr>
      </w:pPr>
      <w:r w:rsidRPr="0036514D">
        <w:rPr>
          <w:rFonts w:hint="cs"/>
          <w:b/>
          <w:bCs/>
          <w:rtl/>
        </w:rPr>
        <w:t>תקנה 2</w:t>
      </w:r>
    </w:p>
    <w:p w:rsidR="0036514D" w:rsidRDefault="0036514D" w:rsidP="0036514D">
      <w:pPr>
        <w:pStyle w:val="af"/>
        <w:numPr>
          <w:ilvl w:val="0"/>
          <w:numId w:val="29"/>
        </w:numPr>
        <w:spacing w:before="120" w:after="120"/>
      </w:pPr>
      <w:r>
        <w:rPr>
          <w:rFonts w:hint="cs"/>
          <w:rtl/>
        </w:rPr>
        <w:t xml:space="preserve">מוצע לקבוע מועד תחילה של 30 ימים ממועד פרסום התקנות, לצורך היערכות ליישומן. </w:t>
      </w:r>
    </w:p>
    <w:p w:rsidR="0036514D" w:rsidRDefault="0036514D" w:rsidP="0036514D">
      <w:pPr>
        <w:pStyle w:val="af"/>
        <w:numPr>
          <w:ilvl w:val="0"/>
          <w:numId w:val="29"/>
        </w:numPr>
        <w:spacing w:before="120" w:after="120"/>
      </w:pPr>
      <w:r>
        <w:rPr>
          <w:rFonts w:hint="cs"/>
          <w:rtl/>
        </w:rPr>
        <w:t xml:space="preserve">עוד מוצע לקבוע שתיקון זה לא יחול על רכבים, אשר במועד תחילתן של תקנות אלה, כבר הופחתו להם שתי פעימות מאגרת הרישוי (בסכום מצטבר של 1,400 ₪) לפי פרטי משנה (ב3)(2)(א) ו-(ב). לגבי רכבים אלה, ממילא נדרשת הפחתה אחת נוספת בסך 100 ₪, אשר תושלם במועד חידוש רישיון הרכב, הקרוב, לאחר מועד תחילתן של תקנות אלה. </w:t>
      </w:r>
    </w:p>
    <w:p w:rsidR="0036514D" w:rsidRDefault="0036514D" w:rsidP="0036514D">
      <w:pPr>
        <w:spacing w:before="120" w:after="120"/>
        <w:rPr>
          <w:rtl/>
        </w:rPr>
      </w:pPr>
    </w:p>
    <w:p w:rsidR="0036514D" w:rsidRDefault="0036514D" w:rsidP="0036514D">
      <w:pPr>
        <w:spacing w:before="120" w:after="120"/>
        <w:rPr>
          <w:b/>
          <w:bCs/>
          <w:rtl/>
        </w:rPr>
      </w:pPr>
      <w:r>
        <w:rPr>
          <w:rFonts w:hint="cs"/>
          <w:b/>
          <w:bCs/>
          <w:rtl/>
        </w:rPr>
        <w:t>תקנה 3</w:t>
      </w:r>
    </w:p>
    <w:p w:rsidR="0036514D" w:rsidRPr="0036514D" w:rsidRDefault="0036514D" w:rsidP="0036514D">
      <w:pPr>
        <w:spacing w:before="120" w:after="120"/>
      </w:pPr>
      <w:r>
        <w:rPr>
          <w:rFonts w:hint="cs"/>
          <w:rtl/>
        </w:rPr>
        <w:t xml:space="preserve">מוצע לקבוע הוראת מעבר, לפיה רכב לגביו כבר הופחתה האגרה בפעימה הראשונה, לפני תחילת תקנות אלה, תושלם הפחתת האגרה בפעימה אחת נוספת, לאחר מועד תחילתן של תקנות אלה.  </w:t>
      </w:r>
    </w:p>
    <w:p w:rsidR="001C37CE" w:rsidRDefault="001C37CE">
      <w:pPr>
        <w:rPr>
          <w:b/>
          <w:bCs/>
          <w:rtl/>
        </w:rPr>
      </w:pPr>
    </w:p>
    <w:p w:rsidR="009F4722" w:rsidRDefault="009F4722">
      <w:pPr>
        <w:rPr>
          <w:b/>
          <w:bCs/>
          <w:rtl/>
        </w:rPr>
      </w:pPr>
      <w:r>
        <w:rPr>
          <w:rFonts w:hint="cs"/>
          <w:b/>
          <w:bCs/>
          <w:rtl/>
        </w:rPr>
        <w:t xml:space="preserve">דרישות </w:t>
      </w:r>
      <w:r>
        <w:rPr>
          <w:rFonts w:hint="cs"/>
          <w:b/>
          <w:bCs/>
        </w:rPr>
        <w:t>RIA</w:t>
      </w:r>
    </w:p>
    <w:p w:rsidR="009F4722" w:rsidRDefault="009F4722" w:rsidP="00C20421">
      <w:pPr>
        <w:rPr>
          <w:rtl/>
        </w:rPr>
      </w:pPr>
      <w:r>
        <w:rPr>
          <w:rFonts w:hint="cs"/>
          <w:rtl/>
        </w:rPr>
        <w:t xml:space="preserve">על פי התייעצות עם מחלקת טיוב רגולציה במשרדנו, עולה כי תיקון תקנות שעניינו אגרות, אינו מחויב בדו"ח </w:t>
      </w:r>
      <w:r w:rsidR="00C20421">
        <w:t>RIA</w:t>
      </w:r>
      <w:r>
        <w:rPr>
          <w:rFonts w:hint="cs"/>
          <w:rtl/>
        </w:rPr>
        <w:t xml:space="preserve">. </w:t>
      </w:r>
    </w:p>
    <w:p w:rsidR="00C20421" w:rsidRDefault="00C20421" w:rsidP="00C20421">
      <w:pPr>
        <w:rPr>
          <w:rtl/>
        </w:rPr>
      </w:pPr>
    </w:p>
    <w:p w:rsidR="00C20421" w:rsidRDefault="00C20421" w:rsidP="00C20421">
      <w:pPr>
        <w:rPr>
          <w:rtl/>
        </w:rPr>
      </w:pPr>
    </w:p>
    <w:p w:rsidR="00C20421" w:rsidRDefault="00C20421" w:rsidP="00C20421">
      <w:pPr>
        <w:rPr>
          <w:rtl/>
        </w:rPr>
      </w:pPr>
    </w:p>
    <w:p w:rsidR="00C20421" w:rsidRDefault="00C20421" w:rsidP="00C20421">
      <w:pPr>
        <w:rPr>
          <w:rtl/>
        </w:rPr>
      </w:pPr>
    </w:p>
    <w:p w:rsidR="00C20421" w:rsidRDefault="00C20421" w:rsidP="00C20421">
      <w:pPr>
        <w:rPr>
          <w:rtl/>
        </w:rPr>
      </w:pPr>
    </w:p>
    <w:p w:rsidR="00C20421" w:rsidRDefault="00C20421" w:rsidP="00C20421">
      <w:pPr>
        <w:rPr>
          <w:rtl/>
        </w:rPr>
      </w:pPr>
    </w:p>
    <w:p w:rsidR="00C20421" w:rsidRDefault="00C20421" w:rsidP="00C20421">
      <w:pPr>
        <w:rPr>
          <w:rtl/>
        </w:rPr>
      </w:pPr>
    </w:p>
    <w:p w:rsidR="00C20421" w:rsidRDefault="00C20421" w:rsidP="00C20421">
      <w:pPr>
        <w:rPr>
          <w:rtl/>
        </w:rPr>
      </w:pPr>
    </w:p>
    <w:p w:rsidR="00C20421" w:rsidRDefault="00C20421" w:rsidP="00C20421">
      <w:pPr>
        <w:rPr>
          <w:rtl/>
        </w:rPr>
      </w:pPr>
    </w:p>
    <w:p w:rsidR="00C20421" w:rsidRDefault="00C20421" w:rsidP="00C20421">
      <w:pPr>
        <w:rPr>
          <w:rtl/>
        </w:rPr>
      </w:pPr>
    </w:p>
    <w:p w:rsidR="00C20421" w:rsidRDefault="00C20421" w:rsidP="00C20421">
      <w:pPr>
        <w:rPr>
          <w:rtl/>
        </w:rPr>
      </w:pPr>
      <w:bookmarkStart w:id="0" w:name="_GoBack"/>
      <w:bookmarkEnd w:id="0"/>
    </w:p>
    <w:p w:rsidR="00C20421" w:rsidRDefault="00C20421" w:rsidP="00C20421">
      <w:pPr>
        <w:rPr>
          <w:rtl/>
        </w:rPr>
      </w:pPr>
    </w:p>
    <w:p w:rsidR="00C20421" w:rsidRDefault="00C20421" w:rsidP="00C20421">
      <w:pPr>
        <w:rPr>
          <w:rtl/>
        </w:rPr>
      </w:pPr>
    </w:p>
    <w:p w:rsidR="00C20421" w:rsidRPr="00C20421" w:rsidRDefault="00C20421" w:rsidP="00C20421">
      <w:pPr>
        <w:rPr>
          <w:rFonts w:hint="cs"/>
          <w:sz w:val="16"/>
          <w:szCs w:val="16"/>
          <w:rtl/>
        </w:rPr>
      </w:pPr>
      <w:r w:rsidRPr="00C20421">
        <w:rPr>
          <w:sz w:val="16"/>
          <w:szCs w:val="16"/>
          <w:rtl/>
        </w:rPr>
        <w:fldChar w:fldCharType="begin"/>
      </w:r>
      <w:r w:rsidRPr="00C20421">
        <w:rPr>
          <w:sz w:val="16"/>
          <w:szCs w:val="16"/>
          <w:rtl/>
        </w:rPr>
        <w:instrText xml:space="preserve"> </w:instrText>
      </w:r>
      <w:r w:rsidRPr="00C20421">
        <w:rPr>
          <w:sz w:val="16"/>
          <w:szCs w:val="16"/>
        </w:rPr>
        <w:instrText>FILENAME  \* Upper \p  \* MERGEFORMAT</w:instrText>
      </w:r>
      <w:r w:rsidRPr="00C20421">
        <w:rPr>
          <w:sz w:val="16"/>
          <w:szCs w:val="16"/>
          <w:rtl/>
        </w:rPr>
        <w:instrText xml:space="preserve"> </w:instrText>
      </w:r>
      <w:r w:rsidRPr="00C20421">
        <w:rPr>
          <w:sz w:val="16"/>
          <w:szCs w:val="16"/>
          <w:rtl/>
        </w:rPr>
        <w:fldChar w:fldCharType="separate"/>
      </w:r>
      <w:r w:rsidRPr="00C20421">
        <w:rPr>
          <w:noProof/>
          <w:sz w:val="16"/>
          <w:szCs w:val="16"/>
        </w:rPr>
        <w:t>G:\MSP\WORD\MISHPATIM</w:t>
      </w:r>
      <w:r w:rsidRPr="00C20421">
        <w:rPr>
          <w:noProof/>
          <w:sz w:val="16"/>
          <w:szCs w:val="16"/>
          <w:rtl/>
        </w:rPr>
        <w:t>\תקנות\אגרות תעבורה\טיוטת תקנות- טיוטא 2 - 24.3.19.</w:t>
      </w:r>
      <w:r w:rsidRPr="00C20421">
        <w:rPr>
          <w:noProof/>
          <w:sz w:val="16"/>
          <w:szCs w:val="16"/>
        </w:rPr>
        <w:t>DOCX</w:t>
      </w:r>
      <w:r w:rsidRPr="00C20421">
        <w:rPr>
          <w:sz w:val="16"/>
          <w:szCs w:val="16"/>
          <w:rtl/>
        </w:rPr>
        <w:fldChar w:fldCharType="end"/>
      </w:r>
    </w:p>
    <w:sectPr w:rsidR="00C20421" w:rsidRPr="00C20421" w:rsidSect="00597419">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017" w:rsidRDefault="00B56017" w:rsidP="003268AC">
      <w:pPr>
        <w:spacing w:line="240" w:lineRule="auto"/>
      </w:pPr>
      <w:r>
        <w:separator/>
      </w:r>
    </w:p>
  </w:endnote>
  <w:endnote w:type="continuationSeparator" w:id="0">
    <w:p w:rsidR="00B56017" w:rsidRDefault="00B56017" w:rsidP="00326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017" w:rsidRDefault="00B56017" w:rsidP="003268AC">
      <w:pPr>
        <w:spacing w:line="240" w:lineRule="auto"/>
      </w:pPr>
      <w:r>
        <w:separator/>
      </w:r>
    </w:p>
  </w:footnote>
  <w:footnote w:type="continuationSeparator" w:id="0">
    <w:p w:rsidR="00B56017" w:rsidRDefault="00B56017" w:rsidP="003268AC">
      <w:pPr>
        <w:spacing w:line="240" w:lineRule="auto"/>
      </w:pPr>
      <w:r>
        <w:continuationSeparator/>
      </w:r>
    </w:p>
  </w:footnote>
  <w:footnote w:id="1">
    <w:p w:rsidR="005B6B8F" w:rsidRDefault="005B6B8F" w:rsidP="003268AC">
      <w:pPr>
        <w:pStyle w:val="a5"/>
        <w:rPr>
          <w:rtl/>
        </w:rPr>
      </w:pPr>
      <w:r>
        <w:rPr>
          <w:rStyle w:val="a7"/>
        </w:rPr>
        <w:footnoteRef/>
      </w:r>
      <w:r>
        <w:rPr>
          <w:rtl/>
        </w:rPr>
        <w:t xml:space="preserve"> </w:t>
      </w:r>
      <w:r>
        <w:rPr>
          <w:rFonts w:hint="cs"/>
          <w:rtl/>
        </w:rPr>
        <w:t>דיני מדינת ישראל, נוסח חדש 7, עמ' 173.</w:t>
      </w:r>
    </w:p>
  </w:footnote>
  <w:footnote w:id="2">
    <w:p w:rsidR="005B6B8F" w:rsidRDefault="005B6B8F" w:rsidP="003268AC">
      <w:pPr>
        <w:pStyle w:val="a5"/>
      </w:pPr>
      <w:r>
        <w:rPr>
          <w:rStyle w:val="a7"/>
        </w:rPr>
        <w:footnoteRef/>
      </w:r>
      <w:r>
        <w:rPr>
          <w:rtl/>
        </w:rPr>
        <w:t xml:space="preserve"> </w:t>
      </w:r>
      <w:r>
        <w:rPr>
          <w:rFonts w:hint="cs"/>
          <w:rtl/>
        </w:rPr>
        <w:t xml:space="preserve">ס"ח </w:t>
      </w:r>
      <w:proofErr w:type="spellStart"/>
      <w:r>
        <w:rPr>
          <w:rFonts w:hint="cs"/>
          <w:rtl/>
        </w:rPr>
        <w:t>התשמ"ה</w:t>
      </w:r>
      <w:proofErr w:type="spellEnd"/>
      <w:r>
        <w:rPr>
          <w:rFonts w:hint="cs"/>
          <w:rtl/>
        </w:rPr>
        <w:t xml:space="preserve">, עמ' 60; </w:t>
      </w:r>
      <w:proofErr w:type="spellStart"/>
      <w:r>
        <w:rPr>
          <w:rFonts w:hint="cs"/>
          <w:rtl/>
        </w:rPr>
        <w:t>התשנ"א</w:t>
      </w:r>
      <w:proofErr w:type="spellEnd"/>
      <w:r>
        <w:rPr>
          <w:rFonts w:hint="cs"/>
          <w:rtl/>
        </w:rPr>
        <w:t>, עמ' 130.</w:t>
      </w:r>
    </w:p>
  </w:footnote>
  <w:footnote w:id="3">
    <w:p w:rsidR="005B6B8F" w:rsidRDefault="005B6B8F" w:rsidP="003268AC">
      <w:pPr>
        <w:pStyle w:val="a5"/>
      </w:pPr>
      <w:r>
        <w:rPr>
          <w:rStyle w:val="a7"/>
        </w:rPr>
        <w:footnoteRef/>
      </w:r>
      <w:r>
        <w:rPr>
          <w:rtl/>
        </w:rPr>
        <w:t xml:space="preserve"> </w:t>
      </w:r>
      <w:r>
        <w:rPr>
          <w:rFonts w:hint="cs"/>
          <w:rtl/>
        </w:rPr>
        <w:t xml:space="preserve">ס"ח </w:t>
      </w:r>
      <w:proofErr w:type="spellStart"/>
      <w:r>
        <w:rPr>
          <w:rFonts w:hint="cs"/>
          <w:rtl/>
        </w:rPr>
        <w:t>התשל"ה</w:t>
      </w:r>
      <w:proofErr w:type="spellEnd"/>
      <w:r>
        <w:rPr>
          <w:rFonts w:hint="cs"/>
          <w:rtl/>
        </w:rPr>
        <w:t>, עמ' 206.</w:t>
      </w:r>
    </w:p>
  </w:footnote>
  <w:footnote w:id="4">
    <w:p w:rsidR="003268AC" w:rsidRDefault="003268AC" w:rsidP="003268AC">
      <w:pPr>
        <w:pStyle w:val="a5"/>
      </w:pPr>
      <w:r>
        <w:rPr>
          <w:rStyle w:val="a7"/>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התשכ"א</w:t>
      </w:r>
      <w:proofErr w:type="spellEnd"/>
      <w:r>
        <w:rPr>
          <w:rFonts w:hint="cs"/>
          <w:rtl/>
        </w:rPr>
        <w:t>, עמ' 1425.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8517C"/>
    <w:multiLevelType w:val="hybridMultilevel"/>
    <w:tmpl w:val="A618878E"/>
    <w:lvl w:ilvl="0" w:tplc="E4CC26F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3149E8"/>
    <w:multiLevelType w:val="hybridMultilevel"/>
    <w:tmpl w:val="2D6E18BE"/>
    <w:lvl w:ilvl="0" w:tplc="5D5E58A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E30158"/>
    <w:multiLevelType w:val="hybridMultilevel"/>
    <w:tmpl w:val="538EC968"/>
    <w:lvl w:ilvl="0" w:tplc="717E7C2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606FD"/>
    <w:multiLevelType w:val="hybridMultilevel"/>
    <w:tmpl w:val="704C9388"/>
    <w:lvl w:ilvl="0" w:tplc="E02A3FB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C5242"/>
    <w:multiLevelType w:val="hybridMultilevel"/>
    <w:tmpl w:val="E9FADBEA"/>
    <w:lvl w:ilvl="0" w:tplc="63063CB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D80B95"/>
    <w:multiLevelType w:val="hybridMultilevel"/>
    <w:tmpl w:val="267CDB60"/>
    <w:lvl w:ilvl="0" w:tplc="8C58B14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57524"/>
    <w:multiLevelType w:val="hybridMultilevel"/>
    <w:tmpl w:val="75D03330"/>
    <w:lvl w:ilvl="0" w:tplc="4CC8E2E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07FC6"/>
    <w:multiLevelType w:val="hybridMultilevel"/>
    <w:tmpl w:val="4B8A3A56"/>
    <w:lvl w:ilvl="0" w:tplc="285A4BD2">
      <w:start w:val="1"/>
      <w:numFmt w:val="decimal"/>
      <w:lvlText w:val="%1."/>
      <w:lvlJc w:val="left"/>
      <w:pPr>
        <w:ind w:left="700" w:hanging="360"/>
      </w:pPr>
      <w:rPr>
        <w:rFonts w:hint="default"/>
        <w:b/>
        <w:color w:val="000000" w:themeColor="text1"/>
        <w:sz w:val="28"/>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0" w15:restartNumberingAfterBreak="0">
    <w:nsid w:val="36D82A0C"/>
    <w:multiLevelType w:val="hybridMultilevel"/>
    <w:tmpl w:val="77046C94"/>
    <w:lvl w:ilvl="0" w:tplc="A544CD3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E1173B7"/>
    <w:multiLevelType w:val="hybridMultilevel"/>
    <w:tmpl w:val="EB48B366"/>
    <w:lvl w:ilvl="0" w:tplc="9B62A81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D7E53"/>
    <w:multiLevelType w:val="hybridMultilevel"/>
    <w:tmpl w:val="D7BABA1C"/>
    <w:lvl w:ilvl="0" w:tplc="6904155C">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15:restartNumberingAfterBreak="0">
    <w:nsid w:val="753C544D"/>
    <w:multiLevelType w:val="hybridMultilevel"/>
    <w:tmpl w:val="69E6FFEA"/>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0"/>
  </w:num>
  <w:num w:numId="4">
    <w:abstractNumId w:val="25"/>
  </w:num>
  <w:num w:numId="5">
    <w:abstractNumId w:val="13"/>
  </w:num>
  <w:num w:numId="6">
    <w:abstractNumId w:val="26"/>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21"/>
    <w:lvlOverride w:ilvl="0">
      <w:startOverride w:val="1"/>
    </w:lvlOverride>
  </w:num>
  <w:num w:numId="18">
    <w:abstractNumId w:val="12"/>
  </w:num>
  <w:num w:numId="19">
    <w:abstractNumId w:val="22"/>
  </w:num>
  <w:num w:numId="20">
    <w:abstractNumId w:val="16"/>
  </w:num>
  <w:num w:numId="21">
    <w:abstractNumId w:val="20"/>
  </w:num>
  <w:num w:numId="22">
    <w:abstractNumId w:val="18"/>
  </w:num>
  <w:num w:numId="23">
    <w:abstractNumId w:val="11"/>
  </w:num>
  <w:num w:numId="24">
    <w:abstractNumId w:val="17"/>
  </w:num>
  <w:num w:numId="25">
    <w:abstractNumId w:val="23"/>
  </w:num>
  <w:num w:numId="26">
    <w:abstractNumId w:val="14"/>
  </w:num>
  <w:num w:numId="27">
    <w:abstractNumId w:val="15"/>
  </w:num>
  <w:num w:numId="28">
    <w:abstractNumId w:val="10"/>
  </w:num>
  <w:num w:numId="29">
    <w:abstractNumId w:val="24"/>
  </w:num>
  <w:num w:numId="30">
    <w:abstractNumId w:val="1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19"/>
    <w:rsid w:val="000549CA"/>
    <w:rsid w:val="00086DB7"/>
    <w:rsid w:val="000D567C"/>
    <w:rsid w:val="001025AA"/>
    <w:rsid w:val="001C37CE"/>
    <w:rsid w:val="00233B87"/>
    <w:rsid w:val="00241ADB"/>
    <w:rsid w:val="002D51C2"/>
    <w:rsid w:val="003268AC"/>
    <w:rsid w:val="003273D1"/>
    <w:rsid w:val="0036514D"/>
    <w:rsid w:val="003756DC"/>
    <w:rsid w:val="003F31B4"/>
    <w:rsid w:val="004300B1"/>
    <w:rsid w:val="00481B04"/>
    <w:rsid w:val="004F3ACA"/>
    <w:rsid w:val="00597419"/>
    <w:rsid w:val="005B6B8F"/>
    <w:rsid w:val="006327C2"/>
    <w:rsid w:val="0064055A"/>
    <w:rsid w:val="006F22CB"/>
    <w:rsid w:val="00702A9A"/>
    <w:rsid w:val="00733AC5"/>
    <w:rsid w:val="00737FA5"/>
    <w:rsid w:val="007C58C3"/>
    <w:rsid w:val="008D0081"/>
    <w:rsid w:val="00965F0C"/>
    <w:rsid w:val="009F4722"/>
    <w:rsid w:val="00A533A3"/>
    <w:rsid w:val="00B56017"/>
    <w:rsid w:val="00C20421"/>
    <w:rsid w:val="00CA678C"/>
    <w:rsid w:val="00CB0FE5"/>
    <w:rsid w:val="00CE381A"/>
    <w:rsid w:val="00D55216"/>
    <w:rsid w:val="00E62F5A"/>
    <w:rsid w:val="00E75559"/>
    <w:rsid w:val="00F04F2E"/>
    <w:rsid w:val="00F136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D1999-9B87-45DF-9F82-E5B3C582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419"/>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597419"/>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597419"/>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597419"/>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597419"/>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597419"/>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97419"/>
    <w:rPr>
      <w:rFonts w:asciiTheme="majorHAnsi" w:eastAsiaTheme="majorEastAsia" w:hAnsiTheme="majorHAnsi" w:cs="David"/>
      <w:bCs/>
      <w:sz w:val="32"/>
      <w:szCs w:val="36"/>
    </w:rPr>
  </w:style>
  <w:style w:type="character" w:customStyle="1" w:styleId="40">
    <w:name w:val="כותרת 4 תו"/>
    <w:basedOn w:val="a0"/>
    <w:link w:val="4"/>
    <w:uiPriority w:val="9"/>
    <w:rsid w:val="00597419"/>
    <w:rPr>
      <w:rFonts w:ascii="David" w:hAnsi="David" w:cs="David"/>
      <w:b/>
      <w:bCs/>
      <w:color w:val="000000" w:themeColor="text1"/>
      <w:sz w:val="24"/>
      <w:szCs w:val="28"/>
    </w:rPr>
  </w:style>
  <w:style w:type="paragraph" w:customStyle="1" w:styleId="TableText">
    <w:name w:val="Table Text"/>
    <w:basedOn w:val="a"/>
    <w:rsid w:val="00597419"/>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597419"/>
    <w:pPr>
      <w:outlineLvl w:val="2"/>
    </w:pPr>
  </w:style>
  <w:style w:type="paragraph" w:customStyle="1" w:styleId="TableBlock">
    <w:name w:val="Table Block"/>
    <w:basedOn w:val="TableText"/>
    <w:rsid w:val="00597419"/>
    <w:pPr>
      <w:jc w:val="both"/>
    </w:pPr>
  </w:style>
  <w:style w:type="paragraph" w:customStyle="1" w:styleId="TableHead">
    <w:name w:val="Table Head"/>
    <w:basedOn w:val="TableText"/>
    <w:rsid w:val="00597419"/>
    <w:pPr>
      <w:jc w:val="center"/>
      <w:outlineLvl w:val="1"/>
    </w:pPr>
    <w:rPr>
      <w:b/>
      <w:bCs/>
    </w:rPr>
  </w:style>
  <w:style w:type="paragraph" w:customStyle="1" w:styleId="HeadMitparsemetBaze">
    <w:name w:val="Head MitparsemetBaze"/>
    <w:basedOn w:val="a"/>
    <w:rsid w:val="00597419"/>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597419"/>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597419"/>
    <w:pPr>
      <w:tabs>
        <w:tab w:val="left" w:pos="680"/>
        <w:tab w:val="left" w:pos="1020"/>
      </w:tabs>
      <w:ind w:firstLine="0"/>
    </w:pPr>
  </w:style>
  <w:style w:type="paragraph" w:customStyle="1" w:styleId="HeadDivreiHesber">
    <w:name w:val="Head DivreiHesber"/>
    <w:basedOn w:val="a"/>
    <w:rsid w:val="00597419"/>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597419"/>
    <w:rPr>
      <w:rFonts w:asciiTheme="majorHAnsi" w:eastAsiaTheme="majorEastAsia" w:hAnsiTheme="majorHAnsi" w:cs="David"/>
      <w:bCs/>
      <w:sz w:val="26"/>
      <w:szCs w:val="36"/>
      <w:u w:val="single"/>
    </w:rPr>
  </w:style>
  <w:style w:type="character" w:customStyle="1" w:styleId="30">
    <w:name w:val="כותרת 3 תו"/>
    <w:basedOn w:val="a0"/>
    <w:link w:val="3"/>
    <w:rsid w:val="00597419"/>
    <w:rPr>
      <w:rFonts w:asciiTheme="majorHAnsi" w:eastAsiaTheme="majorEastAsia" w:hAnsiTheme="majorHAnsi" w:cs="David"/>
      <w:sz w:val="24"/>
      <w:szCs w:val="28"/>
      <w:u w:val="double"/>
    </w:rPr>
  </w:style>
  <w:style w:type="character" w:customStyle="1" w:styleId="50">
    <w:name w:val="כותרת 5 תו"/>
    <w:basedOn w:val="a0"/>
    <w:link w:val="5"/>
    <w:uiPriority w:val="9"/>
    <w:rsid w:val="00597419"/>
    <w:rPr>
      <w:rFonts w:ascii="David" w:hAnsi="David" w:cs="David"/>
      <w:color w:val="000000" w:themeColor="text1"/>
      <w:sz w:val="24"/>
      <w:szCs w:val="24"/>
    </w:rPr>
  </w:style>
  <w:style w:type="paragraph" w:customStyle="1" w:styleId="HeadHatzaotHok4Futer">
    <w:name w:val="Head HatzaotHok4Futer"/>
    <w:basedOn w:val="HeadHatzaotHok"/>
    <w:rsid w:val="00597419"/>
    <w:pPr>
      <w:spacing w:before="120" w:after="120"/>
    </w:pPr>
    <w:rPr>
      <w:color w:val="FF0000"/>
      <w:w w:val="80"/>
    </w:rPr>
  </w:style>
  <w:style w:type="paragraph" w:styleId="a3">
    <w:name w:val="endnote text"/>
    <w:basedOn w:val="a"/>
    <w:link w:val="a4"/>
    <w:semiHidden/>
    <w:rsid w:val="00597419"/>
    <w:pPr>
      <w:ind w:left="227" w:hanging="227"/>
    </w:pPr>
    <w:rPr>
      <w:sz w:val="14"/>
      <w:szCs w:val="22"/>
    </w:rPr>
  </w:style>
  <w:style w:type="character" w:customStyle="1" w:styleId="a4">
    <w:name w:val="טקסט הערת סיום תו"/>
    <w:basedOn w:val="a0"/>
    <w:link w:val="a3"/>
    <w:semiHidden/>
    <w:rsid w:val="00597419"/>
    <w:rPr>
      <w:rFonts w:ascii="David" w:hAnsi="David" w:cs="David"/>
      <w:sz w:val="14"/>
    </w:rPr>
  </w:style>
  <w:style w:type="paragraph" w:customStyle="1" w:styleId="TableInnerSideHeading">
    <w:name w:val="Table InnerSideHeading"/>
    <w:basedOn w:val="TableSideHeading"/>
    <w:rsid w:val="00597419"/>
    <w:pPr>
      <w:outlineLvl w:val="9"/>
    </w:pPr>
  </w:style>
  <w:style w:type="paragraph" w:customStyle="1" w:styleId="Hesber">
    <w:name w:val="Hesber"/>
    <w:basedOn w:val="a"/>
    <w:rsid w:val="00597419"/>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597419"/>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597419"/>
    <w:rPr>
      <w:rFonts w:ascii="Arial" w:eastAsia="Arial Unicode MS" w:hAnsi="Arial" w:cs="David"/>
      <w:snapToGrid w:val="0"/>
      <w:sz w:val="14"/>
      <w:szCs w:val="20"/>
    </w:rPr>
  </w:style>
  <w:style w:type="character" w:styleId="a7">
    <w:name w:val="footnote reference"/>
    <w:aliases w:val="Footnote Reference"/>
    <w:basedOn w:val="a0"/>
    <w:semiHidden/>
    <w:rsid w:val="00597419"/>
    <w:rPr>
      <w:vertAlign w:val="superscript"/>
    </w:rPr>
  </w:style>
  <w:style w:type="paragraph" w:customStyle="1" w:styleId="HesberHeading">
    <w:name w:val="Hesber Heading"/>
    <w:basedOn w:val="Hesber"/>
    <w:rsid w:val="00597419"/>
    <w:pPr>
      <w:tabs>
        <w:tab w:val="left" w:pos="624"/>
        <w:tab w:val="left" w:pos="1247"/>
      </w:tabs>
    </w:pPr>
    <w:rPr>
      <w:b/>
      <w:bCs/>
    </w:rPr>
  </w:style>
  <w:style w:type="paragraph" w:customStyle="1" w:styleId="HesberWriters">
    <w:name w:val="Hesber Writers"/>
    <w:basedOn w:val="Hesber"/>
    <w:rsid w:val="00597419"/>
    <w:pPr>
      <w:spacing w:before="120" w:after="120"/>
      <w:ind w:left="1418"/>
      <w:jc w:val="right"/>
    </w:pPr>
    <w:rPr>
      <w:b/>
      <w:bCs/>
    </w:rPr>
  </w:style>
  <w:style w:type="character" w:styleId="a8">
    <w:name w:val="endnote reference"/>
    <w:basedOn w:val="a0"/>
    <w:semiHidden/>
    <w:rsid w:val="00597419"/>
    <w:rPr>
      <w:vertAlign w:val="superscript"/>
    </w:rPr>
  </w:style>
  <w:style w:type="paragraph" w:customStyle="1" w:styleId="TableBlockOutdent">
    <w:name w:val="Table BlockOutdent"/>
    <w:basedOn w:val="TableBlock"/>
    <w:rsid w:val="00597419"/>
    <w:pPr>
      <w:ind w:left="624" w:hanging="624"/>
    </w:pPr>
  </w:style>
  <w:style w:type="paragraph" w:styleId="a9">
    <w:name w:val="header"/>
    <w:basedOn w:val="a"/>
    <w:link w:val="aa"/>
    <w:rsid w:val="00597419"/>
    <w:pPr>
      <w:tabs>
        <w:tab w:val="center" w:pos="4153"/>
        <w:tab w:val="right" w:pos="8306"/>
      </w:tabs>
    </w:pPr>
  </w:style>
  <w:style w:type="character" w:customStyle="1" w:styleId="aa">
    <w:name w:val="כותרת עליונה תו"/>
    <w:basedOn w:val="a0"/>
    <w:link w:val="a9"/>
    <w:rsid w:val="00597419"/>
    <w:rPr>
      <w:rFonts w:ascii="David" w:hAnsi="David" w:cs="David"/>
      <w:sz w:val="24"/>
      <w:szCs w:val="24"/>
    </w:rPr>
  </w:style>
  <w:style w:type="paragraph" w:styleId="ab">
    <w:name w:val="footer"/>
    <w:basedOn w:val="a"/>
    <w:link w:val="ac"/>
    <w:rsid w:val="00597419"/>
    <w:pPr>
      <w:tabs>
        <w:tab w:val="center" w:pos="4153"/>
        <w:tab w:val="right" w:pos="8306"/>
      </w:tabs>
    </w:pPr>
  </w:style>
  <w:style w:type="character" w:customStyle="1" w:styleId="ac">
    <w:name w:val="כותרת תחתונה תו"/>
    <w:basedOn w:val="a0"/>
    <w:link w:val="ab"/>
    <w:rsid w:val="00597419"/>
    <w:rPr>
      <w:rFonts w:ascii="David" w:hAnsi="David" w:cs="David"/>
      <w:sz w:val="24"/>
      <w:szCs w:val="24"/>
    </w:rPr>
  </w:style>
  <w:style w:type="character" w:styleId="ad">
    <w:name w:val="page number"/>
    <w:basedOn w:val="a0"/>
    <w:rsid w:val="00597419"/>
  </w:style>
  <w:style w:type="paragraph" w:customStyle="1" w:styleId="Cover1-Reshumot">
    <w:name w:val="Cover 1-Reshumot"/>
    <w:basedOn w:val="a"/>
    <w:rsid w:val="00597419"/>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597419"/>
    <w:rPr>
      <w:sz w:val="36"/>
      <w:szCs w:val="52"/>
    </w:rPr>
  </w:style>
  <w:style w:type="paragraph" w:customStyle="1" w:styleId="Cover3-Haknesset">
    <w:name w:val="Cover 3-Haknesset"/>
    <w:basedOn w:val="Cover1-Reshumot"/>
    <w:rsid w:val="00597419"/>
    <w:rPr>
      <w:b/>
      <w:bCs/>
      <w:spacing w:val="60"/>
    </w:rPr>
  </w:style>
  <w:style w:type="paragraph" w:customStyle="1" w:styleId="Cover4-Date">
    <w:name w:val="Cover 4-Date"/>
    <w:basedOn w:val="a"/>
    <w:rsid w:val="00597419"/>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597419"/>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597419"/>
    <w:pPr>
      <w:widowControl/>
      <w:spacing w:before="120" w:after="120"/>
      <w:outlineLvl w:val="9"/>
    </w:pPr>
    <w:rPr>
      <w:rtl/>
      <w:cs/>
    </w:rPr>
  </w:style>
  <w:style w:type="paragraph" w:styleId="TOC1">
    <w:name w:val="toc 1"/>
    <w:basedOn w:val="a"/>
    <w:next w:val="a"/>
    <w:autoRedefine/>
    <w:uiPriority w:val="39"/>
    <w:unhideWhenUsed/>
    <w:rsid w:val="00597419"/>
    <w:pPr>
      <w:tabs>
        <w:tab w:val="right" w:leader="dot" w:pos="9629"/>
      </w:tabs>
      <w:spacing w:after="100"/>
    </w:pPr>
    <w:rPr>
      <w:bCs/>
      <w:szCs w:val="22"/>
    </w:rPr>
  </w:style>
  <w:style w:type="paragraph" w:styleId="TOC2">
    <w:name w:val="toc 2"/>
    <w:basedOn w:val="a"/>
    <w:next w:val="a"/>
    <w:uiPriority w:val="39"/>
    <w:unhideWhenUsed/>
    <w:rsid w:val="00597419"/>
    <w:pPr>
      <w:tabs>
        <w:tab w:val="right" w:leader="dot" w:pos="9628"/>
      </w:tabs>
      <w:spacing w:after="100"/>
    </w:pPr>
    <w:rPr>
      <w:szCs w:val="22"/>
    </w:rPr>
  </w:style>
  <w:style w:type="character" w:styleId="Hyperlink">
    <w:name w:val="Hyperlink"/>
    <w:basedOn w:val="a0"/>
    <w:uiPriority w:val="99"/>
    <w:unhideWhenUsed/>
    <w:rsid w:val="00597419"/>
    <w:rPr>
      <w:color w:val="0563C1" w:themeColor="hyperlink"/>
      <w:u w:val="single"/>
    </w:rPr>
  </w:style>
  <w:style w:type="paragraph" w:styleId="TOC3">
    <w:name w:val="toc 3"/>
    <w:basedOn w:val="a"/>
    <w:next w:val="a"/>
    <w:uiPriority w:val="39"/>
    <w:unhideWhenUsed/>
    <w:rsid w:val="00597419"/>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597419"/>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597419"/>
    <w:pPr>
      <w:tabs>
        <w:tab w:val="right" w:leader="dot" w:pos="9628"/>
      </w:tabs>
      <w:spacing w:after="100"/>
      <w:ind w:left="567"/>
    </w:pPr>
    <w:rPr>
      <w:szCs w:val="22"/>
    </w:rPr>
  </w:style>
  <w:style w:type="paragraph" w:styleId="TOC6">
    <w:name w:val="toc 6"/>
    <w:basedOn w:val="a"/>
    <w:next w:val="a"/>
    <w:autoRedefine/>
    <w:semiHidden/>
    <w:unhideWhenUsed/>
    <w:rsid w:val="00597419"/>
    <w:pPr>
      <w:spacing w:after="100"/>
      <w:ind w:left="850"/>
    </w:pPr>
  </w:style>
  <w:style w:type="paragraph" w:styleId="TOC7">
    <w:name w:val="toc 7"/>
    <w:basedOn w:val="a"/>
    <w:next w:val="a"/>
    <w:autoRedefine/>
    <w:semiHidden/>
    <w:unhideWhenUsed/>
    <w:rsid w:val="00597419"/>
    <w:pPr>
      <w:spacing w:after="100"/>
      <w:ind w:left="1020"/>
    </w:pPr>
  </w:style>
  <w:style w:type="paragraph" w:styleId="TOC8">
    <w:name w:val="toc 8"/>
    <w:basedOn w:val="a"/>
    <w:next w:val="a"/>
    <w:autoRedefine/>
    <w:semiHidden/>
    <w:unhideWhenUsed/>
    <w:rsid w:val="00597419"/>
    <w:pPr>
      <w:spacing w:after="100"/>
      <w:ind w:left="1190"/>
    </w:pPr>
  </w:style>
  <w:style w:type="paragraph" w:styleId="TOC9">
    <w:name w:val="toc 9"/>
    <w:basedOn w:val="a"/>
    <w:next w:val="a"/>
    <w:autoRedefine/>
    <w:semiHidden/>
    <w:unhideWhenUsed/>
    <w:rsid w:val="00597419"/>
    <w:pPr>
      <w:spacing w:after="100"/>
      <w:ind w:left="1360"/>
    </w:pPr>
  </w:style>
  <w:style w:type="paragraph" w:customStyle="1" w:styleId="TableHead2">
    <w:name w:val="Table Head2"/>
    <w:basedOn w:val="TableHead"/>
    <w:qFormat/>
    <w:rsid w:val="00597419"/>
    <w:pPr>
      <w:outlineLvl w:val="9"/>
    </w:pPr>
  </w:style>
  <w:style w:type="paragraph" w:customStyle="1" w:styleId="TableSideHeading2">
    <w:name w:val="Table SideHeading2"/>
    <w:basedOn w:val="TableSideHeading"/>
    <w:autoRedefine/>
    <w:qFormat/>
    <w:rsid w:val="00597419"/>
    <w:pPr>
      <w:keepLines w:val="0"/>
      <w:outlineLvl w:val="9"/>
    </w:pPr>
  </w:style>
  <w:style w:type="paragraph" w:customStyle="1" w:styleId="0">
    <w:name w:val="סגנון שורה ראשונה:  0  ס''מ"/>
    <w:basedOn w:val="2"/>
    <w:rsid w:val="00597419"/>
    <w:rPr>
      <w:rFonts w:eastAsia="Times New Roman"/>
    </w:rPr>
  </w:style>
  <w:style w:type="paragraph" w:styleId="af">
    <w:name w:val="List Paragraph"/>
    <w:basedOn w:val="a"/>
    <w:uiPriority w:val="34"/>
    <w:qFormat/>
    <w:rsid w:val="00597419"/>
    <w:pPr>
      <w:widowControl/>
      <w:spacing w:line="259" w:lineRule="auto"/>
    </w:pPr>
    <w:rPr>
      <w:rFonts w:asciiTheme="minorHAnsi" w:hAnsiTheme="minorHAnsi"/>
      <w:sz w:val="22"/>
    </w:rPr>
  </w:style>
  <w:style w:type="table" w:styleId="af0">
    <w:name w:val="Table Grid"/>
    <w:basedOn w:val="a1"/>
    <w:rsid w:val="0059741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597419"/>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597419"/>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597419"/>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597419"/>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customStyle="1" w:styleId="P00">
    <w:name w:val="P00"/>
    <w:rsid w:val="00233B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af2">
    <w:name w:val="Balloon Text"/>
    <w:basedOn w:val="a"/>
    <w:link w:val="af3"/>
    <w:uiPriority w:val="99"/>
    <w:semiHidden/>
    <w:unhideWhenUsed/>
    <w:rsid w:val="005B6B8F"/>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5B6B8F"/>
    <w:rPr>
      <w:rFonts w:ascii="Tahoma" w:hAnsi="Tahoma" w:cs="Tahoma"/>
      <w:sz w:val="18"/>
      <w:szCs w:val="18"/>
    </w:rPr>
  </w:style>
  <w:style w:type="character" w:styleId="af4">
    <w:name w:val="annotation reference"/>
    <w:basedOn w:val="a0"/>
    <w:uiPriority w:val="99"/>
    <w:semiHidden/>
    <w:unhideWhenUsed/>
    <w:rsid w:val="005B6B8F"/>
    <w:rPr>
      <w:sz w:val="16"/>
      <w:szCs w:val="16"/>
    </w:rPr>
  </w:style>
  <w:style w:type="paragraph" w:styleId="af5">
    <w:name w:val="annotation text"/>
    <w:basedOn w:val="a"/>
    <w:link w:val="af6"/>
    <w:uiPriority w:val="99"/>
    <w:semiHidden/>
    <w:unhideWhenUsed/>
    <w:rsid w:val="005B6B8F"/>
    <w:pPr>
      <w:spacing w:line="240" w:lineRule="auto"/>
    </w:pPr>
    <w:rPr>
      <w:sz w:val="20"/>
      <w:szCs w:val="20"/>
    </w:rPr>
  </w:style>
  <w:style w:type="character" w:customStyle="1" w:styleId="af6">
    <w:name w:val="טקסט הערה תו"/>
    <w:basedOn w:val="a0"/>
    <w:link w:val="af5"/>
    <w:uiPriority w:val="99"/>
    <w:semiHidden/>
    <w:rsid w:val="005B6B8F"/>
    <w:rPr>
      <w:rFonts w:ascii="David" w:hAnsi="David" w:cs="David"/>
      <w:sz w:val="20"/>
      <w:szCs w:val="20"/>
    </w:rPr>
  </w:style>
  <w:style w:type="paragraph" w:styleId="af7">
    <w:name w:val="annotation subject"/>
    <w:basedOn w:val="af5"/>
    <w:next w:val="af5"/>
    <w:link w:val="af8"/>
    <w:uiPriority w:val="99"/>
    <w:semiHidden/>
    <w:unhideWhenUsed/>
    <w:rsid w:val="005B6B8F"/>
    <w:rPr>
      <w:b/>
      <w:bCs/>
    </w:rPr>
  </w:style>
  <w:style w:type="character" w:customStyle="1" w:styleId="af8">
    <w:name w:val="נושא הערה תו"/>
    <w:basedOn w:val="af6"/>
    <w:link w:val="af7"/>
    <w:uiPriority w:val="99"/>
    <w:semiHidden/>
    <w:rsid w:val="005B6B8F"/>
    <w:rPr>
      <w:rFonts w:ascii="David" w:hAnsi="David"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fNumber xmlns="d2589617-2f74-4077-aee7-f516ed639388">45028</RefNumber>
  </documentManagement>
</p:properties>
</file>

<file path=customXml/itemProps1.xml><?xml version="1.0" encoding="utf-8"?>
<ds:datastoreItem xmlns:ds="http://schemas.openxmlformats.org/officeDocument/2006/customXml" ds:itemID="{18016F77-F707-4465-8EB6-BF59F868302D}"/>
</file>

<file path=customXml/itemProps2.xml><?xml version="1.0" encoding="utf-8"?>
<ds:datastoreItem xmlns:ds="http://schemas.openxmlformats.org/officeDocument/2006/customXml" ds:itemID="{6C10B42D-8A15-43AA-A526-0A787E60543B}"/>
</file>

<file path=customXml/itemProps3.xml><?xml version="1.0" encoding="utf-8"?>
<ds:datastoreItem xmlns:ds="http://schemas.openxmlformats.org/officeDocument/2006/customXml" ds:itemID="{4612202A-AB27-47A4-AE68-9D9FB4F37B4D}"/>
</file>

<file path=customXml/itemProps4.xml><?xml version="1.0" encoding="utf-8"?>
<ds:datastoreItem xmlns:ds="http://schemas.openxmlformats.org/officeDocument/2006/customXml" ds:itemID="{631FB38A-C5B5-4304-94CB-EC10E4D1DC71}"/>
</file>

<file path=docProps/app.xml><?xml version="1.0" encoding="utf-8"?>
<Properties xmlns="http://schemas.openxmlformats.org/officeDocument/2006/extended-properties" xmlns:vt="http://schemas.openxmlformats.org/officeDocument/2006/docPropsVTypes">
  <Template>Normal</Template>
  <TotalTime>2516</TotalTime>
  <Pages>5</Pages>
  <Words>1268</Words>
  <Characters>6345</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MOT</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טיוטת תקנות- טיוטא 2 - 24.3.19.docx</dc:title>
  <dc:subject/>
  <dc:creator>דוד טמיר</dc:creator>
  <cp:keywords/>
  <dc:description/>
  <cp:lastModifiedBy>חוה ראובני</cp:lastModifiedBy>
  <cp:revision>3</cp:revision>
  <dcterms:created xsi:type="dcterms:W3CDTF">2019-03-25T13:42:00Z</dcterms:created>
  <dcterms:modified xsi:type="dcterms:W3CDTF">2019-03-27T07:54:00Z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