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1D" w:rsidRDefault="00D12F1D" w:rsidP="00816E92">
      <w:pPr>
        <w:pStyle w:val="HeadMitparsemetBaze"/>
        <w:keepNext w:val="0"/>
        <w:keepLines w:val="0"/>
        <w:pageBreakBefore w:val="0"/>
        <w:rPr>
          <w:rtl/>
        </w:rPr>
      </w:pPr>
      <w:r>
        <w:rPr>
          <w:rtl/>
        </w:rPr>
        <w:t>טיוטת תקנות מטעם משרד</w:t>
      </w:r>
      <w:r>
        <w:rPr>
          <w:rFonts w:hint="cs"/>
          <w:rtl/>
        </w:rPr>
        <w:t xml:space="preserve"> התקשורת</w:t>
      </w:r>
      <w:r>
        <w:rPr>
          <w:rtl/>
        </w:rPr>
        <w:t xml:space="preserve">: </w:t>
      </w:r>
    </w:p>
    <w:p w:rsidR="00D12F1D" w:rsidRDefault="00D12F1D" w:rsidP="00895435">
      <w:pPr>
        <w:pStyle w:val="HeadHatzaotHok"/>
        <w:keepNext w:val="0"/>
        <w:keepLines w:val="0"/>
        <w:jc w:val="both"/>
        <w:rPr>
          <w:rtl/>
        </w:rPr>
      </w:pPr>
      <w:bookmarkStart w:id="0" w:name="_Toc526405185"/>
      <w:bookmarkStart w:id="1" w:name="_Toc526405293"/>
      <w:bookmarkStart w:id="2" w:name="_GoBack"/>
      <w:r>
        <w:rPr>
          <w:rtl/>
        </w:rPr>
        <w:t xml:space="preserve">טיוטת תקנות </w:t>
      </w:r>
      <w:r>
        <w:rPr>
          <w:rFonts w:hint="cs"/>
          <w:rtl/>
        </w:rPr>
        <w:t xml:space="preserve">התקשורת (בזק ושידורים) (תדרים </w:t>
      </w:r>
      <w:proofErr w:type="spellStart"/>
      <w:r>
        <w:rPr>
          <w:rFonts w:hint="cs"/>
          <w:rtl/>
        </w:rPr>
        <w:t>למיתקני</w:t>
      </w:r>
      <w:proofErr w:type="spellEnd"/>
      <w:r>
        <w:rPr>
          <w:rFonts w:hint="cs"/>
          <w:rtl/>
        </w:rPr>
        <w:t xml:space="preserve"> גישה אלחוטית)</w:t>
      </w:r>
      <w:bookmarkEnd w:id="0"/>
      <w:bookmarkEnd w:id="1"/>
      <w:r w:rsidR="00C6064A">
        <w:rPr>
          <w:rFonts w:hint="cs"/>
          <w:rtl/>
        </w:rPr>
        <w:t xml:space="preserve"> (תיקון)</w:t>
      </w:r>
      <w:r w:rsidR="00C6064A" w:rsidRPr="005450D3">
        <w:rPr>
          <w:rFonts w:hint="cs"/>
          <w:rtl/>
        </w:rPr>
        <w:t>, התשע"</w:t>
      </w:r>
      <w:r w:rsidR="00946C21">
        <w:rPr>
          <w:rFonts w:hint="cs"/>
          <w:rtl/>
        </w:rPr>
        <w:t>ט</w:t>
      </w:r>
      <w:r w:rsidR="00C6064A" w:rsidRPr="005450D3">
        <w:rPr>
          <w:rFonts w:hint="cs"/>
          <w:rtl/>
        </w:rPr>
        <w:t>-</w:t>
      </w:r>
      <w:r w:rsidR="008244BD">
        <w:rPr>
          <w:rFonts w:hint="cs"/>
          <w:rtl/>
        </w:rPr>
        <w:t>2019</w:t>
      </w:r>
    </w:p>
    <w:bookmarkEnd w:id="2"/>
    <w:p w:rsidR="00E1784B" w:rsidRDefault="00E1784B" w:rsidP="00895435">
      <w:pPr>
        <w:pStyle w:val="HeadHatzaotHok"/>
        <w:keepNext w:val="0"/>
        <w:keepLines w:val="0"/>
        <w:jc w:val="both"/>
        <w:rPr>
          <w:rtl/>
        </w:rPr>
      </w:pPr>
    </w:p>
    <w:p w:rsidR="00D12F1D" w:rsidRDefault="00433973" w:rsidP="00895435">
      <w:pPr>
        <w:pStyle w:val="HeadHatzaotHok"/>
        <w:keepNext w:val="0"/>
        <w:keepLines w:val="0"/>
        <w:jc w:val="both"/>
        <w:rPr>
          <w:b w:val="0"/>
          <w:bCs w:val="0"/>
          <w:rtl/>
        </w:rPr>
      </w:pPr>
      <w:r w:rsidRPr="00895435">
        <w:rPr>
          <w:b w:val="0"/>
          <w:bCs w:val="0"/>
          <w:rtl/>
        </w:rPr>
        <w:t xml:space="preserve">בתוקף סמכותי לפי סעיפים 27א ו- 59 לחוק </w:t>
      </w:r>
      <w:r w:rsidRPr="00895435">
        <w:rPr>
          <w:rFonts w:hint="eastAsia"/>
          <w:b w:val="0"/>
          <w:bCs w:val="0"/>
          <w:rtl/>
        </w:rPr>
        <w:t>התקשורת</w:t>
      </w:r>
      <w:r w:rsidRPr="00895435">
        <w:rPr>
          <w:b w:val="0"/>
          <w:bCs w:val="0"/>
          <w:rtl/>
        </w:rPr>
        <w:t xml:space="preserve"> (בזק </w:t>
      </w:r>
      <w:r w:rsidRPr="00895435">
        <w:rPr>
          <w:rFonts w:hint="eastAsia"/>
          <w:b w:val="0"/>
          <w:bCs w:val="0"/>
          <w:rtl/>
        </w:rPr>
        <w:t>ושידורים</w:t>
      </w:r>
      <w:r w:rsidRPr="00895435">
        <w:rPr>
          <w:b w:val="0"/>
          <w:bCs w:val="0"/>
          <w:rtl/>
        </w:rPr>
        <w:t xml:space="preserve">), </w:t>
      </w:r>
      <w:r w:rsidRPr="00895435">
        <w:rPr>
          <w:rFonts w:hint="eastAsia"/>
          <w:b w:val="0"/>
          <w:bCs w:val="0"/>
          <w:rtl/>
        </w:rPr>
        <w:t>תשמ</w:t>
      </w:r>
      <w:r w:rsidRPr="00895435">
        <w:rPr>
          <w:b w:val="0"/>
          <w:bCs w:val="0"/>
          <w:rtl/>
        </w:rPr>
        <w:t>"ב-1982, אני מתקין תקנות אלה:</w:t>
      </w:r>
    </w:p>
    <w:p w:rsidR="00581403" w:rsidRPr="00895435" w:rsidRDefault="00581403" w:rsidP="00895435">
      <w:pPr>
        <w:pStyle w:val="HeadHatzaotHok"/>
        <w:keepNext w:val="0"/>
        <w:keepLines w:val="0"/>
        <w:jc w:val="both"/>
        <w:rPr>
          <w:b w:val="0"/>
          <w:bCs w:val="0"/>
          <w:rtl/>
        </w:rPr>
      </w:pPr>
    </w:p>
    <w:tbl>
      <w:tblPr>
        <w:bidiVisual/>
        <w:tblW w:w="9217" w:type="dxa"/>
        <w:tblInd w:w="424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624"/>
        <w:gridCol w:w="624"/>
        <w:gridCol w:w="41"/>
        <w:gridCol w:w="583"/>
        <w:gridCol w:w="5898"/>
      </w:tblGrid>
      <w:tr w:rsidR="00D12F1D" w:rsidTr="00895435">
        <w:trPr>
          <w:cantSplit/>
          <w:trHeight w:val="60"/>
        </w:trPr>
        <w:tc>
          <w:tcPr>
            <w:tcW w:w="1447" w:type="dxa"/>
          </w:tcPr>
          <w:p w:rsidR="00D12F1D" w:rsidRDefault="00617309" w:rsidP="00895435">
            <w:pPr>
              <w:pStyle w:val="TableSideHeading"/>
              <w:jc w:val="both"/>
            </w:pPr>
            <w:r>
              <w:rPr>
                <w:rFonts w:hint="cs"/>
                <w:rtl/>
              </w:rPr>
              <w:t>תיקון תקנה 1</w:t>
            </w:r>
          </w:p>
        </w:tc>
        <w:tc>
          <w:tcPr>
            <w:tcW w:w="624" w:type="dxa"/>
          </w:tcPr>
          <w:p w:rsidR="00D12F1D" w:rsidRDefault="00D12F1D" w:rsidP="00895435">
            <w:pPr>
              <w:pStyle w:val="TableText"/>
              <w:numPr>
                <w:ilvl w:val="0"/>
                <w:numId w:val="2"/>
              </w:numPr>
              <w:jc w:val="both"/>
            </w:pPr>
          </w:p>
        </w:tc>
        <w:tc>
          <w:tcPr>
            <w:tcW w:w="7146" w:type="dxa"/>
            <w:gridSpan w:val="4"/>
          </w:tcPr>
          <w:p w:rsidR="00D12F1D" w:rsidRDefault="00D12F1D" w:rsidP="00581403">
            <w:pPr>
              <w:pStyle w:val="TableBlock"/>
            </w:pPr>
            <w:r w:rsidRPr="005450D3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 xml:space="preserve">תקנות התקשורת (בזק ושידורים) (תדרים </w:t>
            </w:r>
            <w:proofErr w:type="spellStart"/>
            <w:r>
              <w:rPr>
                <w:rFonts w:hint="cs"/>
                <w:rtl/>
              </w:rPr>
              <w:t>למיתקני</w:t>
            </w:r>
            <w:proofErr w:type="spellEnd"/>
            <w:r>
              <w:rPr>
                <w:rFonts w:hint="cs"/>
                <w:rtl/>
              </w:rPr>
              <w:t xml:space="preserve"> גישה אלחוטית), תשס"ב-2002</w:t>
            </w:r>
            <w:r w:rsidRPr="007D57FC">
              <w:rPr>
                <w:rStyle w:val="a7"/>
                <w:rFonts w:ascii="David" w:hAnsi="David"/>
                <w:sz w:val="26"/>
                <w:rtl/>
              </w:rPr>
              <w:footnoteReference w:id="1"/>
            </w:r>
            <w:r>
              <w:rPr>
                <w:rFonts w:hint="cs"/>
                <w:rtl/>
              </w:rPr>
              <w:t>, בתקנה 1</w:t>
            </w:r>
            <w:r w:rsidRPr="005450D3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>–</w:t>
            </w:r>
          </w:p>
        </w:tc>
      </w:tr>
      <w:tr w:rsidR="007808F7" w:rsidTr="00895435">
        <w:trPr>
          <w:cantSplit/>
          <w:trHeight w:val="60"/>
        </w:trPr>
        <w:tc>
          <w:tcPr>
            <w:tcW w:w="1447" w:type="dxa"/>
          </w:tcPr>
          <w:p w:rsidR="007808F7" w:rsidRDefault="007808F7" w:rsidP="00895435">
            <w:pPr>
              <w:pStyle w:val="TableSideHeading"/>
              <w:jc w:val="both"/>
            </w:pPr>
          </w:p>
        </w:tc>
        <w:tc>
          <w:tcPr>
            <w:tcW w:w="624" w:type="dxa"/>
          </w:tcPr>
          <w:p w:rsidR="007808F7" w:rsidRDefault="007808F7" w:rsidP="00895435">
            <w:pPr>
              <w:pStyle w:val="TableText"/>
              <w:jc w:val="both"/>
            </w:pPr>
          </w:p>
        </w:tc>
        <w:tc>
          <w:tcPr>
            <w:tcW w:w="665" w:type="dxa"/>
            <w:gridSpan w:val="2"/>
          </w:tcPr>
          <w:p w:rsidR="007808F7" w:rsidRDefault="007808F7" w:rsidP="00895435">
            <w:pPr>
              <w:pStyle w:val="TableText"/>
              <w:jc w:val="both"/>
            </w:pPr>
          </w:p>
        </w:tc>
        <w:tc>
          <w:tcPr>
            <w:tcW w:w="6481" w:type="dxa"/>
            <w:gridSpan w:val="2"/>
          </w:tcPr>
          <w:p w:rsidR="00A40665" w:rsidRDefault="007808F7" w:rsidP="00895435">
            <w:pPr>
              <w:pStyle w:val="TableBlock"/>
              <w:numPr>
                <w:ilvl w:val="2"/>
                <w:numId w:val="2"/>
              </w:numPr>
            </w:pPr>
            <w:r>
              <w:rPr>
                <w:rFonts w:hint="cs"/>
                <w:rtl/>
              </w:rPr>
              <w:t>במקום תקנת משנה (1) יבוא:</w:t>
            </w:r>
          </w:p>
        </w:tc>
      </w:tr>
      <w:tr w:rsidR="007808F7" w:rsidTr="00895435">
        <w:trPr>
          <w:cantSplit/>
          <w:trHeight w:val="60"/>
        </w:trPr>
        <w:tc>
          <w:tcPr>
            <w:tcW w:w="1447" w:type="dxa"/>
          </w:tcPr>
          <w:p w:rsidR="007808F7" w:rsidRDefault="007808F7" w:rsidP="00895435">
            <w:pPr>
              <w:pStyle w:val="TableSideHeading"/>
              <w:jc w:val="both"/>
            </w:pPr>
          </w:p>
        </w:tc>
        <w:tc>
          <w:tcPr>
            <w:tcW w:w="624" w:type="dxa"/>
          </w:tcPr>
          <w:p w:rsidR="007808F7" w:rsidRDefault="007808F7" w:rsidP="00895435">
            <w:pPr>
              <w:pStyle w:val="TableText"/>
              <w:jc w:val="both"/>
            </w:pPr>
          </w:p>
        </w:tc>
        <w:tc>
          <w:tcPr>
            <w:tcW w:w="665" w:type="dxa"/>
            <w:gridSpan w:val="2"/>
          </w:tcPr>
          <w:p w:rsidR="007808F7" w:rsidRDefault="007808F7" w:rsidP="00895435">
            <w:pPr>
              <w:pStyle w:val="TableText"/>
              <w:jc w:val="both"/>
            </w:pPr>
          </w:p>
        </w:tc>
        <w:tc>
          <w:tcPr>
            <w:tcW w:w="583" w:type="dxa"/>
          </w:tcPr>
          <w:p w:rsidR="007808F7" w:rsidRDefault="007808F7" w:rsidP="00895435">
            <w:pPr>
              <w:pStyle w:val="TableText"/>
              <w:jc w:val="both"/>
            </w:pPr>
          </w:p>
        </w:tc>
        <w:tc>
          <w:tcPr>
            <w:tcW w:w="5898" w:type="dxa"/>
          </w:tcPr>
          <w:p w:rsidR="007808F7" w:rsidRDefault="00F63875" w:rsidP="00895435">
            <w:pPr>
              <w:pStyle w:val="P11"/>
              <w:keepLines/>
              <w:tabs>
                <w:tab w:val="clear" w:pos="1021"/>
                <w:tab w:val="clear" w:pos="1474"/>
                <w:tab w:val="clear" w:pos="1928"/>
                <w:tab w:val="clear" w:pos="2381"/>
                <w:tab w:val="clear" w:pos="2835"/>
                <w:tab w:val="clear" w:pos="6259"/>
                <w:tab w:val="left" w:pos="1247"/>
              </w:tabs>
              <w:suppressAutoHyphens w:val="0"/>
              <w:spacing w:before="0" w:line="360" w:lineRule="auto"/>
              <w:ind w:left="0" w:right="0"/>
            </w:pPr>
            <w:r>
              <w:rPr>
                <w:rStyle w:val="default"/>
                <w:rFonts w:cs="David" w:hint="cs"/>
                <w:rtl/>
              </w:rPr>
              <w:t>"</w:t>
            </w:r>
            <w:r w:rsidR="007808F7">
              <w:rPr>
                <w:rStyle w:val="default"/>
                <w:rFonts w:cs="David" w:hint="cs"/>
                <w:rtl/>
              </w:rPr>
              <w:t xml:space="preserve">(1א) </w:t>
            </w:r>
            <w:r w:rsidR="007808F7" w:rsidRPr="00BB7DC8">
              <w:rPr>
                <w:rStyle w:val="default"/>
                <w:rFonts w:cs="David"/>
                <w:rtl/>
              </w:rPr>
              <w:t>תחום תדרים לקליטה 698 עד 736 מגה-הרץ (להלן מה"ץ) ותחום תדרים לשידור 736 עד 791 מה"ץ;</w:t>
            </w:r>
            <w:r w:rsidR="007808F7" w:rsidRPr="00BB7DC8">
              <w:rPr>
                <w:rStyle w:val="default"/>
                <w:rFonts w:cs="David" w:hint="cs"/>
                <w:rtl/>
              </w:rPr>
              <w:t xml:space="preserve"> </w:t>
            </w:r>
          </w:p>
        </w:tc>
      </w:tr>
      <w:tr w:rsidR="007808F7" w:rsidTr="00895435">
        <w:trPr>
          <w:cantSplit/>
          <w:trHeight w:val="60"/>
        </w:trPr>
        <w:tc>
          <w:tcPr>
            <w:tcW w:w="1447" w:type="dxa"/>
          </w:tcPr>
          <w:p w:rsidR="007808F7" w:rsidRDefault="007808F7" w:rsidP="00895435">
            <w:pPr>
              <w:pStyle w:val="TableSideHeading"/>
              <w:jc w:val="both"/>
            </w:pPr>
          </w:p>
        </w:tc>
        <w:tc>
          <w:tcPr>
            <w:tcW w:w="624" w:type="dxa"/>
          </w:tcPr>
          <w:p w:rsidR="007808F7" w:rsidRDefault="007808F7" w:rsidP="00895435">
            <w:pPr>
              <w:pStyle w:val="TableText"/>
              <w:jc w:val="both"/>
            </w:pPr>
          </w:p>
        </w:tc>
        <w:tc>
          <w:tcPr>
            <w:tcW w:w="665" w:type="dxa"/>
            <w:gridSpan w:val="2"/>
          </w:tcPr>
          <w:p w:rsidR="007808F7" w:rsidRDefault="007808F7" w:rsidP="00895435">
            <w:pPr>
              <w:pStyle w:val="TableText"/>
              <w:jc w:val="both"/>
            </w:pPr>
          </w:p>
        </w:tc>
        <w:tc>
          <w:tcPr>
            <w:tcW w:w="583" w:type="dxa"/>
          </w:tcPr>
          <w:p w:rsidR="007808F7" w:rsidRPr="00946C21" w:rsidRDefault="007808F7" w:rsidP="00895435">
            <w:pPr>
              <w:pStyle w:val="P11"/>
              <w:keepLines/>
              <w:tabs>
                <w:tab w:val="clear" w:pos="1021"/>
                <w:tab w:val="clear" w:pos="1474"/>
                <w:tab w:val="clear" w:pos="1928"/>
                <w:tab w:val="clear" w:pos="2381"/>
                <w:tab w:val="clear" w:pos="2835"/>
                <w:tab w:val="clear" w:pos="6259"/>
                <w:tab w:val="left" w:pos="1247"/>
              </w:tabs>
              <w:suppressAutoHyphens w:val="0"/>
              <w:spacing w:before="0" w:line="360" w:lineRule="auto"/>
              <w:ind w:left="0" w:right="0"/>
              <w:rPr>
                <w:rStyle w:val="default"/>
                <w:rFonts w:cs="David"/>
              </w:rPr>
            </w:pPr>
          </w:p>
        </w:tc>
        <w:tc>
          <w:tcPr>
            <w:tcW w:w="5898" w:type="dxa"/>
          </w:tcPr>
          <w:p w:rsidR="007808F7" w:rsidRPr="007808F7" w:rsidRDefault="007808F7" w:rsidP="00895435">
            <w:pPr>
              <w:pStyle w:val="P11"/>
              <w:keepLines/>
              <w:tabs>
                <w:tab w:val="clear" w:pos="1021"/>
                <w:tab w:val="clear" w:pos="1474"/>
                <w:tab w:val="clear" w:pos="1928"/>
                <w:tab w:val="clear" w:pos="2381"/>
                <w:tab w:val="clear" w:pos="2835"/>
                <w:tab w:val="clear" w:pos="6259"/>
                <w:tab w:val="left" w:pos="1247"/>
              </w:tabs>
              <w:suppressAutoHyphens w:val="0"/>
              <w:spacing w:before="0" w:line="360" w:lineRule="auto"/>
              <w:ind w:left="0" w:right="0"/>
              <w:rPr>
                <w:rStyle w:val="default"/>
                <w:rFonts w:cs="David"/>
                <w:rtl/>
              </w:rPr>
            </w:pPr>
            <w:r>
              <w:rPr>
                <w:rStyle w:val="default"/>
                <w:rFonts w:cs="David" w:hint="cs"/>
                <w:rtl/>
              </w:rPr>
              <w:t xml:space="preserve">(1ב) </w:t>
            </w:r>
            <w:r w:rsidRPr="00BB7DC8">
              <w:rPr>
                <w:rStyle w:val="default"/>
                <w:rFonts w:cs="David" w:hint="cs"/>
                <w:rtl/>
              </w:rPr>
              <w:t xml:space="preserve">תחום תדרים לקליטה 806 עד 849 מה"ץ ותחום </w:t>
            </w:r>
            <w:r w:rsidRPr="00BB7DC8">
              <w:rPr>
                <w:rStyle w:val="default"/>
                <w:rFonts w:cs="David"/>
                <w:rtl/>
              </w:rPr>
              <w:t>ת</w:t>
            </w:r>
            <w:r w:rsidRPr="00BB7DC8">
              <w:rPr>
                <w:rStyle w:val="default"/>
                <w:rFonts w:cs="David" w:hint="cs"/>
                <w:rtl/>
              </w:rPr>
              <w:t xml:space="preserve">דרים לשידור 851 עד 894 מה"ץ; תחום תדרים לקליטה 880 עד 915 מה"ץ ותחום תדרים לשידור 925 עד 960 מה"ץ; </w:t>
            </w:r>
          </w:p>
        </w:tc>
      </w:tr>
      <w:tr w:rsidR="007808F7" w:rsidTr="00895435">
        <w:trPr>
          <w:cantSplit/>
          <w:trHeight w:val="60"/>
        </w:trPr>
        <w:tc>
          <w:tcPr>
            <w:tcW w:w="1447" w:type="dxa"/>
          </w:tcPr>
          <w:p w:rsidR="007808F7" w:rsidRDefault="007808F7" w:rsidP="00895435">
            <w:pPr>
              <w:pStyle w:val="TableSideHeading"/>
              <w:jc w:val="both"/>
            </w:pPr>
          </w:p>
        </w:tc>
        <w:tc>
          <w:tcPr>
            <w:tcW w:w="624" w:type="dxa"/>
          </w:tcPr>
          <w:p w:rsidR="007808F7" w:rsidRDefault="007808F7" w:rsidP="00895435">
            <w:pPr>
              <w:pStyle w:val="TableText"/>
              <w:jc w:val="both"/>
            </w:pPr>
          </w:p>
        </w:tc>
        <w:tc>
          <w:tcPr>
            <w:tcW w:w="665" w:type="dxa"/>
            <w:gridSpan w:val="2"/>
          </w:tcPr>
          <w:p w:rsidR="007808F7" w:rsidRPr="00946C21" w:rsidRDefault="007808F7" w:rsidP="00895435">
            <w:pPr>
              <w:pStyle w:val="P11"/>
              <w:keepLines/>
              <w:tabs>
                <w:tab w:val="clear" w:pos="1021"/>
                <w:tab w:val="clear" w:pos="1474"/>
                <w:tab w:val="clear" w:pos="1928"/>
                <w:tab w:val="clear" w:pos="2381"/>
                <w:tab w:val="clear" w:pos="2835"/>
                <w:tab w:val="clear" w:pos="6259"/>
                <w:tab w:val="left" w:pos="1247"/>
              </w:tabs>
              <w:suppressAutoHyphens w:val="0"/>
              <w:spacing w:before="0" w:line="360" w:lineRule="auto"/>
              <w:ind w:left="0" w:right="0"/>
              <w:rPr>
                <w:rStyle w:val="default"/>
                <w:rFonts w:cs="David"/>
              </w:rPr>
            </w:pPr>
          </w:p>
        </w:tc>
        <w:tc>
          <w:tcPr>
            <w:tcW w:w="583" w:type="dxa"/>
          </w:tcPr>
          <w:p w:rsidR="007808F7" w:rsidRPr="00946C21" w:rsidRDefault="007808F7" w:rsidP="00895435">
            <w:pPr>
              <w:pStyle w:val="P11"/>
              <w:keepLines/>
              <w:tabs>
                <w:tab w:val="clear" w:pos="1021"/>
                <w:tab w:val="clear" w:pos="1474"/>
                <w:tab w:val="clear" w:pos="1928"/>
                <w:tab w:val="clear" w:pos="2381"/>
                <w:tab w:val="clear" w:pos="2835"/>
                <w:tab w:val="clear" w:pos="6259"/>
                <w:tab w:val="left" w:pos="1247"/>
              </w:tabs>
              <w:suppressAutoHyphens w:val="0"/>
              <w:spacing w:before="0" w:line="360" w:lineRule="auto"/>
              <w:ind w:left="0" w:right="0"/>
              <w:rPr>
                <w:rStyle w:val="default"/>
                <w:rFonts w:cs="David"/>
              </w:rPr>
            </w:pPr>
          </w:p>
        </w:tc>
        <w:tc>
          <w:tcPr>
            <w:tcW w:w="5898" w:type="dxa"/>
          </w:tcPr>
          <w:p w:rsidR="00A40665" w:rsidRPr="00BB7DC8" w:rsidRDefault="007808F7" w:rsidP="00895435">
            <w:pPr>
              <w:pStyle w:val="P11"/>
              <w:keepLines/>
              <w:tabs>
                <w:tab w:val="clear" w:pos="1021"/>
                <w:tab w:val="clear" w:pos="1474"/>
                <w:tab w:val="clear" w:pos="1928"/>
                <w:tab w:val="clear" w:pos="2381"/>
                <w:tab w:val="clear" w:pos="2835"/>
                <w:tab w:val="clear" w:pos="6259"/>
                <w:tab w:val="left" w:pos="1247"/>
              </w:tabs>
              <w:suppressAutoHyphens w:val="0"/>
              <w:spacing w:before="0" w:line="360" w:lineRule="auto"/>
              <w:ind w:left="0" w:right="0"/>
              <w:rPr>
                <w:rStyle w:val="default"/>
                <w:rFonts w:cs="David"/>
                <w:rtl/>
              </w:rPr>
            </w:pPr>
            <w:r>
              <w:rPr>
                <w:rStyle w:val="default"/>
                <w:rFonts w:cs="David" w:hint="cs"/>
                <w:rtl/>
              </w:rPr>
              <w:t xml:space="preserve">(1ג) </w:t>
            </w:r>
            <w:r w:rsidRPr="00BB7DC8">
              <w:rPr>
                <w:rStyle w:val="default"/>
                <w:rFonts w:cs="David"/>
                <w:rtl/>
              </w:rPr>
              <w:t>תחום תדרים לקליטה 791 עד 821 מה"ץ, תחום תדרים לקליטה ולשידור 821 עד 832 מה"ץ ותחום תדרים לשידור 832 עד 862 מה"ץ;</w:t>
            </w:r>
            <w:r w:rsidRPr="00BB7DC8">
              <w:rPr>
                <w:rStyle w:val="default"/>
                <w:rFonts w:cs="David" w:hint="cs"/>
                <w:rtl/>
              </w:rPr>
              <w:t>"</w:t>
            </w:r>
            <w:r>
              <w:rPr>
                <w:rStyle w:val="default"/>
                <w:rFonts w:cs="David" w:hint="cs"/>
                <w:rtl/>
              </w:rPr>
              <w:t>.</w:t>
            </w:r>
          </w:p>
        </w:tc>
      </w:tr>
      <w:tr w:rsidR="00617309" w:rsidTr="00895435">
        <w:trPr>
          <w:cantSplit/>
          <w:trHeight w:val="60"/>
        </w:trPr>
        <w:tc>
          <w:tcPr>
            <w:tcW w:w="1447" w:type="dxa"/>
          </w:tcPr>
          <w:p w:rsidR="00617309" w:rsidRDefault="00617309" w:rsidP="00895435">
            <w:pPr>
              <w:pStyle w:val="TableSideHeading"/>
              <w:jc w:val="both"/>
              <w:outlineLvl w:val="9"/>
            </w:pPr>
          </w:p>
        </w:tc>
        <w:tc>
          <w:tcPr>
            <w:tcW w:w="624" w:type="dxa"/>
          </w:tcPr>
          <w:p w:rsidR="00617309" w:rsidRDefault="00617309" w:rsidP="00895435">
            <w:pPr>
              <w:pStyle w:val="TableText"/>
              <w:jc w:val="both"/>
            </w:pPr>
          </w:p>
        </w:tc>
        <w:tc>
          <w:tcPr>
            <w:tcW w:w="665" w:type="dxa"/>
            <w:gridSpan w:val="2"/>
          </w:tcPr>
          <w:p w:rsidR="00617309" w:rsidRDefault="00617309" w:rsidP="00895435">
            <w:pPr>
              <w:pStyle w:val="TableBlock"/>
              <w:tabs>
                <w:tab w:val="clear" w:pos="624"/>
              </w:tabs>
            </w:pPr>
          </w:p>
        </w:tc>
        <w:tc>
          <w:tcPr>
            <w:tcW w:w="6481" w:type="dxa"/>
            <w:gridSpan w:val="2"/>
          </w:tcPr>
          <w:p w:rsidR="00A40665" w:rsidRPr="00AD4210" w:rsidRDefault="00F63875" w:rsidP="00895435">
            <w:pPr>
              <w:pStyle w:val="TableBlock"/>
              <w:numPr>
                <w:ilvl w:val="2"/>
                <w:numId w:val="2"/>
              </w:numPr>
            </w:pPr>
            <w:r>
              <w:rPr>
                <w:rFonts w:hint="cs"/>
                <w:rtl/>
              </w:rPr>
              <w:t xml:space="preserve">אחרי תקנת משנה (5) יבוא: </w:t>
            </w:r>
          </w:p>
        </w:tc>
      </w:tr>
      <w:tr w:rsidR="008244BD" w:rsidTr="00895435">
        <w:trPr>
          <w:cantSplit/>
          <w:trHeight w:val="60"/>
        </w:trPr>
        <w:tc>
          <w:tcPr>
            <w:tcW w:w="1447" w:type="dxa"/>
          </w:tcPr>
          <w:p w:rsidR="008244BD" w:rsidRDefault="008244BD" w:rsidP="00895435">
            <w:pPr>
              <w:pStyle w:val="TableSideHeading"/>
              <w:jc w:val="both"/>
            </w:pPr>
          </w:p>
        </w:tc>
        <w:tc>
          <w:tcPr>
            <w:tcW w:w="624" w:type="dxa"/>
          </w:tcPr>
          <w:p w:rsidR="008244BD" w:rsidRDefault="008244BD" w:rsidP="00895435">
            <w:pPr>
              <w:pStyle w:val="TableText"/>
              <w:jc w:val="both"/>
            </w:pPr>
          </w:p>
        </w:tc>
        <w:tc>
          <w:tcPr>
            <w:tcW w:w="624" w:type="dxa"/>
          </w:tcPr>
          <w:p w:rsidR="008244BD" w:rsidRDefault="008244BD" w:rsidP="00895435">
            <w:pPr>
              <w:pStyle w:val="TableText"/>
              <w:jc w:val="both"/>
            </w:pPr>
          </w:p>
        </w:tc>
        <w:tc>
          <w:tcPr>
            <w:tcW w:w="624" w:type="dxa"/>
            <w:gridSpan w:val="2"/>
          </w:tcPr>
          <w:p w:rsidR="008244BD" w:rsidRDefault="008244BD" w:rsidP="00895435">
            <w:pPr>
              <w:pStyle w:val="TableText"/>
              <w:jc w:val="both"/>
            </w:pPr>
          </w:p>
        </w:tc>
        <w:tc>
          <w:tcPr>
            <w:tcW w:w="5898" w:type="dxa"/>
          </w:tcPr>
          <w:p w:rsidR="008244BD" w:rsidRDefault="008244BD" w:rsidP="00895435">
            <w:pPr>
              <w:pStyle w:val="TableBlock"/>
            </w:pPr>
            <w:r w:rsidRPr="00AD4210">
              <w:rPr>
                <w:rFonts w:hint="cs"/>
                <w:rtl/>
              </w:rPr>
              <w:t xml:space="preserve">"(5א) תחום תדרים לקליטה 2500 עד 2570 מה"ץ;  </w:t>
            </w:r>
            <w:r w:rsidRPr="00AD4210">
              <w:rPr>
                <w:rtl/>
              </w:rPr>
              <w:br/>
            </w:r>
            <w:r w:rsidRPr="00AD4210">
              <w:rPr>
                <w:rFonts w:hint="cs"/>
                <w:rtl/>
              </w:rPr>
              <w:t xml:space="preserve">תחום תדרים לקליטה ולשידור 2570 עד 2620  </w:t>
            </w:r>
            <w:r w:rsidRPr="00AD4210">
              <w:rPr>
                <w:rtl/>
              </w:rPr>
              <w:br/>
            </w:r>
            <w:r w:rsidRPr="00AD4210">
              <w:rPr>
                <w:rFonts w:hint="cs"/>
                <w:rtl/>
              </w:rPr>
              <w:t>מה"ץ ותחום תדרים לשידור 2620 עד 2690 מה"ץ;"</w:t>
            </w:r>
          </w:p>
        </w:tc>
      </w:tr>
      <w:tr w:rsidR="008244BD" w:rsidTr="00895435">
        <w:trPr>
          <w:cantSplit/>
          <w:trHeight w:val="60"/>
        </w:trPr>
        <w:tc>
          <w:tcPr>
            <w:tcW w:w="1447" w:type="dxa"/>
          </w:tcPr>
          <w:p w:rsidR="008244BD" w:rsidRDefault="008244BD" w:rsidP="00895435">
            <w:pPr>
              <w:pStyle w:val="TableSideHeading"/>
              <w:jc w:val="both"/>
            </w:pPr>
          </w:p>
        </w:tc>
        <w:tc>
          <w:tcPr>
            <w:tcW w:w="624" w:type="dxa"/>
          </w:tcPr>
          <w:p w:rsidR="008244BD" w:rsidRDefault="008244BD" w:rsidP="00895435">
            <w:pPr>
              <w:pStyle w:val="TableText"/>
              <w:jc w:val="both"/>
            </w:pPr>
          </w:p>
        </w:tc>
        <w:tc>
          <w:tcPr>
            <w:tcW w:w="624" w:type="dxa"/>
          </w:tcPr>
          <w:p w:rsidR="008244BD" w:rsidRDefault="008244BD" w:rsidP="00895435">
            <w:pPr>
              <w:pStyle w:val="TableText"/>
              <w:jc w:val="both"/>
            </w:pPr>
          </w:p>
        </w:tc>
        <w:tc>
          <w:tcPr>
            <w:tcW w:w="6522" w:type="dxa"/>
            <w:gridSpan w:val="3"/>
          </w:tcPr>
          <w:p w:rsidR="008244BD" w:rsidRDefault="008244BD" w:rsidP="00895435">
            <w:pPr>
              <w:pStyle w:val="TableBlock"/>
              <w:numPr>
                <w:ilvl w:val="2"/>
                <w:numId w:val="2"/>
              </w:numPr>
            </w:pPr>
            <w:r>
              <w:rPr>
                <w:rFonts w:hint="cs"/>
                <w:rtl/>
              </w:rPr>
              <w:t>ב</w:t>
            </w:r>
            <w:r w:rsidRPr="0097198C">
              <w:rPr>
                <w:rFonts w:hint="cs"/>
                <w:rtl/>
              </w:rPr>
              <w:t>תקנת משנה (6)</w:t>
            </w:r>
            <w:r>
              <w:rPr>
                <w:rFonts w:hint="cs"/>
                <w:rtl/>
              </w:rPr>
              <w:t xml:space="preserve"> </w:t>
            </w:r>
            <w:r w:rsidRPr="0097198C">
              <w:rPr>
                <w:rFonts w:hint="cs"/>
                <w:rtl/>
              </w:rPr>
              <w:t>במקום "3600" יבוא "3800".</w:t>
            </w:r>
          </w:p>
        </w:tc>
      </w:tr>
      <w:tr w:rsidR="008244BD" w:rsidTr="00895435">
        <w:trPr>
          <w:cantSplit/>
          <w:trHeight w:val="60"/>
        </w:trPr>
        <w:tc>
          <w:tcPr>
            <w:tcW w:w="1447" w:type="dxa"/>
          </w:tcPr>
          <w:p w:rsidR="008244BD" w:rsidRDefault="008244BD" w:rsidP="00895435">
            <w:pPr>
              <w:pStyle w:val="TableSideHeading"/>
              <w:jc w:val="both"/>
            </w:pPr>
          </w:p>
        </w:tc>
        <w:tc>
          <w:tcPr>
            <w:tcW w:w="624" w:type="dxa"/>
          </w:tcPr>
          <w:p w:rsidR="008244BD" w:rsidRDefault="008244BD" w:rsidP="00895435">
            <w:pPr>
              <w:pStyle w:val="TableText"/>
              <w:jc w:val="both"/>
            </w:pPr>
          </w:p>
        </w:tc>
        <w:tc>
          <w:tcPr>
            <w:tcW w:w="624" w:type="dxa"/>
          </w:tcPr>
          <w:p w:rsidR="008244BD" w:rsidRDefault="008244BD" w:rsidP="00895435">
            <w:pPr>
              <w:pStyle w:val="TableText"/>
              <w:jc w:val="both"/>
            </w:pPr>
          </w:p>
        </w:tc>
        <w:tc>
          <w:tcPr>
            <w:tcW w:w="6522" w:type="dxa"/>
            <w:gridSpan w:val="3"/>
          </w:tcPr>
          <w:p w:rsidR="008244BD" w:rsidRDefault="008244BD" w:rsidP="00895435">
            <w:pPr>
              <w:pStyle w:val="TableBlock"/>
              <w:numPr>
                <w:ilvl w:val="2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בתקנת משנה (9) בסופה יבוא </w:t>
            </w:r>
            <w:r>
              <w:rPr>
                <w:rStyle w:val="default"/>
                <w:rFonts w:cs="FrankRuehl" w:hint="cs"/>
                <w:rtl/>
              </w:rPr>
              <w:t>"</w:t>
            </w:r>
            <w:r>
              <w:rPr>
                <w:rFonts w:eastAsia="Times New Roman" w:hint="cs"/>
                <w:noProof/>
                <w:snapToGrid/>
                <w:rtl/>
                <w:lang w:eastAsia="he-IL"/>
              </w:rPr>
              <w:t>;</w:t>
            </w:r>
            <w:r w:rsidRPr="00BA2ECA">
              <w:rPr>
                <w:rFonts w:eastAsia="Times New Roman" w:hint="cs"/>
                <w:noProof/>
                <w:snapToGrid/>
                <w:rtl/>
                <w:lang w:eastAsia="he-IL"/>
              </w:rPr>
              <w:t>57,000 עד 66,000 מה"ץ 71,000 עד 76,000 מה"ץ; 81,000 עד 86,000 מה"ץ</w:t>
            </w:r>
            <w:r>
              <w:rPr>
                <w:rFonts w:eastAsia="Times New Roman" w:hint="cs"/>
                <w:noProof/>
                <w:snapToGrid/>
                <w:rtl/>
                <w:lang w:eastAsia="he-IL"/>
              </w:rPr>
              <w:t>".</w:t>
            </w:r>
          </w:p>
        </w:tc>
      </w:tr>
    </w:tbl>
    <w:p w:rsidR="008244BD" w:rsidRDefault="008244BD" w:rsidP="00895435">
      <w:pPr>
        <w:rPr>
          <w:rFonts w:eastAsia="Calibri"/>
          <w:rtl/>
        </w:rPr>
      </w:pPr>
    </w:p>
    <w:p w:rsidR="008244BD" w:rsidRDefault="008244BD" w:rsidP="00895435">
      <w:pPr>
        <w:rPr>
          <w:rFonts w:eastAsia="Calibri"/>
          <w:rtl/>
        </w:rPr>
      </w:pPr>
    </w:p>
    <w:p w:rsidR="008244BD" w:rsidRDefault="008244BD" w:rsidP="00895435">
      <w:pPr>
        <w:rPr>
          <w:rFonts w:eastAsia="Calibri"/>
          <w:rtl/>
        </w:rPr>
      </w:pPr>
    </w:p>
    <w:p w:rsidR="008244BD" w:rsidRDefault="008244BD" w:rsidP="00895435">
      <w:pPr>
        <w:rPr>
          <w:rFonts w:eastAsia="Calibri"/>
          <w:rtl/>
        </w:rPr>
      </w:pPr>
    </w:p>
    <w:p w:rsidR="008244BD" w:rsidRDefault="008244BD" w:rsidP="00895435">
      <w:pPr>
        <w:rPr>
          <w:rFonts w:eastAsia="Calibri"/>
          <w:rtl/>
        </w:rPr>
      </w:pPr>
    </w:p>
    <w:p w:rsidR="00D12F1D" w:rsidRDefault="00D12F1D" w:rsidP="00895435">
      <w:pPr>
        <w:rPr>
          <w:rFonts w:eastAsia="Calibri"/>
          <w:rtl/>
        </w:rPr>
      </w:pPr>
      <w:r>
        <w:rPr>
          <w:rFonts w:eastAsia="Calibri" w:hint="cs"/>
          <w:rtl/>
        </w:rPr>
        <w:t xml:space="preserve">___ ב________ </w:t>
      </w:r>
      <w:proofErr w:type="spellStart"/>
      <w:r>
        <w:rPr>
          <w:rFonts w:eastAsia="Calibri" w:hint="cs"/>
          <w:rtl/>
        </w:rPr>
        <w:t>התש</w:t>
      </w:r>
      <w:r w:rsidR="007D4673">
        <w:rPr>
          <w:rFonts w:eastAsia="Calibri" w:hint="cs"/>
          <w:rtl/>
        </w:rPr>
        <w:t>ע"</w:t>
      </w:r>
      <w:r w:rsidR="00224AC8">
        <w:rPr>
          <w:rFonts w:eastAsia="Calibri" w:hint="cs"/>
          <w:rtl/>
        </w:rPr>
        <w:t>ט</w:t>
      </w:r>
      <w:proofErr w:type="spellEnd"/>
      <w:r>
        <w:rPr>
          <w:rFonts w:eastAsia="Calibri" w:hint="cs"/>
          <w:rtl/>
        </w:rPr>
        <w:t xml:space="preserve"> (___ ב________ </w:t>
      </w:r>
      <w:r w:rsidR="008244BD">
        <w:rPr>
          <w:rFonts w:eastAsia="Calibri" w:hint="cs"/>
          <w:rtl/>
        </w:rPr>
        <w:t>2019</w:t>
      </w:r>
      <w:r>
        <w:rPr>
          <w:rFonts w:eastAsia="Calibri" w:hint="cs"/>
          <w:rtl/>
        </w:rPr>
        <w:t>)</w:t>
      </w:r>
    </w:p>
    <w:p w:rsidR="00D12F1D" w:rsidRDefault="00BA2ECA" w:rsidP="00895435">
      <w:pPr>
        <w:rPr>
          <w:rtl/>
        </w:rPr>
      </w:pPr>
      <w:r>
        <w:rPr>
          <w:rFonts w:hint="cs"/>
          <w:rtl/>
        </w:rPr>
        <w:t xml:space="preserve"> </w:t>
      </w:r>
      <w:r w:rsidR="00D12F1D">
        <w:rPr>
          <w:rFonts w:hint="cs"/>
          <w:rtl/>
        </w:rPr>
        <w:t>(</w:t>
      </w:r>
      <w:proofErr w:type="spellStart"/>
      <w:r w:rsidR="00D12F1D">
        <w:rPr>
          <w:rFonts w:hint="cs"/>
          <w:rtl/>
        </w:rPr>
        <w:t>חמ</w:t>
      </w:r>
      <w:proofErr w:type="spellEnd"/>
      <w:r w:rsidR="00D12F1D">
        <w:rPr>
          <w:rFonts w:hint="cs"/>
          <w:rtl/>
        </w:rPr>
        <w:t xml:space="preserve"> _____-3)</w:t>
      </w:r>
    </w:p>
    <w:p w:rsidR="00D12F1D" w:rsidRDefault="00D12F1D" w:rsidP="00895435">
      <w:pPr>
        <w:rPr>
          <w:rtl/>
        </w:rPr>
      </w:pPr>
    </w:p>
    <w:p w:rsidR="00D12F1D" w:rsidRDefault="00D12F1D" w:rsidP="00895435">
      <w:pPr>
        <w:ind w:left="5760"/>
        <w:rPr>
          <w:rtl/>
        </w:rPr>
      </w:pPr>
      <w:r>
        <w:rPr>
          <w:rFonts w:hint="cs"/>
          <w:rtl/>
        </w:rPr>
        <w:t>__________________</w:t>
      </w:r>
    </w:p>
    <w:p w:rsidR="00D12F1D" w:rsidRDefault="00BA2ECA" w:rsidP="00895435">
      <w:pPr>
        <w:ind w:left="5760"/>
        <w:rPr>
          <w:rtl/>
        </w:rPr>
      </w:pPr>
      <w:r>
        <w:rPr>
          <w:rFonts w:hint="cs"/>
          <w:rtl/>
        </w:rPr>
        <w:t>איוב קרא</w:t>
      </w:r>
    </w:p>
    <w:p w:rsidR="00D12F1D" w:rsidRDefault="00BA2ECA" w:rsidP="00895435">
      <w:pPr>
        <w:ind w:left="5760"/>
        <w:rPr>
          <w:rtl/>
        </w:rPr>
      </w:pPr>
      <w:r>
        <w:rPr>
          <w:rFonts w:hint="cs"/>
          <w:rtl/>
        </w:rPr>
        <w:t>שר התקשורת</w:t>
      </w:r>
    </w:p>
    <w:p w:rsidR="00D12F1D" w:rsidRDefault="00D12F1D" w:rsidP="00895435">
      <w:pPr>
        <w:rPr>
          <w:rtl/>
        </w:rPr>
      </w:pPr>
    </w:p>
    <w:p w:rsidR="008244BD" w:rsidRDefault="008244BD" w:rsidP="00895435">
      <w:pPr>
        <w:rPr>
          <w:rtl/>
        </w:rPr>
      </w:pPr>
    </w:p>
    <w:p w:rsidR="00D12F1D" w:rsidRDefault="00D12F1D" w:rsidP="00895435">
      <w:pPr>
        <w:pStyle w:val="HeadDivreiHesber"/>
        <w:jc w:val="both"/>
        <w:rPr>
          <w:rtl/>
        </w:rPr>
      </w:pPr>
      <w:r>
        <w:rPr>
          <w:rtl/>
        </w:rPr>
        <w:t>דברי הסבר</w:t>
      </w:r>
    </w:p>
    <w:p w:rsidR="00FD12EA" w:rsidRPr="00946C21" w:rsidRDefault="00FD12EA" w:rsidP="00895435">
      <w:pPr>
        <w:pStyle w:val="Hesber1st"/>
        <w:tabs>
          <w:tab w:val="clear" w:pos="680"/>
        </w:tabs>
        <w:ind w:firstLine="340"/>
        <w:rPr>
          <w:b/>
          <w:bCs/>
          <w:sz w:val="24"/>
          <w:szCs w:val="24"/>
          <w:u w:val="single"/>
          <w:rtl/>
        </w:rPr>
      </w:pPr>
      <w:r w:rsidRPr="00946C21">
        <w:rPr>
          <w:rFonts w:hint="eastAsia"/>
          <w:b/>
          <w:bCs/>
          <w:sz w:val="24"/>
          <w:szCs w:val="24"/>
          <w:u w:val="single"/>
          <w:rtl/>
        </w:rPr>
        <w:t>כללי</w:t>
      </w:r>
    </w:p>
    <w:p w:rsidR="00224AC8" w:rsidRDefault="00FD12EA" w:rsidP="00895435">
      <w:pPr>
        <w:pStyle w:val="HeadHatzaotHok"/>
        <w:keepNext w:val="0"/>
        <w:keepLines w:val="0"/>
        <w:jc w:val="both"/>
        <w:rPr>
          <w:rFonts w:ascii="Calibri" w:eastAsiaTheme="minorHAnsi" w:hAnsi="Calibri"/>
          <w:b w:val="0"/>
          <w:bCs w:val="0"/>
          <w:snapToGrid/>
          <w:sz w:val="22"/>
          <w:szCs w:val="24"/>
          <w:rtl/>
        </w:rPr>
      </w:pPr>
      <w:r w:rsidRPr="00FD12EA">
        <w:rPr>
          <w:rFonts w:ascii="Calibri" w:eastAsiaTheme="minorHAnsi" w:hAnsi="Calibri"/>
          <w:b w:val="0"/>
          <w:bCs w:val="0"/>
          <w:snapToGrid/>
          <w:sz w:val="22"/>
          <w:szCs w:val="24"/>
          <w:rtl/>
        </w:rPr>
        <w:t xml:space="preserve">תקנות </w:t>
      </w:r>
      <w:r w:rsidRPr="00FD12EA">
        <w:rPr>
          <w:rFonts w:ascii="Calibri" w:eastAsiaTheme="minorHAnsi" w:hAnsi="Calibri" w:hint="cs"/>
          <w:b w:val="0"/>
          <w:bCs w:val="0"/>
          <w:snapToGrid/>
          <w:sz w:val="22"/>
          <w:szCs w:val="24"/>
          <w:rtl/>
        </w:rPr>
        <w:t>התקשורת (בזק ושידורים)</w:t>
      </w:r>
      <w:r w:rsidR="00581403">
        <w:rPr>
          <w:rFonts w:ascii="Calibri" w:eastAsiaTheme="minorHAnsi" w:hAnsi="Calibri" w:hint="cs"/>
          <w:b w:val="0"/>
          <w:bCs w:val="0"/>
          <w:snapToGrid/>
          <w:sz w:val="22"/>
          <w:szCs w:val="24"/>
          <w:rtl/>
        </w:rPr>
        <w:t xml:space="preserve"> </w:t>
      </w:r>
      <w:r w:rsidRPr="00FD12EA">
        <w:rPr>
          <w:rFonts w:ascii="Calibri" w:eastAsiaTheme="minorHAnsi" w:hAnsi="Calibri" w:hint="cs"/>
          <w:b w:val="0"/>
          <w:bCs w:val="0"/>
          <w:snapToGrid/>
          <w:sz w:val="22"/>
          <w:szCs w:val="24"/>
          <w:rtl/>
        </w:rPr>
        <w:t xml:space="preserve">(תדרים </w:t>
      </w:r>
      <w:proofErr w:type="spellStart"/>
      <w:r w:rsidRPr="00FD12EA">
        <w:rPr>
          <w:rFonts w:ascii="Calibri" w:eastAsiaTheme="minorHAnsi" w:hAnsi="Calibri" w:hint="cs"/>
          <w:b w:val="0"/>
          <w:bCs w:val="0"/>
          <w:snapToGrid/>
          <w:sz w:val="22"/>
          <w:szCs w:val="24"/>
          <w:rtl/>
        </w:rPr>
        <w:t>למיתקני</w:t>
      </w:r>
      <w:proofErr w:type="spellEnd"/>
      <w:r w:rsidRPr="00FD12EA">
        <w:rPr>
          <w:rFonts w:ascii="Calibri" w:eastAsiaTheme="minorHAnsi" w:hAnsi="Calibri" w:hint="cs"/>
          <w:b w:val="0"/>
          <w:bCs w:val="0"/>
          <w:snapToGrid/>
          <w:sz w:val="22"/>
          <w:szCs w:val="24"/>
          <w:rtl/>
        </w:rPr>
        <w:t xml:space="preserve"> גישה אלחוטית),</w:t>
      </w:r>
      <w:r w:rsidR="003045ED">
        <w:rPr>
          <w:rFonts w:ascii="Calibri" w:eastAsiaTheme="minorHAnsi" w:hAnsi="Calibri" w:hint="cs"/>
          <w:b w:val="0"/>
          <w:bCs w:val="0"/>
          <w:snapToGrid/>
          <w:sz w:val="22"/>
          <w:szCs w:val="24"/>
          <w:rtl/>
        </w:rPr>
        <w:t xml:space="preserve"> </w:t>
      </w:r>
      <w:r w:rsidRPr="00FD12EA">
        <w:rPr>
          <w:rFonts w:ascii="Calibri" w:eastAsiaTheme="minorHAnsi" w:hAnsi="Calibri" w:hint="cs"/>
          <w:b w:val="0"/>
          <w:bCs w:val="0"/>
          <w:snapToGrid/>
          <w:sz w:val="22"/>
          <w:szCs w:val="24"/>
          <w:rtl/>
        </w:rPr>
        <w:t>התשס"ב-2002 ("</w:t>
      </w:r>
      <w:r w:rsidR="001158C4" w:rsidRPr="00581403">
        <w:rPr>
          <w:rFonts w:ascii="Calibri" w:eastAsiaTheme="minorHAnsi" w:hAnsi="Calibri" w:hint="cs"/>
          <w:snapToGrid/>
          <w:sz w:val="22"/>
          <w:szCs w:val="24"/>
          <w:rtl/>
        </w:rPr>
        <w:t>ה</w:t>
      </w:r>
      <w:r w:rsidRPr="00FD12EA">
        <w:rPr>
          <w:rFonts w:ascii="Calibri" w:eastAsiaTheme="minorHAnsi" w:hAnsi="Calibri" w:hint="cs"/>
          <w:snapToGrid/>
          <w:sz w:val="22"/>
          <w:szCs w:val="24"/>
          <w:rtl/>
        </w:rPr>
        <w:t>תקנות</w:t>
      </w:r>
      <w:r w:rsidRPr="00FD12EA">
        <w:rPr>
          <w:rFonts w:ascii="Calibri" w:eastAsiaTheme="minorHAnsi" w:hAnsi="Calibri" w:hint="cs"/>
          <w:b w:val="0"/>
          <w:bCs w:val="0"/>
          <w:snapToGrid/>
          <w:sz w:val="22"/>
          <w:szCs w:val="24"/>
          <w:rtl/>
        </w:rPr>
        <w:t xml:space="preserve">") </w:t>
      </w:r>
      <w:r w:rsidR="00224AC8" w:rsidRPr="00FD12EA">
        <w:rPr>
          <w:rFonts w:ascii="Calibri" w:eastAsiaTheme="minorHAnsi" w:hAnsi="Calibri" w:hint="cs"/>
          <w:b w:val="0"/>
          <w:bCs w:val="0"/>
          <w:snapToGrid/>
          <w:sz w:val="22"/>
          <w:szCs w:val="24"/>
          <w:rtl/>
        </w:rPr>
        <w:t>הותקנו בשנת 2002 על ידי שר התקשורת</w:t>
      </w:r>
      <w:r w:rsidR="003045ED">
        <w:rPr>
          <w:rFonts w:ascii="Calibri" w:eastAsiaTheme="minorHAnsi" w:hAnsi="Calibri" w:hint="cs"/>
          <w:b w:val="0"/>
          <w:bCs w:val="0"/>
          <w:snapToGrid/>
          <w:sz w:val="22"/>
          <w:szCs w:val="24"/>
          <w:rtl/>
        </w:rPr>
        <w:t>,</w:t>
      </w:r>
      <w:r w:rsidR="00224AC8" w:rsidRPr="00FD12EA">
        <w:rPr>
          <w:rFonts w:ascii="Calibri" w:eastAsiaTheme="minorHAnsi" w:hAnsi="Calibri" w:hint="cs"/>
          <w:b w:val="0"/>
          <w:bCs w:val="0"/>
          <w:snapToGrid/>
          <w:sz w:val="22"/>
          <w:szCs w:val="24"/>
          <w:rtl/>
        </w:rPr>
        <w:t xml:space="preserve"> בהתאם לסמכותו</w:t>
      </w:r>
      <w:r w:rsidR="00224AC8" w:rsidRPr="00FD12EA">
        <w:rPr>
          <w:rFonts w:ascii="Calibri" w:eastAsiaTheme="minorHAnsi" w:hAnsi="Calibri"/>
          <w:b w:val="0"/>
          <w:bCs w:val="0"/>
          <w:snapToGrid/>
          <w:sz w:val="22"/>
          <w:szCs w:val="24"/>
        </w:rPr>
        <w:t xml:space="preserve"> </w:t>
      </w:r>
      <w:r w:rsidR="00224AC8" w:rsidRPr="00FD12EA">
        <w:rPr>
          <w:rFonts w:ascii="Calibri" w:eastAsiaTheme="minorHAnsi" w:hAnsi="Calibri" w:hint="cs"/>
          <w:b w:val="0"/>
          <w:bCs w:val="0"/>
          <w:snapToGrid/>
          <w:sz w:val="22"/>
          <w:szCs w:val="24"/>
          <w:rtl/>
        </w:rPr>
        <w:t>לפי</w:t>
      </w:r>
      <w:r w:rsidR="00224AC8" w:rsidRPr="00FD12EA">
        <w:rPr>
          <w:rFonts w:ascii="Calibri" w:eastAsiaTheme="minorHAnsi" w:hAnsi="Calibri"/>
          <w:b w:val="0"/>
          <w:bCs w:val="0"/>
          <w:snapToGrid/>
          <w:sz w:val="22"/>
          <w:szCs w:val="24"/>
        </w:rPr>
        <w:t xml:space="preserve"> </w:t>
      </w:r>
      <w:r>
        <w:rPr>
          <w:rFonts w:ascii="Calibri" w:eastAsiaTheme="minorHAnsi" w:hAnsi="Calibri" w:hint="cs"/>
          <w:b w:val="0"/>
          <w:bCs w:val="0"/>
          <w:snapToGrid/>
          <w:sz w:val="22"/>
          <w:szCs w:val="24"/>
          <w:rtl/>
        </w:rPr>
        <w:t>סעיפים</w:t>
      </w:r>
      <w:r w:rsidR="003045ED">
        <w:rPr>
          <w:rFonts w:ascii="Calibri" w:eastAsiaTheme="minorHAnsi" w:hAnsi="Calibri"/>
          <w:b w:val="0"/>
          <w:bCs w:val="0"/>
          <w:snapToGrid/>
          <w:sz w:val="22"/>
          <w:szCs w:val="24"/>
        </w:rPr>
        <w:t xml:space="preserve"> </w:t>
      </w:r>
      <w:r w:rsidR="003045ED">
        <w:rPr>
          <w:rFonts w:ascii="Calibri" w:eastAsiaTheme="minorHAnsi" w:hAnsi="Calibri" w:hint="cs"/>
          <w:b w:val="0"/>
          <w:bCs w:val="0"/>
          <w:snapToGrid/>
          <w:sz w:val="22"/>
          <w:szCs w:val="24"/>
          <w:rtl/>
        </w:rPr>
        <w:t>27א</w:t>
      </w:r>
      <w:r>
        <w:rPr>
          <w:rFonts w:ascii="Calibri" w:eastAsiaTheme="minorHAnsi" w:hAnsi="Calibri" w:hint="cs"/>
          <w:b w:val="0"/>
          <w:bCs w:val="0"/>
          <w:snapToGrid/>
          <w:sz w:val="22"/>
          <w:szCs w:val="24"/>
          <w:rtl/>
        </w:rPr>
        <w:t xml:space="preserve"> ו- 59 </w:t>
      </w:r>
      <w:r w:rsidR="00224AC8" w:rsidRPr="00FD12EA">
        <w:rPr>
          <w:rFonts w:ascii="Calibri" w:eastAsiaTheme="minorHAnsi" w:hAnsi="Calibri" w:hint="cs"/>
          <w:b w:val="0"/>
          <w:bCs w:val="0"/>
          <w:snapToGrid/>
          <w:sz w:val="22"/>
          <w:szCs w:val="24"/>
          <w:rtl/>
        </w:rPr>
        <w:t>לחוק התקשורת (בזק ושידורים), התשמ"ב-1982 והן קובעות את תחומי התדרים בהם יופעלו מתקני גישה אלחוטית ("</w:t>
      </w:r>
      <w:proofErr w:type="spellStart"/>
      <w:r w:rsidR="00224AC8" w:rsidRPr="00F74348">
        <w:rPr>
          <w:rFonts w:ascii="Calibri" w:eastAsiaTheme="minorHAnsi" w:hAnsi="Calibri" w:hint="eastAsia"/>
          <w:snapToGrid/>
          <w:sz w:val="22"/>
          <w:szCs w:val="24"/>
          <w:rtl/>
        </w:rPr>
        <w:t>מג</w:t>
      </w:r>
      <w:r w:rsidR="00224AC8" w:rsidRPr="00F74348">
        <w:rPr>
          <w:rFonts w:ascii="Calibri" w:eastAsiaTheme="minorHAnsi" w:hAnsi="Calibri"/>
          <w:snapToGrid/>
          <w:sz w:val="22"/>
          <w:szCs w:val="24"/>
          <w:rtl/>
        </w:rPr>
        <w:t>"</w:t>
      </w:r>
      <w:r w:rsidR="00224AC8" w:rsidRPr="00F74348">
        <w:rPr>
          <w:rFonts w:ascii="Calibri" w:eastAsiaTheme="minorHAnsi" w:hAnsi="Calibri" w:hint="eastAsia"/>
          <w:snapToGrid/>
          <w:sz w:val="22"/>
          <w:szCs w:val="24"/>
          <w:rtl/>
        </w:rPr>
        <w:t>א</w:t>
      </w:r>
      <w:proofErr w:type="spellEnd"/>
      <w:r w:rsidR="00224AC8" w:rsidRPr="00FD12EA">
        <w:rPr>
          <w:rFonts w:ascii="Calibri" w:eastAsiaTheme="minorHAnsi" w:hAnsi="Calibri" w:hint="cs"/>
          <w:b w:val="0"/>
          <w:bCs w:val="0"/>
          <w:snapToGrid/>
          <w:sz w:val="22"/>
          <w:szCs w:val="24"/>
          <w:rtl/>
        </w:rPr>
        <w:t xml:space="preserve">"). </w:t>
      </w:r>
    </w:p>
    <w:p w:rsidR="00FD12EA" w:rsidRPr="00FD12EA" w:rsidRDefault="00FD12EA" w:rsidP="00895435">
      <w:pPr>
        <w:pStyle w:val="HeadHatzaotHok"/>
        <w:keepNext w:val="0"/>
        <w:keepLines w:val="0"/>
        <w:jc w:val="both"/>
        <w:rPr>
          <w:rFonts w:ascii="Calibri" w:eastAsiaTheme="minorHAnsi" w:hAnsi="Calibri"/>
          <w:b w:val="0"/>
          <w:bCs w:val="0"/>
          <w:snapToGrid/>
          <w:sz w:val="22"/>
          <w:szCs w:val="24"/>
        </w:rPr>
      </w:pPr>
    </w:p>
    <w:p w:rsidR="00224AC8" w:rsidRDefault="00224AC8" w:rsidP="00AB0BAE">
      <w:pPr>
        <w:widowControl/>
        <w:tabs>
          <w:tab w:val="left" w:pos="1037"/>
        </w:tabs>
        <w:spacing w:line="312" w:lineRule="auto"/>
        <w:contextualSpacing w:val="0"/>
        <w:rPr>
          <w:rFonts w:ascii="Calibri" w:hAnsi="Calibri"/>
          <w:sz w:val="22"/>
        </w:rPr>
      </w:pPr>
      <w:r w:rsidRPr="00F63D84">
        <w:rPr>
          <w:rFonts w:ascii="Calibri" w:hAnsi="Calibri" w:hint="cs"/>
          <w:sz w:val="22"/>
          <w:rtl/>
        </w:rPr>
        <w:t xml:space="preserve">תחומי התדרים שנקבעו בתקנות </w:t>
      </w:r>
      <w:r w:rsidR="00FD12EA">
        <w:rPr>
          <w:rFonts w:ascii="Calibri" w:hAnsi="Calibri" w:hint="cs"/>
          <w:sz w:val="22"/>
          <w:rtl/>
        </w:rPr>
        <w:t xml:space="preserve">במועד </w:t>
      </w:r>
      <w:r w:rsidR="00FD12EA" w:rsidRPr="00ED58AE">
        <w:rPr>
          <w:rFonts w:ascii="Calibri" w:hAnsi="Calibri" w:hint="cs"/>
          <w:sz w:val="22"/>
          <w:rtl/>
        </w:rPr>
        <w:t xml:space="preserve">התקנתן בשנת 2002, </w:t>
      </w:r>
      <w:r w:rsidRPr="00ED58AE">
        <w:rPr>
          <w:rFonts w:ascii="Calibri" w:hAnsi="Calibri" w:hint="cs"/>
          <w:sz w:val="22"/>
          <w:rtl/>
        </w:rPr>
        <w:t>כוללים תחומי תדרים ל</w:t>
      </w:r>
      <w:r w:rsidR="00FD12EA" w:rsidRPr="00ED58AE">
        <w:rPr>
          <w:rFonts w:ascii="Calibri" w:hAnsi="Calibri" w:hint="cs"/>
          <w:sz w:val="22"/>
          <w:rtl/>
        </w:rPr>
        <w:t xml:space="preserve">אספקת שירותים סלולאריים </w:t>
      </w:r>
      <w:r w:rsidR="003045ED" w:rsidRPr="00ED58AE">
        <w:rPr>
          <w:rFonts w:ascii="Calibri" w:hAnsi="Calibri" w:hint="cs"/>
          <w:sz w:val="22"/>
          <w:rtl/>
        </w:rPr>
        <w:t>בי</w:t>
      </w:r>
      <w:r w:rsidR="00FD12EA" w:rsidRPr="00ED58AE">
        <w:rPr>
          <w:rFonts w:ascii="Calibri" w:hAnsi="Calibri" w:hint="cs"/>
          <w:sz w:val="22"/>
          <w:rtl/>
        </w:rPr>
        <w:t xml:space="preserve">די </w:t>
      </w:r>
      <w:r w:rsidR="003F4CC1" w:rsidRPr="00ED58AE">
        <w:rPr>
          <w:rFonts w:ascii="Calibri" w:hAnsi="Calibri" w:hint="cs"/>
          <w:sz w:val="22"/>
          <w:rtl/>
        </w:rPr>
        <w:t xml:space="preserve">בעלי רישיון </w:t>
      </w:r>
      <w:proofErr w:type="spellStart"/>
      <w:r w:rsidRPr="00ED58AE">
        <w:rPr>
          <w:rFonts w:ascii="Calibri" w:hAnsi="Calibri" w:hint="cs"/>
          <w:sz w:val="22"/>
          <w:rtl/>
        </w:rPr>
        <w:t>רט"ן</w:t>
      </w:r>
      <w:proofErr w:type="spellEnd"/>
      <w:r w:rsidR="003045ED" w:rsidRPr="00ED58AE">
        <w:rPr>
          <w:rFonts w:ascii="Calibri" w:hAnsi="Calibri" w:hint="cs"/>
          <w:sz w:val="22"/>
          <w:rtl/>
        </w:rPr>
        <w:t>;</w:t>
      </w:r>
      <w:r w:rsidRPr="00ED58AE">
        <w:rPr>
          <w:rFonts w:ascii="Calibri" w:hAnsi="Calibri" w:hint="cs"/>
          <w:sz w:val="22"/>
          <w:rtl/>
        </w:rPr>
        <w:t xml:space="preserve"> </w:t>
      </w:r>
      <w:r w:rsidR="00FD12EA" w:rsidRPr="00ED58AE">
        <w:rPr>
          <w:rFonts w:ascii="Calibri" w:hAnsi="Calibri" w:hint="cs"/>
          <w:sz w:val="22"/>
          <w:rtl/>
        </w:rPr>
        <w:t xml:space="preserve">תחומי תדרים </w:t>
      </w:r>
      <w:r w:rsidRPr="00ED58AE">
        <w:rPr>
          <w:rFonts w:ascii="Calibri" w:hAnsi="Calibri" w:hint="cs"/>
          <w:sz w:val="22"/>
          <w:rtl/>
        </w:rPr>
        <w:t>לאספקת שירותי תקשורת רחבת סרט נייחת אלחוטית מנקודה לנקודה (עורקי נל"ן</w:t>
      </w:r>
      <w:r w:rsidR="00E91CF1">
        <w:rPr>
          <w:rFonts w:ascii="Calibri" w:hAnsi="Calibri" w:hint="cs"/>
          <w:sz w:val="22"/>
          <w:rtl/>
        </w:rPr>
        <w:t>/מיקרוגל</w:t>
      </w:r>
      <w:r w:rsidRPr="00ED58AE">
        <w:rPr>
          <w:rFonts w:ascii="Calibri" w:hAnsi="Calibri"/>
          <w:sz w:val="22"/>
          <w:rtl/>
        </w:rPr>
        <w:t>)</w:t>
      </w:r>
      <w:r w:rsidRPr="00ED58AE">
        <w:rPr>
          <w:rFonts w:ascii="Calibri" w:hAnsi="Calibri" w:hint="cs"/>
          <w:sz w:val="22"/>
          <w:rtl/>
        </w:rPr>
        <w:t xml:space="preserve"> </w:t>
      </w:r>
      <w:r w:rsidR="003045ED" w:rsidRPr="00ED58AE">
        <w:rPr>
          <w:rFonts w:ascii="Calibri" w:hAnsi="Calibri" w:hint="cs"/>
          <w:sz w:val="22"/>
          <w:rtl/>
        </w:rPr>
        <w:t>ב</w:t>
      </w:r>
      <w:r w:rsidRPr="00ED58AE">
        <w:rPr>
          <w:rFonts w:ascii="Calibri" w:hAnsi="Calibri" w:hint="cs"/>
          <w:sz w:val="22"/>
          <w:rtl/>
        </w:rPr>
        <w:t xml:space="preserve">ידי מפעילים פנים ארציים (מפ"א) ובעלי רישיונות אלחוטיים </w:t>
      </w:r>
      <w:r w:rsidRPr="00AB0BAE">
        <w:rPr>
          <w:rFonts w:ascii="Calibri" w:hAnsi="Calibri" w:hint="cs"/>
          <w:sz w:val="22"/>
          <w:rtl/>
        </w:rPr>
        <w:t>לשימוש עצמי</w:t>
      </w:r>
      <w:r w:rsidR="003045ED" w:rsidRPr="00AB0BAE">
        <w:rPr>
          <w:rFonts w:ascii="Calibri" w:hAnsi="Calibri" w:hint="cs"/>
          <w:sz w:val="22"/>
          <w:rtl/>
        </w:rPr>
        <w:t>;</w:t>
      </w:r>
      <w:r w:rsidRPr="00AB0BAE">
        <w:rPr>
          <w:rFonts w:ascii="Calibri" w:hAnsi="Calibri" w:hint="cs"/>
          <w:sz w:val="22"/>
          <w:rtl/>
        </w:rPr>
        <w:t xml:space="preserve"> ו</w:t>
      </w:r>
      <w:r w:rsidR="00FD12EA" w:rsidRPr="00AB0BAE">
        <w:rPr>
          <w:rFonts w:ascii="Calibri" w:hAnsi="Calibri" w:hint="cs"/>
          <w:sz w:val="22"/>
          <w:rtl/>
        </w:rPr>
        <w:t>תחומי תדרים ל</w:t>
      </w:r>
      <w:r w:rsidRPr="00AB0BAE">
        <w:rPr>
          <w:rFonts w:ascii="Calibri" w:hAnsi="Calibri" w:hint="cs"/>
          <w:sz w:val="22"/>
          <w:rtl/>
        </w:rPr>
        <w:t xml:space="preserve">אספקת שירות גישה אלחוטי לאינטרנט בתדרים הפטורים מרישוי בטכנולוגיית </w:t>
      </w:r>
      <w:r w:rsidRPr="00AB0BAE">
        <w:rPr>
          <w:rFonts w:ascii="Calibri" w:hAnsi="Calibri"/>
          <w:sz w:val="22"/>
        </w:rPr>
        <w:t>Wi-Fi</w:t>
      </w:r>
      <w:r w:rsidRPr="00AB0BAE">
        <w:rPr>
          <w:rFonts w:ascii="Calibri" w:hAnsi="Calibri"/>
          <w:sz w:val="22"/>
          <w:rtl/>
        </w:rPr>
        <w:t xml:space="preserve">. </w:t>
      </w:r>
    </w:p>
    <w:p w:rsidR="002B68A8" w:rsidRDefault="002B68A8" w:rsidP="00895435">
      <w:pPr>
        <w:widowControl/>
        <w:tabs>
          <w:tab w:val="left" w:pos="1037"/>
        </w:tabs>
        <w:spacing w:line="312" w:lineRule="auto"/>
        <w:contextualSpacing w:val="0"/>
        <w:rPr>
          <w:rFonts w:ascii="Calibri" w:hAnsi="Calibri"/>
          <w:sz w:val="22"/>
          <w:rtl/>
        </w:rPr>
      </w:pPr>
    </w:p>
    <w:p w:rsidR="00440ABC" w:rsidRDefault="00224AC8" w:rsidP="00895435">
      <w:pPr>
        <w:widowControl/>
        <w:tabs>
          <w:tab w:val="left" w:pos="1037"/>
        </w:tabs>
        <w:spacing w:line="312" w:lineRule="auto"/>
        <w:contextualSpacing w:val="0"/>
        <w:rPr>
          <w:rFonts w:ascii="Calibri" w:hAnsi="Calibri"/>
          <w:sz w:val="22"/>
          <w:rtl/>
        </w:rPr>
      </w:pPr>
      <w:r w:rsidRPr="00D90506">
        <w:rPr>
          <w:rFonts w:ascii="Calibri" w:hAnsi="Calibri" w:hint="eastAsia"/>
          <w:sz w:val="22"/>
          <w:rtl/>
        </w:rPr>
        <w:t>מאז</w:t>
      </w:r>
      <w:r w:rsidRPr="00D90506">
        <w:rPr>
          <w:rFonts w:ascii="Calibri" w:hAnsi="Calibri"/>
          <w:sz w:val="22"/>
          <w:rtl/>
        </w:rPr>
        <w:t xml:space="preserve"> </w:t>
      </w:r>
      <w:r w:rsidRPr="00D90506">
        <w:rPr>
          <w:rFonts w:ascii="Calibri" w:hAnsi="Calibri" w:hint="eastAsia"/>
          <w:sz w:val="22"/>
          <w:rtl/>
        </w:rPr>
        <w:t>שנת</w:t>
      </w:r>
      <w:r w:rsidRPr="00D90506">
        <w:rPr>
          <w:rFonts w:ascii="Calibri" w:hAnsi="Calibri"/>
          <w:sz w:val="22"/>
          <w:rtl/>
        </w:rPr>
        <w:t xml:space="preserve"> 2002 </w:t>
      </w:r>
      <w:r w:rsidRPr="00D90506">
        <w:rPr>
          <w:rFonts w:ascii="Calibri" w:hAnsi="Calibri" w:hint="eastAsia"/>
          <w:sz w:val="22"/>
          <w:rtl/>
        </w:rPr>
        <w:t>חלו</w:t>
      </w:r>
      <w:r w:rsidRPr="00D90506">
        <w:rPr>
          <w:rFonts w:ascii="Calibri" w:hAnsi="Calibri"/>
          <w:sz w:val="22"/>
          <w:rtl/>
        </w:rPr>
        <w:t xml:space="preserve"> </w:t>
      </w:r>
      <w:r w:rsidRPr="00D90506">
        <w:rPr>
          <w:rFonts w:ascii="Calibri" w:hAnsi="Calibri" w:hint="eastAsia"/>
          <w:sz w:val="22"/>
          <w:rtl/>
        </w:rPr>
        <w:t>שינויים</w:t>
      </w:r>
      <w:r w:rsidRPr="00D90506">
        <w:rPr>
          <w:rFonts w:ascii="Calibri" w:hAnsi="Calibri"/>
          <w:sz w:val="22"/>
          <w:rtl/>
        </w:rPr>
        <w:t xml:space="preserve"> </w:t>
      </w:r>
      <w:r w:rsidR="002B68A8">
        <w:rPr>
          <w:rFonts w:ascii="Calibri" w:hAnsi="Calibri" w:hint="cs"/>
          <w:sz w:val="22"/>
          <w:rtl/>
        </w:rPr>
        <w:t xml:space="preserve">שונים </w:t>
      </w:r>
      <w:r w:rsidR="001158C4">
        <w:rPr>
          <w:rFonts w:ascii="Calibri" w:hAnsi="Calibri" w:hint="cs"/>
          <w:sz w:val="22"/>
          <w:rtl/>
        </w:rPr>
        <w:t>ב</w:t>
      </w:r>
      <w:r w:rsidR="002B68A8">
        <w:rPr>
          <w:rFonts w:ascii="Calibri" w:hAnsi="Calibri" w:hint="cs"/>
          <w:sz w:val="22"/>
          <w:rtl/>
        </w:rPr>
        <w:t xml:space="preserve">תחומי התדרים </w:t>
      </w:r>
      <w:r w:rsidR="003F4CC1">
        <w:rPr>
          <w:rFonts w:ascii="Calibri" w:hAnsi="Calibri" w:hint="cs"/>
          <w:sz w:val="22"/>
          <w:rtl/>
        </w:rPr>
        <w:t>שנקבעו בתקנות</w:t>
      </w:r>
      <w:r w:rsidR="001158C4">
        <w:rPr>
          <w:rFonts w:ascii="Calibri" w:hAnsi="Calibri" w:hint="cs"/>
          <w:sz w:val="22"/>
          <w:rtl/>
        </w:rPr>
        <w:t xml:space="preserve"> כמפורט להלן</w:t>
      </w:r>
      <w:r w:rsidR="003F4CC1">
        <w:rPr>
          <w:rFonts w:ascii="Calibri" w:hAnsi="Calibri" w:hint="cs"/>
          <w:sz w:val="22"/>
          <w:rtl/>
        </w:rPr>
        <w:t>:</w:t>
      </w:r>
    </w:p>
    <w:p w:rsidR="00440ABC" w:rsidRDefault="00440ABC" w:rsidP="00895435">
      <w:pPr>
        <w:widowControl/>
        <w:tabs>
          <w:tab w:val="left" w:pos="1037"/>
        </w:tabs>
        <w:spacing w:line="312" w:lineRule="auto"/>
        <w:contextualSpacing w:val="0"/>
        <w:rPr>
          <w:rFonts w:ascii="Calibri" w:hAnsi="Calibri"/>
          <w:sz w:val="22"/>
          <w:rtl/>
        </w:rPr>
      </w:pPr>
    </w:p>
    <w:p w:rsidR="003F4CC1" w:rsidRDefault="00005934" w:rsidP="00581403">
      <w:pPr>
        <w:widowControl/>
        <w:tabs>
          <w:tab w:val="left" w:pos="1037"/>
        </w:tabs>
        <w:spacing w:line="312" w:lineRule="auto"/>
        <w:contextualSpacing w:val="0"/>
        <w:rPr>
          <w:rFonts w:ascii="Calibri" w:hAnsi="Calibri"/>
          <w:sz w:val="22"/>
          <w:rtl/>
        </w:rPr>
      </w:pPr>
      <w:r>
        <w:rPr>
          <w:rFonts w:ascii="Calibri" w:hAnsi="Calibri" w:hint="cs"/>
          <w:sz w:val="22"/>
          <w:rtl/>
        </w:rPr>
        <w:t>במסגרת ועידות הרדיו העולמי ה</w:t>
      </w:r>
      <w:r w:rsidR="00A1525F">
        <w:rPr>
          <w:rFonts w:ascii="Calibri" w:hAnsi="Calibri" w:hint="cs"/>
          <w:sz w:val="22"/>
          <w:rtl/>
        </w:rPr>
        <w:t>מ</w:t>
      </w:r>
      <w:r>
        <w:rPr>
          <w:rFonts w:ascii="Calibri" w:hAnsi="Calibri" w:hint="cs"/>
          <w:sz w:val="22"/>
          <w:rtl/>
        </w:rPr>
        <w:t>תקיימות אחת לארבע שנים</w:t>
      </w:r>
      <w:r w:rsidR="00770CAF">
        <w:rPr>
          <w:rFonts w:ascii="Calibri" w:hAnsi="Calibri" w:hint="cs"/>
          <w:sz w:val="22"/>
          <w:rtl/>
        </w:rPr>
        <w:t xml:space="preserve"> </w:t>
      </w:r>
      <w:r>
        <w:rPr>
          <w:rFonts w:ascii="Calibri" w:hAnsi="Calibri" w:hint="cs"/>
          <w:sz w:val="22"/>
          <w:rtl/>
        </w:rPr>
        <w:t xml:space="preserve">מעדכן </w:t>
      </w:r>
      <w:r w:rsidR="001158C4">
        <w:rPr>
          <w:rFonts w:ascii="Calibri" w:hAnsi="Calibri" w:hint="cs"/>
          <w:sz w:val="22"/>
          <w:rtl/>
        </w:rPr>
        <w:t>איגוד התקשורת הבין-לאומי</w:t>
      </w:r>
      <w:r w:rsidR="003F4CC1" w:rsidRPr="00D90506">
        <w:rPr>
          <w:rFonts w:ascii="Calibri" w:hAnsi="Calibri"/>
          <w:sz w:val="22"/>
        </w:rPr>
        <w:t>ITU</w:t>
      </w:r>
      <w:r w:rsidR="00581403">
        <w:rPr>
          <w:rFonts w:ascii="Calibri" w:hAnsi="Calibri"/>
          <w:sz w:val="22"/>
        </w:rPr>
        <w:t>)</w:t>
      </w:r>
      <w:r w:rsidR="001158C4">
        <w:rPr>
          <w:rFonts w:ascii="Calibri" w:hAnsi="Calibri"/>
          <w:sz w:val="22"/>
        </w:rPr>
        <w:t xml:space="preserve"> </w:t>
      </w:r>
      <w:r w:rsidR="00581403">
        <w:rPr>
          <w:rFonts w:ascii="Calibri" w:hAnsi="Calibri" w:hint="cs"/>
          <w:sz w:val="22"/>
          <w:rtl/>
        </w:rPr>
        <w:t>)</w:t>
      </w:r>
      <w:r w:rsidR="001158C4">
        <w:rPr>
          <w:rFonts w:ascii="Calibri" w:hAnsi="Calibri" w:hint="cs"/>
          <w:sz w:val="22"/>
          <w:rtl/>
        </w:rPr>
        <w:t xml:space="preserve"> </w:t>
      </w:r>
      <w:r>
        <w:rPr>
          <w:rFonts w:ascii="Calibri" w:hAnsi="Calibri" w:hint="cs"/>
          <w:sz w:val="22"/>
          <w:rtl/>
        </w:rPr>
        <w:t>את הועדות התדרים לשימושים השונים. מאז הועידה שהתקיימה בשנת 2007 הועדו פסי תדרים בתחומי ה-700 מה"ץ, 800 מה"ץ, 2600 מה"ץ ו- 3500 מה"ץ</w:t>
      </w:r>
      <w:r w:rsidRPr="00005934">
        <w:rPr>
          <w:rFonts w:ascii="Calibri" w:hAnsi="Calibri" w:hint="eastAsia"/>
          <w:sz w:val="22"/>
          <w:rtl/>
        </w:rPr>
        <w:t xml:space="preserve"> </w:t>
      </w:r>
      <w:r w:rsidRPr="00D90506">
        <w:rPr>
          <w:rFonts w:ascii="Calibri" w:hAnsi="Calibri" w:hint="eastAsia"/>
          <w:sz w:val="22"/>
          <w:rtl/>
        </w:rPr>
        <w:t>ל</w:t>
      </w:r>
      <w:r>
        <w:rPr>
          <w:rFonts w:ascii="Calibri" w:hAnsi="Calibri" w:hint="cs"/>
          <w:sz w:val="22"/>
          <w:rtl/>
        </w:rPr>
        <w:t xml:space="preserve">אספקת </w:t>
      </w:r>
      <w:r w:rsidRPr="00D90506">
        <w:rPr>
          <w:rFonts w:ascii="Calibri" w:hAnsi="Calibri" w:hint="eastAsia"/>
          <w:sz w:val="22"/>
          <w:rtl/>
        </w:rPr>
        <w:t>ש</w:t>
      </w:r>
      <w:r>
        <w:rPr>
          <w:rFonts w:ascii="Calibri" w:hAnsi="Calibri" w:hint="cs"/>
          <w:sz w:val="22"/>
          <w:rtl/>
        </w:rPr>
        <w:t>י</w:t>
      </w:r>
      <w:r w:rsidRPr="00D90506">
        <w:rPr>
          <w:rFonts w:ascii="Calibri" w:hAnsi="Calibri" w:hint="eastAsia"/>
          <w:sz w:val="22"/>
          <w:rtl/>
        </w:rPr>
        <w:t>רותים</w:t>
      </w:r>
      <w:r w:rsidRPr="00D90506">
        <w:rPr>
          <w:rFonts w:ascii="Calibri" w:hAnsi="Calibri"/>
          <w:sz w:val="22"/>
          <w:rtl/>
        </w:rPr>
        <w:t xml:space="preserve"> </w:t>
      </w:r>
      <w:r>
        <w:rPr>
          <w:rFonts w:ascii="Calibri" w:hAnsi="Calibri" w:hint="cs"/>
          <w:sz w:val="22"/>
          <w:rtl/>
        </w:rPr>
        <w:t>סלולאריים</w:t>
      </w:r>
      <w:r w:rsidRPr="00D90506">
        <w:rPr>
          <w:rFonts w:ascii="Calibri" w:hAnsi="Calibri"/>
          <w:sz w:val="22"/>
          <w:rtl/>
        </w:rPr>
        <w:t xml:space="preserve"> </w:t>
      </w:r>
      <w:r>
        <w:rPr>
          <w:rFonts w:ascii="Calibri" w:hAnsi="Calibri" w:hint="cs"/>
          <w:sz w:val="22"/>
          <w:rtl/>
        </w:rPr>
        <w:t xml:space="preserve">מתקדמים </w:t>
      </w:r>
      <w:r w:rsidRPr="00D90506">
        <w:rPr>
          <w:rFonts w:ascii="Calibri" w:hAnsi="Calibri"/>
          <w:sz w:val="22"/>
          <w:rtl/>
        </w:rPr>
        <w:t>בתקן</w:t>
      </w:r>
      <w:r w:rsidR="00581403">
        <w:rPr>
          <w:rFonts w:ascii="Calibri" w:hAnsi="Calibri" w:hint="cs"/>
          <w:sz w:val="22"/>
          <w:rtl/>
        </w:rPr>
        <w:t xml:space="preserve"> </w:t>
      </w:r>
      <w:r w:rsidRPr="00D90506">
        <w:rPr>
          <w:rFonts w:ascii="Calibri" w:hAnsi="Calibri"/>
          <w:sz w:val="22"/>
        </w:rPr>
        <w:t>IMT</w:t>
      </w:r>
      <w:r w:rsidR="00581403">
        <w:rPr>
          <w:rFonts w:ascii="Calibri" w:hAnsi="Calibri" w:hint="cs"/>
          <w:sz w:val="22"/>
          <w:rtl/>
        </w:rPr>
        <w:t xml:space="preserve"> </w:t>
      </w:r>
      <w:r w:rsidRPr="00D90506">
        <w:rPr>
          <w:rFonts w:ascii="Calibri" w:hAnsi="Calibri"/>
          <w:sz w:val="22"/>
          <w:rtl/>
        </w:rPr>
        <w:t xml:space="preserve"> (דור 4 ואילך)</w:t>
      </w:r>
      <w:r>
        <w:rPr>
          <w:rFonts w:ascii="Calibri" w:hAnsi="Calibri" w:hint="cs"/>
          <w:sz w:val="22"/>
          <w:rtl/>
        </w:rPr>
        <w:t xml:space="preserve">  </w:t>
      </w:r>
      <w:r w:rsidR="00A1525F">
        <w:rPr>
          <w:rFonts w:ascii="Calibri" w:hAnsi="Calibri" w:hint="cs"/>
          <w:sz w:val="22"/>
          <w:rtl/>
        </w:rPr>
        <w:t xml:space="preserve">באזור 1 </w:t>
      </w:r>
      <w:r w:rsidR="003F4CC1" w:rsidRPr="00D90506">
        <w:rPr>
          <w:rFonts w:ascii="Calibri" w:hAnsi="Calibri" w:hint="eastAsia"/>
          <w:sz w:val="22"/>
          <w:rtl/>
        </w:rPr>
        <w:t>אליו</w:t>
      </w:r>
      <w:r w:rsidR="003F4CC1" w:rsidRPr="00D90506">
        <w:rPr>
          <w:rFonts w:ascii="Calibri" w:hAnsi="Calibri"/>
          <w:sz w:val="22"/>
          <w:rtl/>
        </w:rPr>
        <w:t xml:space="preserve"> </w:t>
      </w:r>
      <w:r w:rsidR="003F4CC1" w:rsidRPr="00D90506">
        <w:rPr>
          <w:rFonts w:ascii="Calibri" w:hAnsi="Calibri" w:hint="eastAsia"/>
          <w:sz w:val="22"/>
          <w:rtl/>
        </w:rPr>
        <w:t>משתייכת</w:t>
      </w:r>
      <w:r w:rsidR="003F4CC1" w:rsidRPr="00D90506">
        <w:rPr>
          <w:rFonts w:ascii="Calibri" w:hAnsi="Calibri"/>
          <w:sz w:val="22"/>
          <w:rtl/>
        </w:rPr>
        <w:t xml:space="preserve"> </w:t>
      </w:r>
      <w:r w:rsidR="003F4CC1" w:rsidRPr="00D90506">
        <w:rPr>
          <w:rFonts w:ascii="Calibri" w:hAnsi="Calibri" w:hint="eastAsia"/>
          <w:sz w:val="22"/>
          <w:rtl/>
        </w:rPr>
        <w:t>ישראל</w:t>
      </w:r>
      <w:r w:rsidR="003F4CC1">
        <w:rPr>
          <w:rFonts w:ascii="Calibri" w:hAnsi="Calibri" w:hint="cs"/>
          <w:sz w:val="22"/>
          <w:rtl/>
        </w:rPr>
        <w:t xml:space="preserve">, </w:t>
      </w:r>
      <w:r w:rsidR="00816E92">
        <w:rPr>
          <w:rFonts w:ascii="Calibri" w:hAnsi="Calibri" w:hint="cs"/>
          <w:sz w:val="22"/>
          <w:rtl/>
        </w:rPr>
        <w:t xml:space="preserve"> </w:t>
      </w:r>
      <w:r w:rsidR="003F4CC1">
        <w:rPr>
          <w:rFonts w:ascii="Calibri" w:hAnsi="Calibri" w:hint="cs"/>
          <w:sz w:val="22"/>
          <w:rtl/>
        </w:rPr>
        <w:t xml:space="preserve">אשר </w:t>
      </w:r>
      <w:r w:rsidR="003F4CC1" w:rsidRPr="00D90506">
        <w:rPr>
          <w:rFonts w:ascii="Calibri" w:hAnsi="Calibri" w:hint="eastAsia"/>
          <w:sz w:val="22"/>
          <w:rtl/>
        </w:rPr>
        <w:t>כולל</w:t>
      </w:r>
      <w:r w:rsidR="003F4CC1" w:rsidRPr="00D90506">
        <w:rPr>
          <w:rFonts w:ascii="Calibri" w:hAnsi="Calibri"/>
          <w:sz w:val="22"/>
          <w:rtl/>
        </w:rPr>
        <w:t xml:space="preserve"> </w:t>
      </w:r>
      <w:r w:rsidR="003F4CC1" w:rsidRPr="00D90506">
        <w:rPr>
          <w:rFonts w:ascii="Calibri" w:hAnsi="Calibri" w:hint="eastAsia"/>
          <w:sz w:val="22"/>
          <w:rtl/>
        </w:rPr>
        <w:t>את</w:t>
      </w:r>
      <w:r w:rsidR="003F4CC1" w:rsidRPr="00D90506">
        <w:rPr>
          <w:rFonts w:ascii="Calibri" w:hAnsi="Calibri"/>
          <w:sz w:val="22"/>
          <w:rtl/>
        </w:rPr>
        <w:t xml:space="preserve"> </w:t>
      </w:r>
      <w:r w:rsidR="003F4CC1" w:rsidRPr="00D90506">
        <w:rPr>
          <w:rFonts w:ascii="Calibri" w:hAnsi="Calibri" w:hint="eastAsia"/>
          <w:sz w:val="22"/>
          <w:rtl/>
        </w:rPr>
        <w:t>אירופה</w:t>
      </w:r>
      <w:r w:rsidR="003F4CC1" w:rsidRPr="00D90506">
        <w:rPr>
          <w:rFonts w:ascii="Calibri" w:hAnsi="Calibri"/>
          <w:sz w:val="22"/>
          <w:rtl/>
        </w:rPr>
        <w:t xml:space="preserve">, </w:t>
      </w:r>
      <w:r w:rsidR="003F4CC1" w:rsidRPr="00D90506">
        <w:rPr>
          <w:rFonts w:ascii="Calibri" w:hAnsi="Calibri" w:hint="eastAsia"/>
          <w:sz w:val="22"/>
          <w:rtl/>
        </w:rPr>
        <w:t>המזרח</w:t>
      </w:r>
      <w:r w:rsidR="003F4CC1" w:rsidRPr="00D90506">
        <w:rPr>
          <w:rFonts w:ascii="Calibri" w:hAnsi="Calibri"/>
          <w:sz w:val="22"/>
          <w:rtl/>
        </w:rPr>
        <w:t xml:space="preserve"> </w:t>
      </w:r>
      <w:r w:rsidR="003F4CC1" w:rsidRPr="00D90506">
        <w:rPr>
          <w:rFonts w:ascii="Calibri" w:hAnsi="Calibri" w:hint="eastAsia"/>
          <w:sz w:val="22"/>
          <w:rtl/>
        </w:rPr>
        <w:t>התיכון</w:t>
      </w:r>
      <w:r w:rsidR="003F4CC1" w:rsidRPr="00D90506">
        <w:rPr>
          <w:rFonts w:ascii="Calibri" w:hAnsi="Calibri"/>
          <w:sz w:val="22"/>
          <w:rtl/>
        </w:rPr>
        <w:t xml:space="preserve"> </w:t>
      </w:r>
      <w:r w:rsidR="003F4CC1" w:rsidRPr="00D90506">
        <w:rPr>
          <w:rFonts w:ascii="Calibri" w:hAnsi="Calibri" w:hint="eastAsia"/>
          <w:sz w:val="22"/>
          <w:rtl/>
        </w:rPr>
        <w:t>ואפריקה</w:t>
      </w:r>
      <w:r w:rsidR="00816E92">
        <w:rPr>
          <w:rFonts w:ascii="Calibri" w:hAnsi="Calibri" w:hint="cs"/>
          <w:sz w:val="22"/>
          <w:rtl/>
        </w:rPr>
        <w:t xml:space="preserve">. </w:t>
      </w:r>
      <w:r w:rsidR="003F4CC1">
        <w:rPr>
          <w:rFonts w:ascii="Calibri" w:hAnsi="Calibri" w:hint="cs"/>
          <w:sz w:val="22"/>
          <w:rtl/>
        </w:rPr>
        <w:t xml:space="preserve">בהמשך לכך קבעה </w:t>
      </w:r>
      <w:r w:rsidR="003F4CC1" w:rsidRPr="00D90506">
        <w:rPr>
          <w:rFonts w:ascii="Calibri" w:hAnsi="Calibri" w:hint="eastAsia"/>
          <w:sz w:val="22"/>
          <w:rtl/>
        </w:rPr>
        <w:t>ועדת</w:t>
      </w:r>
      <w:r w:rsidR="003F4CC1" w:rsidRPr="00D90506">
        <w:rPr>
          <w:rFonts w:ascii="Calibri" w:hAnsi="Calibri"/>
          <w:sz w:val="22"/>
          <w:rtl/>
        </w:rPr>
        <w:t xml:space="preserve"> </w:t>
      </w:r>
      <w:r w:rsidR="003F4CC1" w:rsidRPr="00D90506">
        <w:rPr>
          <w:rFonts w:ascii="Calibri" w:hAnsi="Calibri" w:hint="eastAsia"/>
          <w:sz w:val="22"/>
          <w:rtl/>
        </w:rPr>
        <w:t>התדרים</w:t>
      </w:r>
      <w:r w:rsidR="003F4CC1" w:rsidRPr="00893F0B">
        <w:rPr>
          <w:rStyle w:val="a7"/>
          <w:rFonts w:ascii="Calibri" w:hAnsi="Calibri"/>
          <w:sz w:val="22"/>
          <w:rtl/>
        </w:rPr>
        <w:footnoteReference w:id="2"/>
      </w:r>
      <w:r w:rsidR="003F4CC1" w:rsidRPr="00D90506">
        <w:rPr>
          <w:rFonts w:ascii="Calibri" w:hAnsi="Calibri"/>
          <w:sz w:val="22"/>
          <w:rtl/>
        </w:rPr>
        <w:t xml:space="preserve"> </w:t>
      </w:r>
      <w:r w:rsidR="00770CAF">
        <w:rPr>
          <w:rFonts w:ascii="Calibri" w:hAnsi="Calibri" w:hint="cs"/>
          <w:sz w:val="22"/>
          <w:rtl/>
        </w:rPr>
        <w:t xml:space="preserve">מעת לעת </w:t>
      </w:r>
      <w:r w:rsidR="003F4CC1" w:rsidRPr="00D90506">
        <w:rPr>
          <w:rFonts w:ascii="Calibri" w:hAnsi="Calibri"/>
          <w:sz w:val="22"/>
          <w:rtl/>
        </w:rPr>
        <w:t xml:space="preserve">הועדות מתאימות </w:t>
      </w:r>
      <w:r w:rsidR="001158C4">
        <w:rPr>
          <w:rFonts w:ascii="Calibri" w:hAnsi="Calibri" w:hint="cs"/>
          <w:sz w:val="22"/>
          <w:rtl/>
        </w:rPr>
        <w:t xml:space="preserve">לאספקת השירותים </w:t>
      </w:r>
      <w:r w:rsidR="00D91B7B">
        <w:rPr>
          <w:rFonts w:ascii="Calibri" w:hAnsi="Calibri" w:hint="cs"/>
          <w:sz w:val="22"/>
          <w:rtl/>
        </w:rPr>
        <w:t>ב</w:t>
      </w:r>
      <w:r w:rsidR="001158C4">
        <w:rPr>
          <w:rFonts w:ascii="Calibri" w:hAnsi="Calibri" w:hint="cs"/>
          <w:sz w:val="22"/>
          <w:rtl/>
        </w:rPr>
        <w:t xml:space="preserve">ידי בעלי רישיון </w:t>
      </w:r>
      <w:proofErr w:type="spellStart"/>
      <w:r w:rsidR="001158C4">
        <w:rPr>
          <w:rFonts w:ascii="Calibri" w:hAnsi="Calibri" w:hint="cs"/>
          <w:sz w:val="22"/>
          <w:rtl/>
        </w:rPr>
        <w:t>רט"ן</w:t>
      </w:r>
      <w:proofErr w:type="spellEnd"/>
      <w:r w:rsidR="001158C4" w:rsidRPr="00D90506">
        <w:rPr>
          <w:rFonts w:ascii="Calibri" w:hAnsi="Calibri"/>
          <w:sz w:val="22"/>
          <w:rtl/>
        </w:rPr>
        <w:t xml:space="preserve"> </w:t>
      </w:r>
      <w:r w:rsidR="003F4CC1" w:rsidRPr="00D90506">
        <w:rPr>
          <w:rFonts w:ascii="Calibri" w:hAnsi="Calibri"/>
          <w:sz w:val="22"/>
          <w:rtl/>
        </w:rPr>
        <w:t>במדינת ישראל</w:t>
      </w:r>
      <w:r w:rsidR="00893F0B">
        <w:rPr>
          <w:rFonts w:ascii="Calibri" w:hAnsi="Calibri" w:hint="cs"/>
          <w:sz w:val="22"/>
          <w:rtl/>
        </w:rPr>
        <w:t>.</w:t>
      </w:r>
      <w:r w:rsidR="003F4CC1">
        <w:rPr>
          <w:rFonts w:ascii="Calibri" w:hAnsi="Calibri" w:hint="cs"/>
          <w:sz w:val="22"/>
          <w:rtl/>
        </w:rPr>
        <w:t xml:space="preserve"> </w:t>
      </w:r>
      <w:r w:rsidR="00893F0B">
        <w:rPr>
          <w:rFonts w:ascii="Calibri" w:hAnsi="Calibri" w:hint="cs"/>
          <w:sz w:val="22"/>
          <w:rtl/>
        </w:rPr>
        <w:t xml:space="preserve">בהתאם להועדות אלה, </w:t>
      </w:r>
      <w:r w:rsidR="00D91B7B">
        <w:rPr>
          <w:rFonts w:ascii="Calibri" w:hAnsi="Calibri" w:hint="cs"/>
          <w:sz w:val="22"/>
          <w:rtl/>
        </w:rPr>
        <w:t xml:space="preserve">המכרז </w:t>
      </w:r>
      <w:r w:rsidR="00893F0B" w:rsidRPr="00C95458">
        <w:rPr>
          <w:rFonts w:ascii="Calibri" w:hAnsi="Calibri" w:hint="cs"/>
          <w:sz w:val="22"/>
          <w:rtl/>
        </w:rPr>
        <w:t>ל</w:t>
      </w:r>
      <w:r w:rsidR="001158C4">
        <w:rPr>
          <w:rFonts w:ascii="Calibri" w:hAnsi="Calibri" w:hint="cs"/>
          <w:sz w:val="22"/>
          <w:rtl/>
        </w:rPr>
        <w:t>הקצאת תדרים ל</w:t>
      </w:r>
      <w:r w:rsidR="00893F0B" w:rsidRPr="00C95458">
        <w:rPr>
          <w:rFonts w:ascii="Calibri" w:hAnsi="Calibri" w:hint="cs"/>
          <w:sz w:val="22"/>
          <w:rtl/>
        </w:rPr>
        <w:t>אספקת שירותי</w:t>
      </w:r>
      <w:r w:rsidR="001158C4">
        <w:rPr>
          <w:rFonts w:ascii="Calibri" w:hAnsi="Calibri" w:hint="cs"/>
          <w:sz w:val="22"/>
          <w:rtl/>
        </w:rPr>
        <w:t xml:space="preserve">ם סלולאריים </w:t>
      </w:r>
      <w:r w:rsidR="00893F0B" w:rsidRPr="00C95458">
        <w:rPr>
          <w:rFonts w:ascii="Calibri" w:hAnsi="Calibri" w:hint="cs"/>
          <w:sz w:val="22"/>
          <w:rtl/>
        </w:rPr>
        <w:t>מתקדמים</w:t>
      </w:r>
      <w:r w:rsidR="00893F0B" w:rsidRPr="00D90506">
        <w:rPr>
          <w:rFonts w:ascii="Calibri" w:hAnsi="Calibri"/>
          <w:sz w:val="22"/>
          <w:rtl/>
        </w:rPr>
        <w:t xml:space="preserve"> </w:t>
      </w:r>
      <w:r w:rsidR="00893F0B">
        <w:rPr>
          <w:rFonts w:ascii="Calibri" w:hAnsi="Calibri" w:hint="cs"/>
          <w:sz w:val="22"/>
          <w:rtl/>
        </w:rPr>
        <w:t>(</w:t>
      </w:r>
      <w:r w:rsidR="00816E92">
        <w:rPr>
          <w:rFonts w:ascii="Calibri" w:hAnsi="Calibri" w:hint="cs"/>
          <w:sz w:val="22"/>
          <w:rtl/>
        </w:rPr>
        <w:t>"</w:t>
      </w:r>
      <w:r w:rsidR="001158C4">
        <w:rPr>
          <w:rFonts w:ascii="Calibri" w:hAnsi="Calibri" w:hint="cs"/>
          <w:sz w:val="22"/>
          <w:rtl/>
        </w:rPr>
        <w:t xml:space="preserve">מכרז </w:t>
      </w:r>
      <w:r w:rsidR="00893F0B">
        <w:rPr>
          <w:rFonts w:ascii="Calibri" w:hAnsi="Calibri" w:hint="cs"/>
          <w:sz w:val="22"/>
          <w:rtl/>
        </w:rPr>
        <w:t xml:space="preserve">דור </w:t>
      </w:r>
      <w:r w:rsidR="001158C4" w:rsidRPr="00652627">
        <w:rPr>
          <w:rFonts w:ascii="Calibri" w:hAnsi="Calibri" w:hint="cs"/>
          <w:sz w:val="22"/>
          <w:rtl/>
        </w:rPr>
        <w:t>5</w:t>
      </w:r>
      <w:r w:rsidR="00816E92">
        <w:rPr>
          <w:rFonts w:ascii="Calibri" w:hAnsi="Calibri" w:hint="cs"/>
          <w:sz w:val="22"/>
          <w:rtl/>
        </w:rPr>
        <w:t>"</w:t>
      </w:r>
      <w:r w:rsidR="00893F0B" w:rsidRPr="00652627">
        <w:rPr>
          <w:rFonts w:ascii="Calibri" w:hAnsi="Calibri" w:hint="cs"/>
          <w:sz w:val="22"/>
          <w:rtl/>
        </w:rPr>
        <w:t xml:space="preserve">) שצפוי להתפרסם בחודשים הקרובים, </w:t>
      </w:r>
      <w:r w:rsidR="00D91B7B">
        <w:rPr>
          <w:rFonts w:ascii="Calibri" w:hAnsi="Calibri" w:hint="cs"/>
          <w:sz w:val="22"/>
          <w:rtl/>
        </w:rPr>
        <w:t xml:space="preserve">יכלול </w:t>
      </w:r>
      <w:r w:rsidR="00893F0B">
        <w:rPr>
          <w:rFonts w:ascii="Calibri" w:hAnsi="Calibri" w:hint="cs"/>
          <w:sz w:val="22"/>
          <w:rtl/>
        </w:rPr>
        <w:t xml:space="preserve">תחומי תדרים </w:t>
      </w:r>
      <w:r w:rsidR="003F4CC1">
        <w:rPr>
          <w:rFonts w:ascii="Calibri" w:hAnsi="Calibri" w:hint="cs"/>
          <w:sz w:val="22"/>
          <w:rtl/>
        </w:rPr>
        <w:t xml:space="preserve">שאינם </w:t>
      </w:r>
      <w:r w:rsidR="00F74348">
        <w:rPr>
          <w:rFonts w:ascii="Calibri" w:hAnsi="Calibri" w:hint="cs"/>
          <w:sz w:val="22"/>
          <w:rtl/>
        </w:rPr>
        <w:t>קבועים</w:t>
      </w:r>
      <w:r w:rsidR="003F4CC1">
        <w:rPr>
          <w:rFonts w:ascii="Calibri" w:hAnsi="Calibri" w:hint="cs"/>
          <w:sz w:val="22"/>
          <w:rtl/>
        </w:rPr>
        <w:t xml:space="preserve"> כיום בתקנות</w:t>
      </w:r>
      <w:r w:rsidR="00893F0B">
        <w:rPr>
          <w:rStyle w:val="a7"/>
          <w:rFonts w:ascii="Calibri" w:hAnsi="Calibri"/>
          <w:sz w:val="22"/>
          <w:rtl/>
        </w:rPr>
        <w:footnoteReference w:id="3"/>
      </w:r>
      <w:r w:rsidR="003F4CC1">
        <w:rPr>
          <w:rFonts w:ascii="Calibri" w:hAnsi="Calibri" w:hint="cs"/>
          <w:sz w:val="22"/>
          <w:rtl/>
        </w:rPr>
        <w:t xml:space="preserve">. </w:t>
      </w:r>
    </w:p>
    <w:p w:rsidR="00440ABC" w:rsidRDefault="00440ABC" w:rsidP="00895435">
      <w:pPr>
        <w:widowControl/>
        <w:tabs>
          <w:tab w:val="left" w:pos="1037"/>
        </w:tabs>
        <w:spacing w:line="312" w:lineRule="auto"/>
        <w:contextualSpacing w:val="0"/>
        <w:rPr>
          <w:rFonts w:ascii="Calibri" w:hAnsi="Calibri"/>
          <w:sz w:val="22"/>
          <w:rtl/>
        </w:rPr>
      </w:pPr>
    </w:p>
    <w:p w:rsidR="00440ABC" w:rsidRDefault="003F4CC1" w:rsidP="00077AA0">
      <w:pPr>
        <w:widowControl/>
        <w:tabs>
          <w:tab w:val="left" w:pos="1037"/>
        </w:tabs>
        <w:spacing w:line="312" w:lineRule="auto"/>
        <w:contextualSpacing w:val="0"/>
        <w:rPr>
          <w:rFonts w:ascii="Calibri" w:hAnsi="Calibri"/>
          <w:sz w:val="22"/>
          <w:rtl/>
        </w:rPr>
      </w:pPr>
      <w:r w:rsidRPr="006E54CC">
        <w:rPr>
          <w:rFonts w:ascii="Calibri" w:hAnsi="Calibri" w:hint="cs"/>
          <w:sz w:val="22"/>
          <w:rtl/>
        </w:rPr>
        <w:t xml:space="preserve">כמו כן, החל משנת </w:t>
      </w:r>
      <w:r w:rsidRPr="005F2C29">
        <w:rPr>
          <w:rFonts w:ascii="Calibri" w:hAnsi="Calibri"/>
          <w:sz w:val="22"/>
          <w:rtl/>
        </w:rPr>
        <w:t>2010</w:t>
      </w:r>
      <w:r w:rsidRPr="006E54CC">
        <w:rPr>
          <w:rFonts w:ascii="Calibri" w:hAnsi="Calibri" w:hint="cs"/>
          <w:sz w:val="22"/>
          <w:rtl/>
        </w:rPr>
        <w:t xml:space="preserve">, </w:t>
      </w:r>
      <w:r w:rsidR="00440ABC">
        <w:rPr>
          <w:rFonts w:ascii="Calibri" w:hAnsi="Calibri" w:hint="cs"/>
          <w:sz w:val="22"/>
          <w:rtl/>
        </w:rPr>
        <w:t xml:space="preserve">קבעה </w:t>
      </w:r>
      <w:r w:rsidRPr="006E54CC">
        <w:rPr>
          <w:rFonts w:ascii="Calibri" w:hAnsi="Calibri" w:hint="cs"/>
          <w:sz w:val="22"/>
          <w:rtl/>
        </w:rPr>
        <w:t xml:space="preserve">ועדת התדרים </w:t>
      </w:r>
      <w:r w:rsidR="00440ABC">
        <w:rPr>
          <w:rFonts w:ascii="Calibri" w:hAnsi="Calibri" w:hint="cs"/>
          <w:sz w:val="22"/>
          <w:rtl/>
        </w:rPr>
        <w:t>הועד</w:t>
      </w:r>
      <w:r w:rsidR="00EC242A">
        <w:rPr>
          <w:rFonts w:ascii="Calibri" w:hAnsi="Calibri" w:hint="cs"/>
          <w:sz w:val="22"/>
          <w:rtl/>
        </w:rPr>
        <w:t>ה</w:t>
      </w:r>
      <w:r w:rsidR="00440ABC">
        <w:rPr>
          <w:rFonts w:ascii="Calibri" w:hAnsi="Calibri" w:hint="cs"/>
          <w:sz w:val="22"/>
          <w:rtl/>
        </w:rPr>
        <w:t xml:space="preserve"> של </w:t>
      </w:r>
      <w:r w:rsidR="00021152">
        <w:rPr>
          <w:rFonts w:ascii="Calibri" w:hAnsi="Calibri" w:hint="cs"/>
          <w:sz w:val="22"/>
          <w:rtl/>
        </w:rPr>
        <w:t xml:space="preserve">פסי </w:t>
      </w:r>
      <w:r w:rsidRPr="006E54CC">
        <w:rPr>
          <w:rFonts w:ascii="Calibri" w:hAnsi="Calibri" w:hint="cs"/>
          <w:sz w:val="22"/>
          <w:rtl/>
        </w:rPr>
        <w:t xml:space="preserve">תדרים נוספים </w:t>
      </w:r>
      <w:r w:rsidR="00021152">
        <w:rPr>
          <w:rFonts w:ascii="Calibri" w:hAnsi="Calibri" w:hint="cs"/>
          <w:sz w:val="22"/>
          <w:rtl/>
        </w:rPr>
        <w:t xml:space="preserve">בתחום הגלים המילימטריים </w:t>
      </w:r>
      <w:r w:rsidRPr="006E54CC">
        <w:rPr>
          <w:rFonts w:ascii="Calibri" w:hAnsi="Calibri" w:hint="cs"/>
          <w:sz w:val="22"/>
          <w:rtl/>
        </w:rPr>
        <w:t>ל</w:t>
      </w:r>
      <w:r w:rsidR="00440ABC">
        <w:rPr>
          <w:rFonts w:ascii="Calibri" w:hAnsi="Calibri" w:hint="cs"/>
          <w:sz w:val="22"/>
          <w:rtl/>
        </w:rPr>
        <w:t xml:space="preserve">אספקת </w:t>
      </w:r>
      <w:r w:rsidRPr="006E54CC">
        <w:rPr>
          <w:rFonts w:ascii="Calibri" w:hAnsi="Calibri" w:hint="cs"/>
          <w:sz w:val="22"/>
          <w:rtl/>
        </w:rPr>
        <w:t>שירות</w:t>
      </w:r>
      <w:r w:rsidR="00440ABC">
        <w:rPr>
          <w:rFonts w:ascii="Calibri" w:hAnsi="Calibri" w:hint="cs"/>
          <w:sz w:val="22"/>
          <w:rtl/>
        </w:rPr>
        <w:t>ים</w:t>
      </w:r>
      <w:r w:rsidRPr="006E54CC">
        <w:rPr>
          <w:rFonts w:ascii="Calibri" w:hAnsi="Calibri" w:hint="cs"/>
          <w:sz w:val="22"/>
          <w:rtl/>
        </w:rPr>
        <w:t xml:space="preserve"> נייח</w:t>
      </w:r>
      <w:r w:rsidR="00440ABC">
        <w:rPr>
          <w:rFonts w:ascii="Calibri" w:hAnsi="Calibri" w:hint="cs"/>
          <w:sz w:val="22"/>
          <w:rtl/>
        </w:rPr>
        <w:t>ים</w:t>
      </w:r>
      <w:r w:rsidRPr="006E54CC">
        <w:rPr>
          <w:rFonts w:ascii="Calibri" w:hAnsi="Calibri" w:hint="cs"/>
          <w:sz w:val="22"/>
          <w:rtl/>
        </w:rPr>
        <w:t xml:space="preserve"> </w:t>
      </w:r>
      <w:r w:rsidR="009A544B">
        <w:rPr>
          <w:rFonts w:ascii="Calibri" w:hAnsi="Calibri" w:hint="cs"/>
          <w:sz w:val="22"/>
          <w:rtl/>
        </w:rPr>
        <w:t>באמצעות</w:t>
      </w:r>
      <w:r w:rsidR="009A544B" w:rsidRPr="00440ABC">
        <w:rPr>
          <w:rFonts w:ascii="Calibri" w:hAnsi="Calibri" w:hint="cs"/>
          <w:sz w:val="22"/>
          <w:rtl/>
        </w:rPr>
        <w:t xml:space="preserve"> </w:t>
      </w:r>
      <w:r w:rsidRPr="00440ABC">
        <w:rPr>
          <w:rFonts w:ascii="Calibri" w:hAnsi="Calibri" w:hint="cs"/>
          <w:sz w:val="22"/>
          <w:rtl/>
        </w:rPr>
        <w:t>עורקי נל"</w:t>
      </w:r>
      <w:r w:rsidRPr="00584C11">
        <w:rPr>
          <w:rFonts w:ascii="Calibri" w:hAnsi="Calibri" w:hint="cs"/>
          <w:sz w:val="22"/>
          <w:rtl/>
        </w:rPr>
        <w:t>ן</w:t>
      </w:r>
      <w:r w:rsidRPr="00584C11">
        <w:rPr>
          <w:rFonts w:ascii="Calibri" w:hAnsi="Calibri"/>
          <w:sz w:val="22"/>
          <w:rtl/>
        </w:rPr>
        <w:t xml:space="preserve"> </w:t>
      </w:r>
      <w:r w:rsidRPr="00584C11">
        <w:rPr>
          <w:rFonts w:ascii="Calibri" w:hAnsi="Calibri" w:hint="cs"/>
          <w:sz w:val="22"/>
          <w:rtl/>
        </w:rPr>
        <w:t>ו</w:t>
      </w:r>
      <w:r w:rsidR="00205E58" w:rsidRPr="00584C11">
        <w:rPr>
          <w:rFonts w:ascii="Calibri" w:hAnsi="Calibri" w:hint="cs"/>
          <w:sz w:val="22"/>
          <w:rtl/>
        </w:rPr>
        <w:t xml:space="preserve">בכלל כך </w:t>
      </w:r>
      <w:r w:rsidR="00A57E7C" w:rsidRPr="00584C11">
        <w:rPr>
          <w:rFonts w:ascii="Calibri" w:hAnsi="Calibri" w:hint="eastAsia"/>
          <w:sz w:val="22"/>
          <w:rtl/>
        </w:rPr>
        <w:t>באמצעות</w:t>
      </w:r>
      <w:r w:rsidR="00A57E7C" w:rsidRPr="00584C11">
        <w:rPr>
          <w:rFonts w:ascii="Calibri" w:hAnsi="Calibri"/>
          <w:sz w:val="22"/>
          <w:rtl/>
        </w:rPr>
        <w:t xml:space="preserve"> </w:t>
      </w:r>
      <w:r w:rsidR="001340F2" w:rsidRPr="00584C11">
        <w:rPr>
          <w:rFonts w:ascii="Calibri" w:hAnsi="Calibri"/>
          <w:sz w:val="22"/>
          <w:rtl/>
        </w:rPr>
        <w:t>מערכות גישה אלחוטיות קבועות</w:t>
      </w:r>
      <w:r w:rsidR="00EC242A" w:rsidRPr="00584C11">
        <w:rPr>
          <w:rFonts w:ascii="Calibri" w:hAnsi="Calibri"/>
          <w:sz w:val="22"/>
          <w:rtl/>
        </w:rPr>
        <w:t xml:space="preserve"> </w:t>
      </w:r>
      <w:r w:rsidR="001340F2" w:rsidRPr="00584C11">
        <w:rPr>
          <w:rFonts w:ascii="Calibri" w:hAnsi="Calibri"/>
          <w:sz w:val="22"/>
          <w:rtl/>
        </w:rPr>
        <w:t xml:space="preserve">מסוג </w:t>
      </w:r>
      <w:r w:rsidRPr="00584C11">
        <w:rPr>
          <w:rFonts w:ascii="Calibri" w:hAnsi="Calibri" w:hint="cs"/>
          <w:sz w:val="22"/>
          <w:rtl/>
        </w:rPr>
        <w:t>רשת קווי נל"ן אלחוטיים מנקודה אחת לריבוי נקודות</w:t>
      </w:r>
      <w:r w:rsidR="00D91B7B">
        <w:rPr>
          <w:rFonts w:ascii="Calibri" w:hAnsi="Calibri" w:hint="cs"/>
          <w:sz w:val="22"/>
          <w:rtl/>
        </w:rPr>
        <w:t>.</w:t>
      </w:r>
      <w:r w:rsidR="00440ABC" w:rsidRPr="00584C11">
        <w:rPr>
          <w:rFonts w:ascii="Calibri" w:hAnsi="Calibri" w:hint="cs"/>
          <w:sz w:val="22"/>
          <w:rtl/>
        </w:rPr>
        <w:t xml:space="preserve"> </w:t>
      </w:r>
      <w:r w:rsidR="00021152">
        <w:rPr>
          <w:rFonts w:ascii="Calibri" w:hAnsi="Calibri" w:hint="cs"/>
          <w:sz w:val="22"/>
          <w:rtl/>
        </w:rPr>
        <w:t>ב</w:t>
      </w:r>
      <w:r w:rsidR="00EE7EFF">
        <w:rPr>
          <w:rFonts w:ascii="Calibri" w:hAnsi="Calibri" w:hint="cs"/>
          <w:sz w:val="22"/>
          <w:rtl/>
        </w:rPr>
        <w:t>פס</w:t>
      </w:r>
      <w:r w:rsidR="00021152">
        <w:rPr>
          <w:rFonts w:ascii="Calibri" w:hAnsi="Calibri" w:hint="cs"/>
          <w:sz w:val="22"/>
          <w:rtl/>
        </w:rPr>
        <w:t xml:space="preserve">י </w:t>
      </w:r>
      <w:r w:rsidR="00EE7EFF">
        <w:rPr>
          <w:rFonts w:ascii="Calibri" w:hAnsi="Calibri" w:hint="cs"/>
          <w:sz w:val="22"/>
          <w:rtl/>
        </w:rPr>
        <w:t xml:space="preserve">תדרים </w:t>
      </w:r>
      <w:r w:rsidR="00021152">
        <w:rPr>
          <w:rFonts w:ascii="Calibri" w:hAnsi="Calibri" w:hint="cs"/>
          <w:sz w:val="22"/>
          <w:rtl/>
        </w:rPr>
        <w:t>אלה ניתן</w:t>
      </w:r>
      <w:r w:rsidR="00B26471">
        <w:rPr>
          <w:rFonts w:ascii="Calibri" w:hAnsi="Calibri" w:hint="cs"/>
          <w:sz w:val="22"/>
          <w:rtl/>
        </w:rPr>
        <w:t xml:space="preserve"> </w:t>
      </w:r>
      <w:r w:rsidR="00021152">
        <w:rPr>
          <w:rFonts w:ascii="Calibri" w:hAnsi="Calibri" w:hint="cs"/>
          <w:sz w:val="22"/>
          <w:rtl/>
        </w:rPr>
        <w:t>ל</w:t>
      </w:r>
      <w:r w:rsidR="00B26471">
        <w:rPr>
          <w:rFonts w:ascii="Calibri" w:hAnsi="Calibri" w:hint="cs"/>
          <w:sz w:val="22"/>
          <w:rtl/>
        </w:rPr>
        <w:t>העב</w:t>
      </w:r>
      <w:r w:rsidR="00021152">
        <w:rPr>
          <w:rFonts w:ascii="Calibri" w:hAnsi="Calibri" w:hint="cs"/>
          <w:sz w:val="22"/>
          <w:rtl/>
        </w:rPr>
        <w:t>יר</w:t>
      </w:r>
      <w:r w:rsidR="00B26471">
        <w:rPr>
          <w:rFonts w:ascii="Calibri" w:hAnsi="Calibri" w:hint="cs"/>
          <w:sz w:val="22"/>
          <w:rtl/>
        </w:rPr>
        <w:t xml:space="preserve"> מידע </w:t>
      </w:r>
      <w:proofErr w:type="spellStart"/>
      <w:r w:rsidR="00B26471">
        <w:rPr>
          <w:rFonts w:ascii="Calibri" w:hAnsi="Calibri" w:hint="cs"/>
          <w:sz w:val="22"/>
          <w:rtl/>
        </w:rPr>
        <w:t>בקצבים</w:t>
      </w:r>
      <w:proofErr w:type="spellEnd"/>
      <w:r w:rsidR="00B26471">
        <w:rPr>
          <w:rFonts w:ascii="Calibri" w:hAnsi="Calibri" w:hint="cs"/>
          <w:sz w:val="22"/>
          <w:rtl/>
        </w:rPr>
        <w:t xml:space="preserve"> מאד גבוהים</w:t>
      </w:r>
      <w:r w:rsidR="00021152">
        <w:rPr>
          <w:rFonts w:ascii="Calibri" w:hAnsi="Calibri" w:hint="cs"/>
          <w:sz w:val="22"/>
          <w:rtl/>
        </w:rPr>
        <w:t xml:space="preserve">, </w:t>
      </w:r>
      <w:r w:rsidR="00D2234F">
        <w:rPr>
          <w:rFonts w:ascii="Calibri" w:hAnsi="Calibri" w:hint="cs"/>
          <w:sz w:val="22"/>
          <w:rtl/>
        </w:rPr>
        <w:t xml:space="preserve">ההתפשטות </w:t>
      </w:r>
      <w:r w:rsidR="00021152">
        <w:rPr>
          <w:rFonts w:ascii="Calibri" w:hAnsi="Calibri" w:hint="cs"/>
          <w:sz w:val="22"/>
          <w:rtl/>
        </w:rPr>
        <w:t xml:space="preserve">מוגבלת לקילומטרים בודדים והשימוש בהם </w:t>
      </w:r>
      <w:r w:rsidR="006744FE">
        <w:rPr>
          <w:rFonts w:ascii="Calibri" w:hAnsi="Calibri" w:hint="cs"/>
          <w:sz w:val="22"/>
          <w:rtl/>
        </w:rPr>
        <w:t>יכול ל</w:t>
      </w:r>
      <w:r w:rsidR="00021152">
        <w:rPr>
          <w:rFonts w:ascii="Calibri" w:hAnsi="Calibri" w:hint="cs"/>
          <w:sz w:val="22"/>
          <w:rtl/>
        </w:rPr>
        <w:t xml:space="preserve">אפשר, בין היתר, </w:t>
      </w:r>
      <w:r w:rsidR="006744FE">
        <w:rPr>
          <w:rFonts w:ascii="Calibri" w:hAnsi="Calibri" w:hint="cs"/>
          <w:sz w:val="22"/>
          <w:rtl/>
        </w:rPr>
        <w:t xml:space="preserve">מתן </w:t>
      </w:r>
      <w:r w:rsidR="00021152">
        <w:rPr>
          <w:rFonts w:ascii="Calibri" w:hAnsi="Calibri" w:hint="cs"/>
          <w:sz w:val="22"/>
          <w:rtl/>
        </w:rPr>
        <w:t>ש</w:t>
      </w:r>
      <w:r w:rsidR="006744FE">
        <w:rPr>
          <w:rFonts w:ascii="Calibri" w:hAnsi="Calibri" w:hint="cs"/>
          <w:sz w:val="22"/>
          <w:rtl/>
        </w:rPr>
        <w:t>י</w:t>
      </w:r>
      <w:r w:rsidR="00021152">
        <w:rPr>
          <w:rFonts w:ascii="Calibri" w:hAnsi="Calibri" w:hint="cs"/>
          <w:sz w:val="22"/>
          <w:rtl/>
        </w:rPr>
        <w:t xml:space="preserve">רותים רחבי פס </w:t>
      </w:r>
      <w:r w:rsidR="006744FE">
        <w:rPr>
          <w:rFonts w:ascii="Calibri" w:hAnsi="Calibri" w:hint="cs"/>
          <w:sz w:val="22"/>
          <w:rtl/>
        </w:rPr>
        <w:t>ב</w:t>
      </w:r>
      <w:r w:rsidR="00021152">
        <w:rPr>
          <w:rFonts w:ascii="Calibri" w:hAnsi="Calibri" w:hint="cs"/>
          <w:sz w:val="22"/>
          <w:rtl/>
        </w:rPr>
        <w:t xml:space="preserve">מקומות </w:t>
      </w:r>
      <w:r w:rsidR="006744FE">
        <w:rPr>
          <w:rFonts w:ascii="Calibri" w:hAnsi="Calibri" w:hint="cs"/>
          <w:sz w:val="22"/>
          <w:rtl/>
        </w:rPr>
        <w:t>בהם אין</w:t>
      </w:r>
      <w:r w:rsidR="00021152">
        <w:rPr>
          <w:rFonts w:ascii="Calibri" w:hAnsi="Calibri" w:hint="cs"/>
          <w:sz w:val="22"/>
          <w:rtl/>
        </w:rPr>
        <w:t xml:space="preserve"> תשתית פיזית</w:t>
      </w:r>
      <w:r w:rsidR="00AE20D0">
        <w:rPr>
          <w:rFonts w:ascii="Calibri" w:hAnsi="Calibri" w:hint="cs"/>
          <w:sz w:val="22"/>
          <w:rtl/>
        </w:rPr>
        <w:t>.</w:t>
      </w:r>
      <w:r w:rsidR="00021152">
        <w:rPr>
          <w:rFonts w:ascii="Calibri" w:hAnsi="Calibri" w:hint="cs"/>
          <w:sz w:val="22"/>
          <w:rtl/>
        </w:rPr>
        <w:t xml:space="preserve"> </w:t>
      </w:r>
    </w:p>
    <w:p w:rsidR="00440ABC" w:rsidRDefault="00440ABC" w:rsidP="00895435">
      <w:pPr>
        <w:widowControl/>
        <w:tabs>
          <w:tab w:val="left" w:pos="1037"/>
        </w:tabs>
        <w:spacing w:line="312" w:lineRule="auto"/>
        <w:contextualSpacing w:val="0"/>
        <w:rPr>
          <w:rFonts w:ascii="Calibri" w:hAnsi="Calibri"/>
          <w:sz w:val="22"/>
          <w:rtl/>
        </w:rPr>
      </w:pPr>
    </w:p>
    <w:p w:rsidR="002B68A8" w:rsidRDefault="003F4CC1" w:rsidP="00AF4CD3">
      <w:pPr>
        <w:widowControl/>
        <w:tabs>
          <w:tab w:val="left" w:pos="1037"/>
        </w:tabs>
        <w:spacing w:line="312" w:lineRule="auto"/>
        <w:contextualSpacing w:val="0"/>
        <w:rPr>
          <w:rFonts w:ascii="Calibri" w:hAnsi="Calibri"/>
          <w:sz w:val="22"/>
          <w:rtl/>
        </w:rPr>
      </w:pPr>
      <w:r>
        <w:rPr>
          <w:rFonts w:ascii="Calibri" w:hAnsi="Calibri" w:hint="cs"/>
          <w:sz w:val="22"/>
          <w:rtl/>
        </w:rPr>
        <w:lastRenderedPageBreak/>
        <w:t xml:space="preserve">לאור האמור </w:t>
      </w:r>
      <w:r w:rsidR="002B68A8">
        <w:rPr>
          <w:rFonts w:ascii="Calibri" w:hAnsi="Calibri" w:hint="cs"/>
          <w:sz w:val="22"/>
          <w:rtl/>
        </w:rPr>
        <w:t xml:space="preserve">מוצע לתקן את התקנות על מנת להתאים את תחומי התדרים </w:t>
      </w:r>
      <w:r w:rsidR="00F74348">
        <w:rPr>
          <w:rFonts w:ascii="Calibri" w:hAnsi="Calibri" w:hint="cs"/>
          <w:sz w:val="22"/>
          <w:rtl/>
        </w:rPr>
        <w:t>ש</w:t>
      </w:r>
      <w:r w:rsidR="00440ABC">
        <w:rPr>
          <w:rFonts w:ascii="Calibri" w:hAnsi="Calibri" w:hint="cs"/>
          <w:sz w:val="22"/>
          <w:rtl/>
        </w:rPr>
        <w:t xml:space="preserve">בתקנות </w:t>
      </w:r>
      <w:r w:rsidR="002B68A8">
        <w:rPr>
          <w:rFonts w:ascii="Calibri" w:hAnsi="Calibri" w:hint="cs"/>
          <w:sz w:val="22"/>
          <w:rtl/>
        </w:rPr>
        <w:t xml:space="preserve">לתחומי התדרים העדכניים נכון להיום.  </w:t>
      </w:r>
    </w:p>
    <w:p w:rsidR="002B68A8" w:rsidRDefault="00F74348" w:rsidP="00895435">
      <w:pPr>
        <w:rPr>
          <w:rFonts w:ascii="Calibri" w:hAnsi="Calibri"/>
          <w:sz w:val="22"/>
          <w:rtl/>
        </w:rPr>
      </w:pPr>
      <w:r w:rsidRPr="00F74348">
        <w:rPr>
          <w:rFonts w:ascii="Calibri" w:hAnsi="Calibri" w:hint="cs"/>
          <w:sz w:val="22"/>
          <w:rtl/>
        </w:rPr>
        <w:t xml:space="preserve">למען שלמות התמונה נציין כי הקמת </w:t>
      </w:r>
      <w:proofErr w:type="spellStart"/>
      <w:r w:rsidRPr="00F74348">
        <w:rPr>
          <w:rFonts w:ascii="Calibri" w:hAnsi="Calibri" w:hint="cs"/>
          <w:sz w:val="22"/>
          <w:rtl/>
        </w:rPr>
        <w:t>מג"אות</w:t>
      </w:r>
      <w:proofErr w:type="spellEnd"/>
      <w:r w:rsidRPr="00F74348">
        <w:rPr>
          <w:rFonts w:ascii="Calibri" w:hAnsi="Calibri" w:hint="cs"/>
          <w:sz w:val="22"/>
          <w:rtl/>
        </w:rPr>
        <w:t xml:space="preserve"> כפופה להוראות חוק הקרינה הבלתי מייננת</w:t>
      </w:r>
      <w:r>
        <w:rPr>
          <w:rFonts w:ascii="Calibri" w:hAnsi="Calibri" w:hint="cs"/>
          <w:sz w:val="22"/>
          <w:rtl/>
        </w:rPr>
        <w:t>, התשמ"ו-2006 ו</w:t>
      </w:r>
      <w:r w:rsidR="00205E58">
        <w:rPr>
          <w:rFonts w:ascii="Calibri" w:hAnsi="Calibri" w:hint="cs"/>
          <w:sz w:val="22"/>
          <w:rtl/>
        </w:rPr>
        <w:t xml:space="preserve">הקמת </w:t>
      </w:r>
      <w:proofErr w:type="spellStart"/>
      <w:r w:rsidR="00205E58">
        <w:rPr>
          <w:rFonts w:ascii="Calibri" w:hAnsi="Calibri" w:hint="cs"/>
          <w:sz w:val="22"/>
          <w:rtl/>
        </w:rPr>
        <w:t>מג"אות</w:t>
      </w:r>
      <w:proofErr w:type="spellEnd"/>
      <w:r w:rsidR="00205E58">
        <w:rPr>
          <w:rFonts w:ascii="Calibri" w:hAnsi="Calibri" w:hint="cs"/>
          <w:sz w:val="22"/>
          <w:rtl/>
        </w:rPr>
        <w:t xml:space="preserve"> </w:t>
      </w:r>
      <w:r w:rsidR="00FE127E" w:rsidRPr="00B23E36">
        <w:rPr>
          <w:rFonts w:ascii="Calibri" w:hAnsi="Calibri"/>
          <w:sz w:val="22"/>
          <w:rtl/>
        </w:rPr>
        <w:t>לתקשורת בשיטה התאית</w:t>
      </w:r>
      <w:r w:rsidR="00FE127E">
        <w:rPr>
          <w:rFonts w:ascii="Calibri" w:hAnsi="Calibri" w:hint="cs"/>
          <w:sz w:val="22"/>
          <w:rtl/>
        </w:rPr>
        <w:t xml:space="preserve"> (סלולארית) כפופה בנוסף </w:t>
      </w:r>
      <w:r>
        <w:rPr>
          <w:rFonts w:ascii="Calibri" w:hAnsi="Calibri" w:hint="cs"/>
          <w:sz w:val="22"/>
          <w:rtl/>
        </w:rPr>
        <w:t xml:space="preserve">לתקנות התכנון והבנייה (התקנת מיתקן גישה אלחוטית לתקשורת בשיטה התאית), תשע"ט-2018. </w:t>
      </w:r>
    </w:p>
    <w:p w:rsidR="003045ED" w:rsidRDefault="003045ED" w:rsidP="00895435">
      <w:pPr>
        <w:rPr>
          <w:rFonts w:ascii="Calibri" w:hAnsi="Calibri"/>
          <w:b/>
          <w:bCs/>
          <w:sz w:val="22"/>
          <w:u w:val="single"/>
          <w:rtl/>
        </w:rPr>
      </w:pPr>
    </w:p>
    <w:p w:rsidR="00224AC8" w:rsidRPr="00440ABC" w:rsidRDefault="00440ABC" w:rsidP="00895435">
      <w:pPr>
        <w:rPr>
          <w:rFonts w:ascii="Calibri" w:hAnsi="Calibri"/>
          <w:b/>
          <w:bCs/>
          <w:sz w:val="22"/>
          <w:u w:val="single"/>
          <w:rtl/>
        </w:rPr>
      </w:pPr>
      <w:r w:rsidRPr="00440ABC">
        <w:rPr>
          <w:rFonts w:ascii="Calibri" w:hAnsi="Calibri" w:hint="cs"/>
          <w:b/>
          <w:bCs/>
          <w:sz w:val="22"/>
          <w:u w:val="single"/>
          <w:rtl/>
        </w:rPr>
        <w:t>תקנה 1</w:t>
      </w:r>
    </w:p>
    <w:p w:rsidR="00440ABC" w:rsidRDefault="00440ABC" w:rsidP="00895435">
      <w:pPr>
        <w:spacing w:line="312" w:lineRule="auto"/>
        <w:ind w:left="555" w:hanging="555"/>
        <w:outlineLvl w:val="0"/>
        <w:rPr>
          <w:rFonts w:ascii="Calibri" w:hAnsi="Calibri"/>
          <w:sz w:val="22"/>
          <w:rtl/>
        </w:rPr>
      </w:pPr>
    </w:p>
    <w:p w:rsidR="00224AC8" w:rsidRDefault="00440ABC" w:rsidP="00895435">
      <w:pPr>
        <w:spacing w:line="312" w:lineRule="auto"/>
        <w:ind w:left="895" w:hanging="555"/>
        <w:outlineLvl w:val="0"/>
        <w:rPr>
          <w:rFonts w:ascii="Calibri" w:hAnsi="Calibri"/>
          <w:sz w:val="22"/>
          <w:rtl/>
        </w:rPr>
      </w:pPr>
      <w:r>
        <w:rPr>
          <w:rFonts w:ascii="Calibri" w:hAnsi="Calibri" w:hint="cs"/>
          <w:sz w:val="22"/>
          <w:rtl/>
        </w:rPr>
        <w:t>מוצע ל</w:t>
      </w:r>
      <w:r w:rsidR="00F74348">
        <w:rPr>
          <w:rFonts w:ascii="Calibri" w:hAnsi="Calibri" w:hint="cs"/>
          <w:sz w:val="22"/>
          <w:rtl/>
        </w:rPr>
        <w:t xml:space="preserve">עדכן את </w:t>
      </w:r>
      <w:r>
        <w:rPr>
          <w:rFonts w:ascii="Calibri" w:hAnsi="Calibri" w:hint="cs"/>
          <w:sz w:val="22"/>
          <w:rtl/>
        </w:rPr>
        <w:t>תקנ</w:t>
      </w:r>
      <w:r w:rsidR="00F74348">
        <w:rPr>
          <w:rFonts w:ascii="Calibri" w:hAnsi="Calibri" w:hint="cs"/>
          <w:sz w:val="22"/>
          <w:rtl/>
        </w:rPr>
        <w:t xml:space="preserve">ה 1 לתקנות, כך שתכלול גם </w:t>
      </w:r>
      <w:r>
        <w:rPr>
          <w:rFonts w:ascii="Calibri" w:hAnsi="Calibri" w:hint="cs"/>
          <w:sz w:val="22"/>
          <w:rtl/>
        </w:rPr>
        <w:t xml:space="preserve">את </w:t>
      </w:r>
      <w:r w:rsidR="00224AC8" w:rsidRPr="00440ABC">
        <w:rPr>
          <w:rFonts w:ascii="Calibri" w:hAnsi="Calibri" w:hint="cs"/>
          <w:sz w:val="22"/>
          <w:rtl/>
        </w:rPr>
        <w:t xml:space="preserve">תחומי התדרים </w:t>
      </w:r>
      <w:r w:rsidR="001158C4">
        <w:rPr>
          <w:rFonts w:ascii="Calibri" w:hAnsi="Calibri" w:hint="cs"/>
          <w:sz w:val="22"/>
          <w:rtl/>
        </w:rPr>
        <w:t xml:space="preserve">העדכניים </w:t>
      </w:r>
      <w:r>
        <w:rPr>
          <w:rFonts w:ascii="Calibri" w:hAnsi="Calibri" w:hint="cs"/>
          <w:sz w:val="22"/>
          <w:rtl/>
        </w:rPr>
        <w:t>שלהלן</w:t>
      </w:r>
      <w:r w:rsidR="00224AC8">
        <w:rPr>
          <w:rFonts w:ascii="Calibri" w:hAnsi="Calibri" w:hint="cs"/>
          <w:sz w:val="22"/>
          <w:rtl/>
        </w:rPr>
        <w:t>:</w:t>
      </w:r>
    </w:p>
    <w:p w:rsidR="00224AC8" w:rsidRDefault="00224AC8" w:rsidP="00895435">
      <w:pPr>
        <w:rPr>
          <w:rFonts w:ascii="Calibri" w:hAnsi="Calibri"/>
          <w:sz w:val="22"/>
          <w:rtl/>
        </w:rPr>
      </w:pPr>
      <w:r>
        <w:rPr>
          <w:rFonts w:ascii="Calibri" w:hAnsi="Calibri" w:hint="cs"/>
          <w:sz w:val="22"/>
          <w:rtl/>
        </w:rPr>
        <w:tab/>
      </w:r>
    </w:p>
    <w:p w:rsidR="00224AC8" w:rsidRDefault="00224AC8" w:rsidP="00895435">
      <w:pPr>
        <w:ind w:firstLine="555"/>
        <w:rPr>
          <w:rFonts w:ascii="Calibri" w:hAnsi="Calibri"/>
          <w:sz w:val="22"/>
          <w:rtl/>
        </w:rPr>
      </w:pPr>
      <w:r>
        <w:rPr>
          <w:rFonts w:ascii="Calibri" w:hAnsi="Calibri" w:hint="cs"/>
          <w:sz w:val="22"/>
          <w:rtl/>
        </w:rPr>
        <w:t xml:space="preserve">שירותי </w:t>
      </w:r>
      <w:proofErr w:type="spellStart"/>
      <w:r>
        <w:rPr>
          <w:rFonts w:ascii="Calibri" w:hAnsi="Calibri" w:hint="cs"/>
          <w:sz w:val="22"/>
          <w:rtl/>
        </w:rPr>
        <w:t>רט"ן</w:t>
      </w:r>
      <w:proofErr w:type="spellEnd"/>
      <w:r>
        <w:rPr>
          <w:rFonts w:ascii="Calibri" w:hAnsi="Calibri" w:hint="cs"/>
          <w:sz w:val="22"/>
          <w:rtl/>
        </w:rPr>
        <w:t>:</w:t>
      </w:r>
    </w:p>
    <w:p w:rsidR="00224AC8" w:rsidRDefault="00224AC8" w:rsidP="00895435">
      <w:pPr>
        <w:widowControl/>
        <w:numPr>
          <w:ilvl w:val="0"/>
          <w:numId w:val="22"/>
        </w:numPr>
        <w:tabs>
          <w:tab w:val="left" w:pos="1037"/>
        </w:tabs>
        <w:spacing w:line="312" w:lineRule="auto"/>
        <w:ind w:left="1037"/>
        <w:contextualSpacing w:val="0"/>
        <w:rPr>
          <w:rFonts w:ascii="Calibri" w:hAnsi="Calibri"/>
          <w:sz w:val="22"/>
          <w:rtl/>
        </w:rPr>
      </w:pPr>
      <w:r>
        <w:rPr>
          <w:rFonts w:ascii="Calibri" w:hAnsi="Calibri" w:hint="cs"/>
          <w:sz w:val="22"/>
          <w:rtl/>
        </w:rPr>
        <w:t xml:space="preserve">תחום תדרים לקליטה 698 עד 736 מגה-הרץ (להלן מה"ץ) ותחום תדרים לשידור 736 עד 791 מה"ץ; </w:t>
      </w:r>
    </w:p>
    <w:p w:rsidR="00224AC8" w:rsidRDefault="00224AC8" w:rsidP="00895435">
      <w:pPr>
        <w:widowControl/>
        <w:numPr>
          <w:ilvl w:val="0"/>
          <w:numId w:val="22"/>
        </w:numPr>
        <w:tabs>
          <w:tab w:val="left" w:pos="1037"/>
        </w:tabs>
        <w:spacing w:line="312" w:lineRule="auto"/>
        <w:ind w:left="1037"/>
        <w:contextualSpacing w:val="0"/>
        <w:rPr>
          <w:rFonts w:ascii="Calibri" w:hAnsi="Calibri"/>
          <w:sz w:val="22"/>
          <w:rtl/>
        </w:rPr>
      </w:pPr>
      <w:r>
        <w:rPr>
          <w:rFonts w:ascii="Calibri" w:hAnsi="Calibri" w:hint="cs"/>
          <w:sz w:val="22"/>
          <w:rtl/>
        </w:rPr>
        <w:t>תחום תדרים לקליטה 791 עד 821 מה"ץ, תחום תדרים לקליטה ולשידור 821 עד 832 מה"ץ ותחום תדרים לשידור 832 עד 862 מה"ץ;</w:t>
      </w:r>
    </w:p>
    <w:p w:rsidR="00224AC8" w:rsidRDefault="00224AC8" w:rsidP="00895435">
      <w:pPr>
        <w:widowControl/>
        <w:numPr>
          <w:ilvl w:val="0"/>
          <w:numId w:val="22"/>
        </w:numPr>
        <w:tabs>
          <w:tab w:val="left" w:pos="1037"/>
        </w:tabs>
        <w:spacing w:line="312" w:lineRule="auto"/>
        <w:ind w:left="1037"/>
        <w:contextualSpacing w:val="0"/>
        <w:rPr>
          <w:rFonts w:ascii="Calibri" w:hAnsi="Calibri"/>
          <w:sz w:val="22"/>
        </w:rPr>
      </w:pPr>
      <w:r>
        <w:rPr>
          <w:rFonts w:ascii="Calibri" w:hAnsi="Calibri" w:hint="cs"/>
          <w:sz w:val="22"/>
          <w:rtl/>
        </w:rPr>
        <w:t xml:space="preserve">תחום תדרים לקליטה 880 עד 890 מה"ץ ותחום תדרים לשידור 925 עד </w:t>
      </w:r>
      <w:r w:rsidR="00412B8D">
        <w:rPr>
          <w:rFonts w:ascii="Calibri" w:hAnsi="Calibri" w:hint="cs"/>
          <w:sz w:val="22"/>
          <w:rtl/>
        </w:rPr>
        <w:t xml:space="preserve">935 </w:t>
      </w:r>
      <w:r>
        <w:rPr>
          <w:rFonts w:ascii="Calibri" w:hAnsi="Calibri" w:hint="cs"/>
          <w:sz w:val="22"/>
          <w:rtl/>
        </w:rPr>
        <w:t>מה"ץ;</w:t>
      </w:r>
    </w:p>
    <w:p w:rsidR="00224AC8" w:rsidRDefault="00224AC8" w:rsidP="00895435">
      <w:pPr>
        <w:widowControl/>
        <w:numPr>
          <w:ilvl w:val="0"/>
          <w:numId w:val="22"/>
        </w:numPr>
        <w:tabs>
          <w:tab w:val="left" w:pos="1037"/>
        </w:tabs>
        <w:spacing w:line="312" w:lineRule="auto"/>
        <w:ind w:left="1037"/>
        <w:contextualSpacing w:val="0"/>
        <w:rPr>
          <w:rFonts w:ascii="Calibri" w:hAnsi="Calibri"/>
          <w:sz w:val="22"/>
        </w:rPr>
      </w:pPr>
      <w:r>
        <w:rPr>
          <w:rFonts w:ascii="Calibri" w:hAnsi="Calibri" w:hint="cs"/>
          <w:sz w:val="22"/>
          <w:rtl/>
        </w:rPr>
        <w:t>תחום תדרים לקליטה 2500 עד 2570 מה"ץ, תחום תדרים לקליטה ולשידור 2570 עד 2620 מה"ץ ותחום תדרים לשידור 2620 עד 2690 מה"ץ;</w:t>
      </w:r>
    </w:p>
    <w:p w:rsidR="00224AC8" w:rsidRDefault="00224AC8" w:rsidP="00895435">
      <w:pPr>
        <w:widowControl/>
        <w:numPr>
          <w:ilvl w:val="0"/>
          <w:numId w:val="22"/>
        </w:numPr>
        <w:tabs>
          <w:tab w:val="left" w:pos="1037"/>
        </w:tabs>
        <w:spacing w:line="312" w:lineRule="auto"/>
        <w:ind w:left="1037"/>
        <w:contextualSpacing w:val="0"/>
        <w:rPr>
          <w:rFonts w:ascii="Calibri" w:hAnsi="Calibri"/>
          <w:sz w:val="22"/>
        </w:rPr>
      </w:pPr>
      <w:r>
        <w:rPr>
          <w:rFonts w:ascii="Calibri" w:hAnsi="Calibri" w:hint="cs"/>
          <w:sz w:val="22"/>
          <w:rtl/>
        </w:rPr>
        <w:t>תחום תדרים לקליטה ולשידור 3600 עד 3800 מה"ץ</w:t>
      </w:r>
      <w:r w:rsidR="00D91B7B">
        <w:rPr>
          <w:rFonts w:ascii="Calibri" w:hAnsi="Calibri" w:hint="cs"/>
          <w:sz w:val="22"/>
          <w:rtl/>
        </w:rPr>
        <w:t>.</w:t>
      </w:r>
    </w:p>
    <w:p w:rsidR="00224AC8" w:rsidRDefault="00224AC8" w:rsidP="00895435">
      <w:pPr>
        <w:ind w:left="677"/>
        <w:rPr>
          <w:rFonts w:ascii="Calibri" w:hAnsi="Calibri"/>
          <w:sz w:val="22"/>
          <w:rtl/>
        </w:rPr>
      </w:pPr>
    </w:p>
    <w:p w:rsidR="00224AC8" w:rsidRDefault="00224AC8" w:rsidP="00895435">
      <w:pPr>
        <w:ind w:firstLine="555"/>
        <w:rPr>
          <w:rFonts w:ascii="Calibri" w:hAnsi="Calibri"/>
          <w:sz w:val="22"/>
        </w:rPr>
      </w:pPr>
      <w:r>
        <w:rPr>
          <w:rFonts w:ascii="Calibri" w:hAnsi="Calibri" w:hint="cs"/>
          <w:sz w:val="22"/>
          <w:rtl/>
        </w:rPr>
        <w:t>עורקי נל"ן:</w:t>
      </w:r>
    </w:p>
    <w:p w:rsidR="00224AC8" w:rsidRDefault="00224AC8" w:rsidP="00895435">
      <w:pPr>
        <w:widowControl/>
        <w:numPr>
          <w:ilvl w:val="0"/>
          <w:numId w:val="22"/>
        </w:numPr>
        <w:tabs>
          <w:tab w:val="left" w:pos="1037"/>
        </w:tabs>
        <w:spacing w:line="312" w:lineRule="auto"/>
        <w:ind w:left="1037"/>
        <w:contextualSpacing w:val="0"/>
        <w:rPr>
          <w:rFonts w:ascii="Calibri" w:hAnsi="Calibri"/>
          <w:sz w:val="22"/>
        </w:rPr>
      </w:pPr>
      <w:r>
        <w:rPr>
          <w:rFonts w:ascii="Calibri" w:hAnsi="Calibri" w:hint="cs"/>
          <w:sz w:val="22"/>
          <w:rtl/>
        </w:rPr>
        <w:t>תחום תדרים לקליטה ולשידור 71000 עד 76000 מה"ץ</w:t>
      </w:r>
      <w:r w:rsidR="00D91B7B">
        <w:rPr>
          <w:rFonts w:ascii="Calibri" w:hAnsi="Calibri" w:hint="cs"/>
          <w:sz w:val="22"/>
          <w:rtl/>
        </w:rPr>
        <w:t>;</w:t>
      </w:r>
    </w:p>
    <w:p w:rsidR="00224AC8" w:rsidRDefault="00224AC8" w:rsidP="00895435">
      <w:pPr>
        <w:widowControl/>
        <w:numPr>
          <w:ilvl w:val="0"/>
          <w:numId w:val="22"/>
        </w:numPr>
        <w:tabs>
          <w:tab w:val="left" w:pos="1037"/>
        </w:tabs>
        <w:spacing w:line="312" w:lineRule="auto"/>
        <w:ind w:left="1037"/>
        <w:contextualSpacing w:val="0"/>
        <w:rPr>
          <w:rFonts w:ascii="Calibri" w:hAnsi="Calibri"/>
          <w:sz w:val="22"/>
        </w:rPr>
      </w:pPr>
      <w:r>
        <w:rPr>
          <w:rFonts w:ascii="Calibri" w:hAnsi="Calibri" w:hint="cs"/>
          <w:sz w:val="22"/>
          <w:rtl/>
        </w:rPr>
        <w:t>תחום תדרים לקליטה ולשידור 81000 עד 86000 מה"ץ</w:t>
      </w:r>
      <w:r w:rsidR="00D91B7B">
        <w:rPr>
          <w:rFonts w:ascii="Calibri" w:hAnsi="Calibri" w:hint="cs"/>
          <w:sz w:val="22"/>
          <w:rtl/>
        </w:rPr>
        <w:t>.</w:t>
      </w:r>
    </w:p>
    <w:p w:rsidR="00224AC8" w:rsidRDefault="00224AC8" w:rsidP="00895435">
      <w:pPr>
        <w:tabs>
          <w:tab w:val="left" w:pos="1037"/>
        </w:tabs>
        <w:spacing w:line="312" w:lineRule="auto"/>
        <w:ind w:left="677"/>
        <w:rPr>
          <w:rFonts w:ascii="Calibri" w:hAnsi="Calibri"/>
          <w:sz w:val="22"/>
          <w:rtl/>
        </w:rPr>
      </w:pPr>
    </w:p>
    <w:p w:rsidR="00224AC8" w:rsidRDefault="00224AC8" w:rsidP="00581403">
      <w:pPr>
        <w:ind w:firstLine="555"/>
        <w:rPr>
          <w:rFonts w:ascii="Calibri" w:hAnsi="Calibri"/>
          <w:sz w:val="22"/>
        </w:rPr>
      </w:pPr>
      <w:r>
        <w:rPr>
          <w:rFonts w:ascii="Calibri" w:hAnsi="Calibri" w:hint="cs"/>
          <w:sz w:val="22"/>
          <w:rtl/>
        </w:rPr>
        <w:t>עורקי נל"ן לרשת קווי נל"ן אלחוטיים מנקודה לריבוי נקודות:</w:t>
      </w:r>
    </w:p>
    <w:p w:rsidR="00E64AAD" w:rsidRDefault="00224AC8" w:rsidP="00895435">
      <w:pPr>
        <w:widowControl/>
        <w:numPr>
          <w:ilvl w:val="0"/>
          <w:numId w:val="22"/>
        </w:numPr>
        <w:tabs>
          <w:tab w:val="left" w:pos="1037"/>
        </w:tabs>
        <w:spacing w:line="312" w:lineRule="auto"/>
        <w:ind w:left="1037"/>
        <w:contextualSpacing w:val="0"/>
      </w:pPr>
      <w:r>
        <w:rPr>
          <w:rFonts w:ascii="Calibri" w:hAnsi="Calibri" w:hint="cs"/>
          <w:sz w:val="22"/>
          <w:rtl/>
        </w:rPr>
        <w:t>תחום תדרים לק</w:t>
      </w:r>
      <w:r w:rsidR="006F4A3B">
        <w:rPr>
          <w:rFonts w:ascii="Calibri" w:hAnsi="Calibri" w:hint="cs"/>
          <w:sz w:val="22"/>
          <w:rtl/>
        </w:rPr>
        <w:t>ליטה ולשידור 57000 עד 66000 מה"ץ</w:t>
      </w:r>
      <w:r w:rsidR="00D91B7B">
        <w:rPr>
          <w:rFonts w:hint="cs"/>
          <w:rtl/>
        </w:rPr>
        <w:t>.</w:t>
      </w:r>
    </w:p>
    <w:sectPr w:rsidR="00E64AAD" w:rsidSect="00D12F1D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57" w:rsidRDefault="00B64757" w:rsidP="00D12F1D">
      <w:pPr>
        <w:spacing w:line="240" w:lineRule="auto"/>
      </w:pPr>
      <w:r>
        <w:separator/>
      </w:r>
    </w:p>
  </w:endnote>
  <w:endnote w:type="continuationSeparator" w:id="0">
    <w:p w:rsidR="00B64757" w:rsidRDefault="00B64757" w:rsidP="00D12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Ruehl">
    <w:altName w:val="Narkisim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57" w:rsidRDefault="00B64757" w:rsidP="00D12F1D">
      <w:pPr>
        <w:spacing w:line="240" w:lineRule="auto"/>
      </w:pPr>
      <w:r>
        <w:separator/>
      </w:r>
    </w:p>
  </w:footnote>
  <w:footnote w:type="continuationSeparator" w:id="0">
    <w:p w:rsidR="00B64757" w:rsidRDefault="00B64757" w:rsidP="00D12F1D">
      <w:pPr>
        <w:spacing w:line="240" w:lineRule="auto"/>
      </w:pPr>
      <w:r>
        <w:continuationSeparator/>
      </w:r>
    </w:p>
  </w:footnote>
  <w:footnote w:id="1">
    <w:p w:rsidR="00D12F1D" w:rsidRDefault="00D12F1D" w:rsidP="00D12F1D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ק"ת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התשס"ב</w:t>
      </w:r>
      <w:proofErr w:type="spellEnd"/>
      <w:r>
        <w:rPr>
          <w:rFonts w:hint="cs"/>
          <w:rtl/>
        </w:rPr>
        <w:t>, עמ' 858.</w:t>
      </w:r>
    </w:p>
  </w:footnote>
  <w:footnote w:id="2">
    <w:p w:rsidR="003F4CC1" w:rsidRPr="005F2C29" w:rsidRDefault="003F4CC1" w:rsidP="00893F0B">
      <w:pPr>
        <w:pStyle w:val="a5"/>
        <w:rPr>
          <w:rFonts w:ascii="David" w:hAnsi="David"/>
        </w:rPr>
      </w:pPr>
      <w:r w:rsidRPr="005F2C29">
        <w:rPr>
          <w:rStyle w:val="a7"/>
          <w:rFonts w:ascii="David" w:hAnsi="David"/>
        </w:rPr>
        <w:footnoteRef/>
      </w:r>
      <w:r w:rsidRPr="005F2C29">
        <w:rPr>
          <w:rFonts w:ascii="David" w:hAnsi="David"/>
          <w:rtl/>
        </w:rPr>
        <w:t xml:space="preserve"> </w:t>
      </w:r>
      <w:r w:rsidR="00893F0B">
        <w:rPr>
          <w:rFonts w:ascii="David" w:hAnsi="David" w:hint="cs"/>
          <w:rtl/>
        </w:rPr>
        <w:t>בהתאם ל</w:t>
      </w:r>
      <w:r>
        <w:rPr>
          <w:rFonts w:ascii="David" w:hAnsi="David" w:hint="cs"/>
          <w:rtl/>
        </w:rPr>
        <w:t xml:space="preserve">סעיף 5ה בפקודת </w:t>
      </w:r>
      <w:r w:rsidRPr="008432BC">
        <w:rPr>
          <w:rFonts w:ascii="David" w:hAnsi="David"/>
          <w:rtl/>
        </w:rPr>
        <w:t>הטלגרף האלחוטי [נוסח חדש], תשל"ב-1972</w:t>
      </w:r>
      <w:r w:rsidR="00D91B7B">
        <w:rPr>
          <w:rFonts w:ascii="David" w:hAnsi="David" w:hint="cs"/>
          <w:rtl/>
        </w:rPr>
        <w:t>.</w:t>
      </w:r>
    </w:p>
  </w:footnote>
  <w:footnote w:id="3">
    <w:p w:rsidR="00893F0B" w:rsidRDefault="00893F0B" w:rsidP="008244BD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תחומי התדרים פורטו בכתב המינוי של </w:t>
      </w:r>
      <w:r w:rsidR="008244BD">
        <w:rPr>
          <w:rFonts w:hint="cs"/>
          <w:rtl/>
        </w:rPr>
        <w:t xml:space="preserve">ועדת </w:t>
      </w:r>
      <w:r>
        <w:rPr>
          <w:rFonts w:hint="cs"/>
          <w:rtl/>
        </w:rPr>
        <w:t>המכרזים מיום 10.8.2017.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C169F"/>
    <w:multiLevelType w:val="hybridMultilevel"/>
    <w:tmpl w:val="E88AA44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75321D7"/>
    <w:multiLevelType w:val="hybridMultilevel"/>
    <w:tmpl w:val="54D0336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444C7"/>
    <w:multiLevelType w:val="hybridMultilevel"/>
    <w:tmpl w:val="73F63532"/>
    <w:lvl w:ilvl="0" w:tplc="44C47626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A6994"/>
    <w:multiLevelType w:val="hybridMultilevel"/>
    <w:tmpl w:val="3F7280EA"/>
    <w:lvl w:ilvl="0" w:tplc="354E69A4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86BC9"/>
    <w:multiLevelType w:val="hybridMultilevel"/>
    <w:tmpl w:val="B628C436"/>
    <w:lvl w:ilvl="0" w:tplc="17D80D7A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1487"/>
    <w:multiLevelType w:val="hybridMultilevel"/>
    <w:tmpl w:val="FBEE802C"/>
    <w:lvl w:ilvl="0" w:tplc="A1560396">
      <w:start w:val="1"/>
      <w:numFmt w:val="hebrew1"/>
      <w:lvlText w:val="%1."/>
      <w:lvlJc w:val="left"/>
      <w:pPr>
        <w:ind w:left="915" w:hanging="360"/>
      </w:p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>
      <w:start w:val="1"/>
      <w:numFmt w:val="decimal"/>
      <w:lvlText w:val="%4."/>
      <w:lvlJc w:val="left"/>
      <w:pPr>
        <w:ind w:left="3075" w:hanging="360"/>
      </w:pPr>
    </w:lvl>
    <w:lvl w:ilvl="4" w:tplc="04090019">
      <w:start w:val="1"/>
      <w:numFmt w:val="lowerLetter"/>
      <w:lvlText w:val="%5."/>
      <w:lvlJc w:val="left"/>
      <w:pPr>
        <w:ind w:left="3795" w:hanging="360"/>
      </w:pPr>
    </w:lvl>
    <w:lvl w:ilvl="5" w:tplc="0409001B">
      <w:start w:val="1"/>
      <w:numFmt w:val="lowerRoman"/>
      <w:lvlText w:val="%6."/>
      <w:lvlJc w:val="right"/>
      <w:pPr>
        <w:ind w:left="4515" w:hanging="180"/>
      </w:pPr>
    </w:lvl>
    <w:lvl w:ilvl="6" w:tplc="0409000F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3D0C253A"/>
    <w:multiLevelType w:val="hybridMultilevel"/>
    <w:tmpl w:val="9CC83196"/>
    <w:lvl w:ilvl="0" w:tplc="E4D09C2A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CFC"/>
    <w:multiLevelType w:val="hybridMultilevel"/>
    <w:tmpl w:val="4394F460"/>
    <w:lvl w:ilvl="0" w:tplc="3FC86672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5241C"/>
    <w:multiLevelType w:val="hybridMultilevel"/>
    <w:tmpl w:val="056C512A"/>
    <w:lvl w:ilvl="0" w:tplc="E732FDCE">
      <w:start w:val="1"/>
      <w:numFmt w:val="hebrew1"/>
      <w:lvlRestart w:val="0"/>
      <w:lvlText w:val="(%1)"/>
      <w:lvlJc w:val="left"/>
      <w:pPr>
        <w:tabs>
          <w:tab w:val="num" w:pos="1248"/>
        </w:tabs>
        <w:ind w:left="624" w:firstLine="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1" w15:restartNumberingAfterBreak="0">
    <w:nsid w:val="4F024B25"/>
    <w:multiLevelType w:val="hybridMultilevel"/>
    <w:tmpl w:val="FF260ABA"/>
    <w:lvl w:ilvl="0" w:tplc="2432FCD4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DBE0A62"/>
    <w:multiLevelType w:val="hybridMultilevel"/>
    <w:tmpl w:val="DFB47778"/>
    <w:lvl w:ilvl="0" w:tplc="92A06BE6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F2A72"/>
    <w:multiLevelType w:val="hybridMultilevel"/>
    <w:tmpl w:val="EEBAEF9C"/>
    <w:lvl w:ilvl="0" w:tplc="7D44280E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B0E51"/>
    <w:multiLevelType w:val="hybridMultilevel"/>
    <w:tmpl w:val="23969CB0"/>
    <w:lvl w:ilvl="0" w:tplc="1DB061BE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F5D2E"/>
    <w:multiLevelType w:val="hybridMultilevel"/>
    <w:tmpl w:val="134A69DA"/>
    <w:lvl w:ilvl="0" w:tplc="9D28B2E8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B6AA2"/>
    <w:multiLevelType w:val="hybridMultilevel"/>
    <w:tmpl w:val="1C2AC5B2"/>
    <w:lvl w:ilvl="0" w:tplc="416C50FA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C544D"/>
    <w:multiLevelType w:val="hybridMultilevel"/>
    <w:tmpl w:val="F6248DBA"/>
    <w:lvl w:ilvl="0" w:tplc="AEFA1C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David"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15"/>
  </w:num>
  <w:num w:numId="6">
    <w:abstractNumId w:val="3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22"/>
    <w:lvlOverride w:ilvl="0">
      <w:startOverride w:val="1"/>
    </w:lvlOverride>
  </w:num>
  <w:num w:numId="18">
    <w:abstractNumId w:val="14"/>
  </w:num>
  <w:num w:numId="19">
    <w:abstractNumId w:val="23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6"/>
  </w:num>
  <w:num w:numId="26">
    <w:abstractNumId w:val="27"/>
  </w:num>
  <w:num w:numId="27">
    <w:abstractNumId w:val="24"/>
  </w:num>
  <w:num w:numId="28">
    <w:abstractNumId w:val="18"/>
  </w:num>
  <w:num w:numId="29">
    <w:abstractNumId w:val="20"/>
  </w:num>
  <w:num w:numId="30">
    <w:abstractNumId w:val="12"/>
  </w:num>
  <w:num w:numId="31">
    <w:abstractNumId w:val="28"/>
  </w:num>
  <w:num w:numId="32">
    <w:abstractNumId w:val="21"/>
  </w:num>
  <w:num w:numId="33">
    <w:abstractNumId w:val="25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1D"/>
    <w:rsid w:val="00004126"/>
    <w:rsid w:val="00005934"/>
    <w:rsid w:val="00021152"/>
    <w:rsid w:val="00051BF8"/>
    <w:rsid w:val="000524D5"/>
    <w:rsid w:val="00077AA0"/>
    <w:rsid w:val="000E1034"/>
    <w:rsid w:val="00112F7C"/>
    <w:rsid w:val="001158C4"/>
    <w:rsid w:val="00134077"/>
    <w:rsid w:val="001340F2"/>
    <w:rsid w:val="00142168"/>
    <w:rsid w:val="00163990"/>
    <w:rsid w:val="001925CA"/>
    <w:rsid w:val="001C233A"/>
    <w:rsid w:val="001C2963"/>
    <w:rsid w:val="00205E58"/>
    <w:rsid w:val="00224AC8"/>
    <w:rsid w:val="002B68A8"/>
    <w:rsid w:val="002F3EBD"/>
    <w:rsid w:val="00303E31"/>
    <w:rsid w:val="003045ED"/>
    <w:rsid w:val="00374362"/>
    <w:rsid w:val="003A58BD"/>
    <w:rsid w:val="003A740C"/>
    <w:rsid w:val="003F4CC1"/>
    <w:rsid w:val="00412B8D"/>
    <w:rsid w:val="00433973"/>
    <w:rsid w:val="00440ABC"/>
    <w:rsid w:val="004D326E"/>
    <w:rsid w:val="00530F0E"/>
    <w:rsid w:val="00581403"/>
    <w:rsid w:val="00584C11"/>
    <w:rsid w:val="005A663C"/>
    <w:rsid w:val="005B08F6"/>
    <w:rsid w:val="005D07B8"/>
    <w:rsid w:val="00611807"/>
    <w:rsid w:val="00617309"/>
    <w:rsid w:val="00652627"/>
    <w:rsid w:val="00660CBC"/>
    <w:rsid w:val="006744FE"/>
    <w:rsid w:val="006843B9"/>
    <w:rsid w:val="00696C82"/>
    <w:rsid w:val="00697850"/>
    <w:rsid w:val="006B7C18"/>
    <w:rsid w:val="006D2D70"/>
    <w:rsid w:val="006F4A3B"/>
    <w:rsid w:val="006F60AA"/>
    <w:rsid w:val="00770CAF"/>
    <w:rsid w:val="007808F7"/>
    <w:rsid w:val="007A4F56"/>
    <w:rsid w:val="007D0BCE"/>
    <w:rsid w:val="007D4673"/>
    <w:rsid w:val="00816E92"/>
    <w:rsid w:val="008244BD"/>
    <w:rsid w:val="00883676"/>
    <w:rsid w:val="00884163"/>
    <w:rsid w:val="00893F0B"/>
    <w:rsid w:val="00895435"/>
    <w:rsid w:val="008A56E8"/>
    <w:rsid w:val="00932047"/>
    <w:rsid w:val="009335D7"/>
    <w:rsid w:val="00946C21"/>
    <w:rsid w:val="009751F4"/>
    <w:rsid w:val="009A2C9C"/>
    <w:rsid w:val="009A544B"/>
    <w:rsid w:val="00A02ADA"/>
    <w:rsid w:val="00A1525F"/>
    <w:rsid w:val="00A40665"/>
    <w:rsid w:val="00A57E7C"/>
    <w:rsid w:val="00A65159"/>
    <w:rsid w:val="00AB0BAE"/>
    <w:rsid w:val="00AD4210"/>
    <w:rsid w:val="00AE20D0"/>
    <w:rsid w:val="00AF4CD3"/>
    <w:rsid w:val="00B23E36"/>
    <w:rsid w:val="00B26471"/>
    <w:rsid w:val="00B64757"/>
    <w:rsid w:val="00BA2ECA"/>
    <w:rsid w:val="00BA683A"/>
    <w:rsid w:val="00BB7DC8"/>
    <w:rsid w:val="00C156C5"/>
    <w:rsid w:val="00C4306F"/>
    <w:rsid w:val="00C55F53"/>
    <w:rsid w:val="00C6064A"/>
    <w:rsid w:val="00CA1AF6"/>
    <w:rsid w:val="00CA7785"/>
    <w:rsid w:val="00CB5AE8"/>
    <w:rsid w:val="00D12F1D"/>
    <w:rsid w:val="00D2234F"/>
    <w:rsid w:val="00D31DD0"/>
    <w:rsid w:val="00D347A6"/>
    <w:rsid w:val="00D53E2A"/>
    <w:rsid w:val="00D91B7B"/>
    <w:rsid w:val="00D949AA"/>
    <w:rsid w:val="00DA5894"/>
    <w:rsid w:val="00E02F64"/>
    <w:rsid w:val="00E1784B"/>
    <w:rsid w:val="00E41C5C"/>
    <w:rsid w:val="00E42D41"/>
    <w:rsid w:val="00E4630A"/>
    <w:rsid w:val="00E64AAD"/>
    <w:rsid w:val="00E84EC1"/>
    <w:rsid w:val="00E91CF1"/>
    <w:rsid w:val="00E9393C"/>
    <w:rsid w:val="00EA00AF"/>
    <w:rsid w:val="00EC242A"/>
    <w:rsid w:val="00ED58AE"/>
    <w:rsid w:val="00EE7EFF"/>
    <w:rsid w:val="00F00044"/>
    <w:rsid w:val="00F043F3"/>
    <w:rsid w:val="00F1678E"/>
    <w:rsid w:val="00F63875"/>
    <w:rsid w:val="00F74348"/>
    <w:rsid w:val="00FA7FB0"/>
    <w:rsid w:val="00FC548C"/>
    <w:rsid w:val="00FD12EA"/>
    <w:rsid w:val="00F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65EF0-098A-433D-89CF-BC5E1C2C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1D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2F1D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D12F1D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D12F1D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D12F1D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12F1D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12F1D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D12F1D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D12F1D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D12F1D"/>
    <w:pPr>
      <w:outlineLvl w:val="2"/>
    </w:pPr>
  </w:style>
  <w:style w:type="paragraph" w:customStyle="1" w:styleId="TableBlock">
    <w:name w:val="Table Block"/>
    <w:basedOn w:val="TableText"/>
    <w:rsid w:val="00D12F1D"/>
    <w:pPr>
      <w:jc w:val="both"/>
    </w:pPr>
  </w:style>
  <w:style w:type="paragraph" w:customStyle="1" w:styleId="TableHead">
    <w:name w:val="Table Head"/>
    <w:basedOn w:val="TableText"/>
    <w:rsid w:val="00D12F1D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D12F1D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D12F1D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D12F1D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D12F1D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D12F1D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D12F1D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D12F1D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D12F1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D12F1D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D12F1D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D12F1D"/>
    <w:pPr>
      <w:outlineLvl w:val="9"/>
    </w:pPr>
  </w:style>
  <w:style w:type="paragraph" w:customStyle="1" w:styleId="Hesber">
    <w:name w:val="Hesber"/>
    <w:basedOn w:val="a"/>
    <w:rsid w:val="00D12F1D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rsid w:val="00D12F1D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rsid w:val="00D12F1D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,Appel note de bas de p"/>
    <w:basedOn w:val="a0"/>
    <w:rsid w:val="00D12F1D"/>
    <w:rPr>
      <w:vertAlign w:val="superscript"/>
    </w:rPr>
  </w:style>
  <w:style w:type="paragraph" w:customStyle="1" w:styleId="HesberHeading">
    <w:name w:val="Hesber Heading"/>
    <w:basedOn w:val="Hesber"/>
    <w:rsid w:val="00D12F1D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D12F1D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D12F1D"/>
    <w:rPr>
      <w:vertAlign w:val="superscript"/>
    </w:rPr>
  </w:style>
  <w:style w:type="paragraph" w:customStyle="1" w:styleId="TableBlockOutdent">
    <w:name w:val="Table BlockOutdent"/>
    <w:basedOn w:val="TableBlock"/>
    <w:rsid w:val="00D12F1D"/>
    <w:pPr>
      <w:ind w:left="624" w:hanging="624"/>
    </w:pPr>
  </w:style>
  <w:style w:type="paragraph" w:styleId="a9">
    <w:name w:val="header"/>
    <w:basedOn w:val="a"/>
    <w:link w:val="aa"/>
    <w:rsid w:val="00D12F1D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D12F1D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D12F1D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D12F1D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D12F1D"/>
  </w:style>
  <w:style w:type="paragraph" w:customStyle="1" w:styleId="Cover1-Reshumot">
    <w:name w:val="Cover 1-Reshumot"/>
    <w:basedOn w:val="a"/>
    <w:rsid w:val="00D12F1D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D12F1D"/>
    <w:rPr>
      <w:sz w:val="36"/>
      <w:szCs w:val="52"/>
    </w:rPr>
  </w:style>
  <w:style w:type="paragraph" w:customStyle="1" w:styleId="Cover3-Haknesset">
    <w:name w:val="Cover 3-Haknesset"/>
    <w:basedOn w:val="Cover1-Reshumot"/>
    <w:rsid w:val="00D12F1D"/>
    <w:rPr>
      <w:b/>
      <w:bCs/>
      <w:spacing w:val="60"/>
    </w:rPr>
  </w:style>
  <w:style w:type="paragraph" w:customStyle="1" w:styleId="Cover4-Date">
    <w:name w:val="Cover 4-Date"/>
    <w:basedOn w:val="a"/>
    <w:rsid w:val="00D12F1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D12F1D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D12F1D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D12F1D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D12F1D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D12F1D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D12F1D"/>
    <w:pPr>
      <w:numPr>
        <w:numId w:val="19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D12F1D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D12F1D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D12F1D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D12F1D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D12F1D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D12F1D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D12F1D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D12F1D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D12F1D"/>
    <w:rPr>
      <w:rFonts w:eastAsia="Times New Roman"/>
    </w:rPr>
  </w:style>
  <w:style w:type="paragraph" w:styleId="af">
    <w:name w:val="List Paragraph"/>
    <w:basedOn w:val="a"/>
    <w:uiPriority w:val="34"/>
    <w:qFormat/>
    <w:rsid w:val="00D12F1D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D12F1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ה רגילה 11"/>
    <w:basedOn w:val="a1"/>
    <w:uiPriority w:val="41"/>
    <w:rsid w:val="00D12F1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0">
    <w:name w:val="טבלת רשת 1 בהירה1"/>
    <w:basedOn w:val="a1"/>
    <w:uiPriority w:val="46"/>
    <w:rsid w:val="00D12F1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D12F1D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2">
    <w:name w:val="סגנון1"/>
    <w:basedOn w:val="a1"/>
    <w:uiPriority w:val="99"/>
    <w:rsid w:val="00D12F1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paragraph" w:customStyle="1" w:styleId="P11">
    <w:name w:val="P11"/>
    <w:basedOn w:val="a"/>
    <w:rsid w:val="00BB7DC8"/>
    <w:pPr>
      <w:tabs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line="240" w:lineRule="auto"/>
      <w:ind w:left="2835" w:right="624"/>
      <w:contextualSpacing w:val="0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character" w:customStyle="1" w:styleId="default">
    <w:name w:val="default"/>
    <w:rsid w:val="00BB7DC8"/>
    <w:rPr>
      <w:rFonts w:ascii="Times New Roman" w:hAnsi="Times New Roman" w:cs="Times New Roman"/>
      <w:sz w:val="20"/>
      <w:szCs w:val="26"/>
    </w:rPr>
  </w:style>
  <w:style w:type="character" w:styleId="af2">
    <w:name w:val="annotation reference"/>
    <w:basedOn w:val="a0"/>
    <w:uiPriority w:val="99"/>
    <w:semiHidden/>
    <w:unhideWhenUsed/>
    <w:rsid w:val="00770CA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70CAF"/>
    <w:pPr>
      <w:spacing w:line="240" w:lineRule="auto"/>
    </w:pPr>
    <w:rPr>
      <w:sz w:val="20"/>
      <w:szCs w:val="20"/>
    </w:rPr>
  </w:style>
  <w:style w:type="character" w:customStyle="1" w:styleId="af4">
    <w:name w:val="טקסט הערה תו"/>
    <w:basedOn w:val="a0"/>
    <w:link w:val="af3"/>
    <w:uiPriority w:val="99"/>
    <w:semiHidden/>
    <w:rsid w:val="00770CAF"/>
    <w:rPr>
      <w:rFonts w:ascii="David" w:hAnsi="David" w:cs="David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70CAF"/>
    <w:rPr>
      <w:b/>
      <w:bCs/>
    </w:rPr>
  </w:style>
  <w:style w:type="character" w:customStyle="1" w:styleId="af6">
    <w:name w:val="נושא הערה תו"/>
    <w:basedOn w:val="af4"/>
    <w:link w:val="af5"/>
    <w:uiPriority w:val="99"/>
    <w:semiHidden/>
    <w:rsid w:val="00770CAF"/>
    <w:rPr>
      <w:rFonts w:ascii="David" w:hAnsi="David" w:cs="David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770CA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770CA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fNumber xmlns="d2589617-2f74-4077-aee7-f516ed639388">44978</Ref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61B5BAE19C0A94ABF7F052772C71F14" ma:contentTypeVersion="1" ma:contentTypeDescription="צור מסמך חדש." ma:contentTypeScope="" ma:versionID="4c4e7c02a57e54f45d23c2b2cc14d8d5">
  <xsd:schema xmlns:xsd="http://www.w3.org/2001/XMLSchema" xmlns:p="http://schemas.microsoft.com/office/2006/metadata/properties" xmlns:ns2="d2589617-2f74-4077-aee7-f516ed639388" targetNamespace="http://schemas.microsoft.com/office/2006/metadata/properties" ma:root="true" ma:fieldsID="07cad186b484ecc037a0bd5112bdf38e" ns2:_="">
    <xsd:import namespace="d2589617-2f74-4077-aee7-f516ed639388"/>
    <xsd:element name="properties">
      <xsd:complexType>
        <xsd:sequence>
          <xsd:element name="documentManagement">
            <xsd:complexType>
              <xsd:all>
                <xsd:element ref="ns2:Ref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589617-2f74-4077-aee7-f516ed639388" elementFormDefault="qualified">
    <xsd:import namespace="http://schemas.microsoft.com/office/2006/documentManagement/types"/>
    <xsd:element name="RefNumber" ma:index="8" nillable="true" ma:displayName="RefNumber" ma:description="מס' טופס" ma:internalName="Ref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D4B5-08B0-48E8-810C-E01DF2F53601}">
  <ds:schemaRefs>
    <ds:schemaRef ds:uri="http://schemas.microsoft.com/office/2006/metadata/properties"/>
    <ds:schemaRef ds:uri="d2589617-2f74-4077-aee7-f516ed639388"/>
  </ds:schemaRefs>
</ds:datastoreItem>
</file>

<file path=customXml/itemProps2.xml><?xml version="1.0" encoding="utf-8"?>
<ds:datastoreItem xmlns:ds="http://schemas.openxmlformats.org/officeDocument/2006/customXml" ds:itemID="{AF4C08C7-8BC1-46CE-A3D4-0883D0775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949EB-C627-4715-B5A4-DF4DD20E9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89617-2f74-4077-aee7-f516ed6393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35C727-7553-4F1C-AF8A-3DD81F6F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טיוטת תקנות התקשורת (בזק ושידורים) (תדרים למיתקני גישה אלחוטית) (תיקון), התשעט-2019.docx</vt:lpstr>
    </vt:vector>
  </TitlesOfParts>
  <Company>MOC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טיוטת תקנות התקשורת (בזק ושידורים) (תדרים למיתקני גישה אלחוטית) (תיקון), התשעט-2019.docx</dc:title>
  <dc:creator>בת שבע נחמיה-מיכאלי</dc:creator>
  <cp:lastModifiedBy>Merav Kaplan - Chamber Of Commerce</cp:lastModifiedBy>
  <cp:revision>2</cp:revision>
  <cp:lastPrinted>2019-01-23T14:01:00Z</cp:lastPrinted>
  <dcterms:created xsi:type="dcterms:W3CDTF">2019-02-12T12:34:00Z</dcterms:created>
  <dcterms:modified xsi:type="dcterms:W3CDTF">2019-02-12T12:34:00Z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0x010100161B5BAE19C0A94ABF7F052772C71F14</vt:lpwstr>
  </property>
</Properties>
</file>