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BD" w:rsidRDefault="00646DBD" w:rsidP="00BA4A21">
      <w:pPr>
        <w:rPr>
          <w:b/>
          <w:bCs/>
          <w:noProof w:val="0"/>
          <w:sz w:val="24"/>
          <w:szCs w:val="24"/>
          <w:rtl/>
        </w:rPr>
      </w:pPr>
      <w:bookmarkStart w:id="0" w:name="_GoBack"/>
      <w:bookmarkEnd w:id="0"/>
    </w:p>
    <w:p w:rsidR="00646DBD" w:rsidRPr="00BA4A21" w:rsidRDefault="00646DBD" w:rsidP="00BA4A21">
      <w:pPr>
        <w:rPr>
          <w:b/>
          <w:bCs/>
          <w:noProof w:val="0"/>
          <w:sz w:val="24"/>
          <w:szCs w:val="24"/>
          <w:rtl/>
        </w:rPr>
      </w:pPr>
    </w:p>
    <w:p w:rsidR="00646DBD" w:rsidRPr="00BA4A21" w:rsidRDefault="00646DBD" w:rsidP="00BA4A21">
      <w:pPr>
        <w:jc w:val="right"/>
        <w:rPr>
          <w:b/>
          <w:bCs/>
          <w:noProof w:val="0"/>
          <w:sz w:val="24"/>
          <w:szCs w:val="24"/>
          <w:rtl/>
        </w:rPr>
      </w:pPr>
      <w:r>
        <w:rPr>
          <w:b/>
          <w:bCs/>
          <w:noProof w:val="0"/>
          <w:sz w:val="24"/>
          <w:szCs w:val="24"/>
          <w:rtl/>
        </w:rPr>
        <w:t>י"ט כסלו תשע"ב</w:t>
      </w:r>
    </w:p>
    <w:p w:rsidR="00646DBD" w:rsidRPr="00BA4A21" w:rsidRDefault="00646DBD" w:rsidP="00BA4A21">
      <w:pPr>
        <w:jc w:val="right"/>
        <w:rPr>
          <w:b/>
          <w:bCs/>
          <w:noProof w:val="0"/>
          <w:sz w:val="24"/>
          <w:szCs w:val="24"/>
          <w:rtl/>
        </w:rPr>
      </w:pPr>
      <w:r w:rsidRPr="00BA4A21">
        <w:rPr>
          <w:b/>
          <w:bCs/>
          <w:noProof w:val="0"/>
          <w:sz w:val="24"/>
          <w:szCs w:val="24"/>
          <w:rtl/>
        </w:rPr>
        <w:tab/>
      </w:r>
      <w:r>
        <w:rPr>
          <w:b/>
          <w:bCs/>
          <w:noProof w:val="0"/>
          <w:sz w:val="24"/>
          <w:szCs w:val="24"/>
          <w:rtl/>
        </w:rPr>
        <w:t>15 דצמבר 2011</w:t>
      </w:r>
    </w:p>
    <w:p w:rsidR="00646DBD" w:rsidRPr="00BA4A21" w:rsidRDefault="00646DBD" w:rsidP="00BA4A21">
      <w:pPr>
        <w:jc w:val="right"/>
        <w:rPr>
          <w:b/>
          <w:bCs/>
          <w:noProof w:val="0"/>
          <w:sz w:val="24"/>
          <w:szCs w:val="24"/>
          <w:rtl/>
        </w:rPr>
      </w:pPr>
      <w:r>
        <w:rPr>
          <w:b/>
          <w:bCs/>
          <w:noProof w:val="0"/>
          <w:sz w:val="24"/>
          <w:szCs w:val="24"/>
          <w:rtl/>
        </w:rPr>
        <w:t>מספרנו :</w:t>
      </w:r>
      <w:r w:rsidRPr="00BA4A21">
        <w:rPr>
          <w:b/>
          <w:bCs/>
          <w:noProof w:val="0"/>
          <w:sz w:val="24"/>
          <w:szCs w:val="24"/>
          <w:rtl/>
        </w:rPr>
        <w:tab/>
      </w:r>
      <w:r>
        <w:rPr>
          <w:b/>
          <w:bCs/>
          <w:noProof w:val="0"/>
          <w:sz w:val="24"/>
          <w:szCs w:val="24"/>
          <w:rtl/>
        </w:rPr>
        <w:t>2011-0043-738</w:t>
      </w:r>
    </w:p>
    <w:p w:rsidR="00646DBD" w:rsidRPr="00BA4A21" w:rsidRDefault="00646DBD" w:rsidP="00BA4A21">
      <w:pPr>
        <w:rPr>
          <w:b/>
          <w:bCs/>
          <w:noProof w:val="0"/>
          <w:sz w:val="24"/>
          <w:szCs w:val="24"/>
          <w:rtl/>
        </w:rPr>
      </w:pPr>
    </w:p>
    <w:p w:rsidR="00646DBD" w:rsidRDefault="00646DBD" w:rsidP="00BA4A21">
      <w:pPr>
        <w:rPr>
          <w:b/>
          <w:bCs/>
          <w:noProof w:val="0"/>
          <w:sz w:val="24"/>
          <w:szCs w:val="24"/>
          <w:rtl/>
        </w:rPr>
      </w:pPr>
    </w:p>
    <w:p w:rsidR="00646DBD" w:rsidRPr="000F708C" w:rsidRDefault="00646DBD" w:rsidP="000F708C">
      <w:pPr>
        <w:spacing w:before="120"/>
        <w:jc w:val="center"/>
        <w:rPr>
          <w:b/>
          <w:bCs/>
          <w:noProof w:val="0"/>
          <w:sz w:val="24"/>
          <w:szCs w:val="24"/>
          <w:u w:val="single"/>
          <w:rtl/>
        </w:rPr>
      </w:pPr>
    </w:p>
    <w:p w:rsidR="00646DBD" w:rsidRPr="000F708C" w:rsidRDefault="00646DBD" w:rsidP="000F708C">
      <w:pPr>
        <w:spacing w:before="120"/>
        <w:jc w:val="center"/>
        <w:rPr>
          <w:b/>
          <w:bCs/>
          <w:noProof w:val="0"/>
          <w:sz w:val="24"/>
          <w:szCs w:val="24"/>
          <w:u w:val="single"/>
          <w:rtl/>
        </w:rPr>
      </w:pPr>
      <w:r w:rsidRPr="000F708C">
        <w:rPr>
          <w:b/>
          <w:bCs/>
          <w:noProof w:val="0"/>
          <w:sz w:val="24"/>
          <w:szCs w:val="24"/>
          <w:u w:val="single"/>
          <w:rtl/>
        </w:rPr>
        <w:t>הנחיות הממונה על הגנת הצרכן והסחר ההוגן</w:t>
      </w:r>
    </w:p>
    <w:p w:rsidR="00646DBD" w:rsidRPr="000F708C" w:rsidRDefault="00646DBD" w:rsidP="000F708C">
      <w:pPr>
        <w:spacing w:before="120"/>
        <w:jc w:val="center"/>
        <w:rPr>
          <w:b/>
          <w:bCs/>
          <w:noProof w:val="0"/>
          <w:sz w:val="24"/>
          <w:szCs w:val="24"/>
          <w:u w:val="single"/>
          <w:rtl/>
        </w:rPr>
      </w:pPr>
      <w:r w:rsidRPr="000F708C">
        <w:rPr>
          <w:b/>
          <w:bCs/>
          <w:noProof w:val="0"/>
          <w:sz w:val="24"/>
          <w:szCs w:val="24"/>
          <w:u w:val="single"/>
          <w:rtl/>
        </w:rPr>
        <w:t>תקנות הגנת הצרכן (האותיות בחוזה אחיד ובתנאי הכלול במידע אחר המיועד לצרכן),</w:t>
      </w:r>
    </w:p>
    <w:p w:rsidR="00646DBD" w:rsidRPr="000F708C" w:rsidRDefault="00646DBD" w:rsidP="000F708C">
      <w:pPr>
        <w:spacing w:before="120"/>
        <w:jc w:val="center"/>
        <w:rPr>
          <w:b/>
          <w:bCs/>
          <w:noProof w:val="0"/>
          <w:sz w:val="24"/>
          <w:szCs w:val="24"/>
          <w:u w:val="single"/>
          <w:rtl/>
        </w:rPr>
      </w:pPr>
      <w:proofErr w:type="spellStart"/>
      <w:r w:rsidRPr="000F708C">
        <w:rPr>
          <w:b/>
          <w:bCs/>
          <w:noProof w:val="0"/>
          <w:sz w:val="24"/>
          <w:szCs w:val="24"/>
          <w:u w:val="single"/>
          <w:rtl/>
        </w:rPr>
        <w:t>התשנ"ה</w:t>
      </w:r>
      <w:proofErr w:type="spellEnd"/>
      <w:r w:rsidRPr="000F708C">
        <w:rPr>
          <w:b/>
          <w:bCs/>
          <w:noProof w:val="0"/>
          <w:sz w:val="24"/>
          <w:szCs w:val="24"/>
          <w:u w:val="single"/>
          <w:rtl/>
        </w:rPr>
        <w:t xml:space="preserve"> – 1995</w:t>
      </w:r>
    </w:p>
    <w:p w:rsidR="00646DBD" w:rsidRPr="000F708C" w:rsidRDefault="00646DBD" w:rsidP="000F708C">
      <w:pPr>
        <w:rPr>
          <w:b/>
          <w:bCs/>
          <w:noProof w:val="0"/>
          <w:sz w:val="24"/>
          <w:szCs w:val="24"/>
          <w:rtl/>
        </w:rPr>
      </w:pPr>
    </w:p>
    <w:p w:rsidR="00646DBD" w:rsidRPr="000F708C" w:rsidRDefault="00646DBD" w:rsidP="0078278C">
      <w:pPr>
        <w:spacing w:before="120"/>
        <w:jc w:val="both"/>
        <w:rPr>
          <w:noProof w:val="0"/>
          <w:sz w:val="24"/>
          <w:szCs w:val="24"/>
          <w:rtl/>
        </w:rPr>
      </w:pPr>
      <w:r w:rsidRPr="000F708C">
        <w:rPr>
          <w:noProof w:val="0"/>
          <w:sz w:val="24"/>
          <w:szCs w:val="24"/>
          <w:rtl/>
        </w:rPr>
        <w:t xml:space="preserve">בפברואר 1995 נכנסו לתוקף תקנות הגנת הצרכן (גודל האותיות בחוזה אחיד), </w:t>
      </w:r>
      <w:proofErr w:type="spellStart"/>
      <w:r w:rsidRPr="000F708C">
        <w:rPr>
          <w:noProof w:val="0"/>
          <w:sz w:val="24"/>
          <w:szCs w:val="24"/>
          <w:rtl/>
        </w:rPr>
        <w:t>התשנ"ה</w:t>
      </w:r>
      <w:proofErr w:type="spellEnd"/>
      <w:r w:rsidRPr="000F708C">
        <w:rPr>
          <w:noProof w:val="0"/>
          <w:sz w:val="24"/>
          <w:szCs w:val="24"/>
          <w:rtl/>
        </w:rPr>
        <w:t xml:space="preserve"> – 1995 (להלן – התקנות) אשר קבעו הוראות לגבי גודל האותיות בחוזה אחיד וכן לגבי אופן כתיבתן. נקבע כי גודלן המזערי של האותיות בחוזה אחיד יהיה 2 מילימטרים, כמו כן נקבע כלהלן – </w:t>
      </w:r>
    </w:p>
    <w:p w:rsidR="00646DBD" w:rsidRPr="000F708C" w:rsidRDefault="00646DBD" w:rsidP="000F708C">
      <w:pPr>
        <w:spacing w:before="120"/>
        <w:rPr>
          <w:noProof w:val="0"/>
          <w:sz w:val="24"/>
          <w:szCs w:val="24"/>
          <w:rtl/>
        </w:rPr>
      </w:pPr>
      <w:r w:rsidRPr="000F708C">
        <w:rPr>
          <w:noProof w:val="0"/>
          <w:sz w:val="24"/>
          <w:szCs w:val="24"/>
          <w:rtl/>
        </w:rPr>
        <w:t>1.</w:t>
      </w:r>
      <w:r w:rsidRPr="000F708C">
        <w:rPr>
          <w:noProof w:val="0"/>
          <w:sz w:val="24"/>
          <w:szCs w:val="24"/>
          <w:rtl/>
        </w:rPr>
        <w:tab/>
        <w:t xml:space="preserve">האותיות לא תהינה נטויות או מוצרות; </w:t>
      </w:r>
    </w:p>
    <w:p w:rsidR="00646DBD" w:rsidRPr="000F708C" w:rsidRDefault="00646DBD" w:rsidP="000F708C">
      <w:pPr>
        <w:spacing w:before="120"/>
        <w:rPr>
          <w:noProof w:val="0"/>
          <w:sz w:val="24"/>
          <w:szCs w:val="24"/>
          <w:rtl/>
        </w:rPr>
      </w:pPr>
      <w:r w:rsidRPr="000F708C">
        <w:rPr>
          <w:noProof w:val="0"/>
          <w:sz w:val="24"/>
          <w:szCs w:val="24"/>
          <w:rtl/>
        </w:rPr>
        <w:t>2.</w:t>
      </w:r>
      <w:r w:rsidRPr="000F708C">
        <w:rPr>
          <w:noProof w:val="0"/>
          <w:sz w:val="24"/>
          <w:szCs w:val="24"/>
          <w:rtl/>
        </w:rPr>
        <w:tab/>
        <w:t xml:space="preserve">צבע האותיות יהיה נוגד את צבע הנייר שעליו הן כתובות; </w:t>
      </w:r>
    </w:p>
    <w:p w:rsidR="00646DBD" w:rsidRPr="000F708C" w:rsidRDefault="00646DBD" w:rsidP="000F708C">
      <w:pPr>
        <w:spacing w:before="120"/>
        <w:rPr>
          <w:noProof w:val="0"/>
          <w:sz w:val="24"/>
          <w:szCs w:val="24"/>
          <w:rtl/>
        </w:rPr>
      </w:pPr>
      <w:r w:rsidRPr="000F708C">
        <w:rPr>
          <w:noProof w:val="0"/>
          <w:sz w:val="24"/>
          <w:szCs w:val="24"/>
          <w:rtl/>
        </w:rPr>
        <w:t>3.</w:t>
      </w:r>
      <w:r w:rsidRPr="000F708C">
        <w:rPr>
          <w:noProof w:val="0"/>
          <w:sz w:val="24"/>
          <w:szCs w:val="24"/>
          <w:rtl/>
        </w:rPr>
        <w:tab/>
        <w:t xml:space="preserve">הרווח בין השורות לא יקטן מגודל האות בשורה; </w:t>
      </w:r>
    </w:p>
    <w:p w:rsidR="00646DBD" w:rsidRPr="000F708C" w:rsidRDefault="00646DBD" w:rsidP="000F708C">
      <w:pPr>
        <w:spacing w:before="120"/>
        <w:rPr>
          <w:noProof w:val="0"/>
          <w:sz w:val="24"/>
          <w:szCs w:val="24"/>
          <w:rtl/>
        </w:rPr>
      </w:pPr>
      <w:r w:rsidRPr="000F708C">
        <w:rPr>
          <w:noProof w:val="0"/>
          <w:sz w:val="24"/>
          <w:szCs w:val="24"/>
          <w:rtl/>
        </w:rPr>
        <w:t>4.</w:t>
      </w:r>
      <w:r w:rsidRPr="000F708C">
        <w:rPr>
          <w:noProof w:val="0"/>
          <w:sz w:val="24"/>
          <w:szCs w:val="24"/>
          <w:rtl/>
        </w:rPr>
        <w:tab/>
        <w:t xml:space="preserve">האותיות בשורות לא תיגענה אחת </w:t>
      </w:r>
      <w:proofErr w:type="spellStart"/>
      <w:r w:rsidRPr="000F708C">
        <w:rPr>
          <w:noProof w:val="0"/>
          <w:sz w:val="24"/>
          <w:szCs w:val="24"/>
          <w:rtl/>
        </w:rPr>
        <w:t>בשניה</w:t>
      </w:r>
      <w:proofErr w:type="spellEnd"/>
      <w:r w:rsidRPr="000F708C">
        <w:rPr>
          <w:noProof w:val="0"/>
          <w:sz w:val="24"/>
          <w:szCs w:val="24"/>
          <w:rtl/>
        </w:rPr>
        <w:t>.</w:t>
      </w:r>
    </w:p>
    <w:p w:rsidR="00646DBD" w:rsidRPr="000F708C" w:rsidRDefault="00646DBD" w:rsidP="000F708C">
      <w:pPr>
        <w:rPr>
          <w:noProof w:val="0"/>
          <w:sz w:val="24"/>
          <w:szCs w:val="24"/>
          <w:rtl/>
        </w:rPr>
      </w:pPr>
    </w:p>
    <w:p w:rsidR="00646DBD" w:rsidRPr="000F708C" w:rsidRDefault="00646DBD" w:rsidP="0078278C">
      <w:pPr>
        <w:jc w:val="both"/>
        <w:rPr>
          <w:noProof w:val="0"/>
          <w:sz w:val="24"/>
          <w:szCs w:val="24"/>
          <w:rtl/>
        </w:rPr>
      </w:pPr>
      <w:r w:rsidRPr="000F708C">
        <w:rPr>
          <w:noProof w:val="0"/>
          <w:sz w:val="24"/>
          <w:szCs w:val="24"/>
          <w:rtl/>
        </w:rPr>
        <w:t>ביום 17 ביולי 2011 התפרסם ברשומות תיקון לתקנות שמטרתו לקבוע הוראות לגבי גודל האותיות בתנאי הכלול במידע אחר לצרכן שאינו חוזה אחיד.</w:t>
      </w:r>
    </w:p>
    <w:p w:rsidR="00646DBD" w:rsidRPr="000F708C" w:rsidRDefault="00646DBD" w:rsidP="0078278C">
      <w:pPr>
        <w:jc w:val="both"/>
        <w:rPr>
          <w:noProof w:val="0"/>
          <w:sz w:val="24"/>
          <w:szCs w:val="24"/>
          <w:rtl/>
        </w:rPr>
      </w:pPr>
      <w:r w:rsidRPr="000F708C">
        <w:rPr>
          <w:noProof w:val="0"/>
          <w:sz w:val="24"/>
          <w:szCs w:val="24"/>
          <w:rtl/>
        </w:rPr>
        <w:t xml:space="preserve">התיקון לתקנות ייכנס לתוקף ביום 1 בינואר 2012 והוא כולל את החידושים הבאים – </w:t>
      </w:r>
      <w:r>
        <w:rPr>
          <w:noProof w:val="0"/>
          <w:sz w:val="24"/>
          <w:szCs w:val="24"/>
          <w:rtl/>
        </w:rPr>
        <w:br/>
      </w:r>
    </w:p>
    <w:p w:rsidR="00646DBD" w:rsidRPr="000F708C" w:rsidRDefault="00646DBD" w:rsidP="0078278C">
      <w:pPr>
        <w:numPr>
          <w:ilvl w:val="0"/>
          <w:numId w:val="5"/>
        </w:numPr>
        <w:spacing w:before="120"/>
        <w:ind w:left="714" w:hanging="357"/>
        <w:jc w:val="both"/>
        <w:rPr>
          <w:noProof w:val="0"/>
          <w:sz w:val="24"/>
          <w:szCs w:val="24"/>
          <w:rtl/>
        </w:rPr>
      </w:pPr>
      <w:r w:rsidRPr="000F708C">
        <w:rPr>
          <w:noProof w:val="0"/>
          <w:sz w:val="24"/>
          <w:szCs w:val="24"/>
          <w:rtl/>
        </w:rPr>
        <w:t xml:space="preserve">הגדרת המונח "מידע אחר" – התקנות קובעות כי מידע אחר הוא כל פרסום, לרבות עלון מידע, קטלוג, מודעת פרסומת וכן מידע כיוצא באלה, בין מודפס ובין במדיה אלקטרונית. התקנות קובעות כי מידע אחר הוא מידע פרסומי היכול להופיע במודעה, שלט חוצות, עלון מידע קטלוג וכיוצא באלה. המידע כאמור יכול להיות מודפס או להופיע במדיה אלקטרונית כגון באינטרנט, במכשיר סלולארי, באי מייל. יודגש כי התקנות אינן חלות על פרסומות המופיעות בטלוויזיה לגביהן קיימת הסדרה ספציפית אחרת מכוח חוק הרשות </w:t>
      </w:r>
      <w:proofErr w:type="spellStart"/>
      <w:r w:rsidRPr="000F708C">
        <w:rPr>
          <w:noProof w:val="0"/>
          <w:sz w:val="24"/>
          <w:szCs w:val="24"/>
          <w:rtl/>
        </w:rPr>
        <w:t>השניה</w:t>
      </w:r>
      <w:proofErr w:type="spellEnd"/>
      <w:r w:rsidRPr="000F708C">
        <w:rPr>
          <w:noProof w:val="0"/>
          <w:sz w:val="24"/>
          <w:szCs w:val="24"/>
          <w:rtl/>
        </w:rPr>
        <w:t xml:space="preserve"> </w:t>
      </w:r>
      <w:proofErr w:type="spellStart"/>
      <w:r w:rsidRPr="000F708C">
        <w:rPr>
          <w:noProof w:val="0"/>
          <w:sz w:val="24"/>
          <w:szCs w:val="24"/>
          <w:rtl/>
        </w:rPr>
        <w:t>לטלויזיה</w:t>
      </w:r>
      <w:proofErr w:type="spellEnd"/>
      <w:r w:rsidRPr="000F708C">
        <w:rPr>
          <w:noProof w:val="0"/>
          <w:sz w:val="24"/>
          <w:szCs w:val="24"/>
          <w:rtl/>
        </w:rPr>
        <w:t xml:space="preserve"> ורדיו, </w:t>
      </w:r>
      <w:proofErr w:type="spellStart"/>
      <w:r w:rsidRPr="000F708C">
        <w:rPr>
          <w:noProof w:val="0"/>
          <w:sz w:val="24"/>
          <w:szCs w:val="24"/>
          <w:rtl/>
        </w:rPr>
        <w:t>תש"ן</w:t>
      </w:r>
      <w:proofErr w:type="spellEnd"/>
      <w:r w:rsidRPr="000F708C">
        <w:rPr>
          <w:noProof w:val="0"/>
          <w:sz w:val="24"/>
          <w:szCs w:val="24"/>
          <w:rtl/>
        </w:rPr>
        <w:t xml:space="preserve"> – 1990 וחוק התקשורת (בזק ושידורים), תשמ"ב – 1982.</w:t>
      </w:r>
    </w:p>
    <w:p w:rsidR="00646DBD" w:rsidRDefault="00646DBD" w:rsidP="0078278C">
      <w:pPr>
        <w:numPr>
          <w:ilvl w:val="0"/>
          <w:numId w:val="5"/>
        </w:numPr>
        <w:spacing w:before="120"/>
        <w:ind w:left="714" w:hanging="357"/>
        <w:jc w:val="both"/>
        <w:rPr>
          <w:noProof w:val="0"/>
          <w:sz w:val="24"/>
          <w:szCs w:val="24"/>
          <w:rtl/>
        </w:rPr>
      </w:pPr>
      <w:r w:rsidRPr="000F708C">
        <w:rPr>
          <w:noProof w:val="0"/>
          <w:sz w:val="24"/>
          <w:szCs w:val="24"/>
          <w:rtl/>
        </w:rPr>
        <w:t>התקנות קובעות הסדרה אך ורק לגבי "תנאי הכלול במידע" היינו, הוראה הכלולה במידע, המגבילה, מסייגת או מתנה את האמור בו. עוסקים רבים נוהגים לפרסם את עצמם ואת מרכולתם באותיות גדולות ומושכות את העין, עם זאת את הסייגים לפרסום הם לרוב כותבים בתחתית העמוד ובאותיות קטנות שלעיתים בלתי קריאות</w:t>
      </w:r>
      <w:r w:rsidRPr="000F708C">
        <w:rPr>
          <w:b/>
          <w:bCs/>
          <w:noProof w:val="0"/>
          <w:sz w:val="24"/>
          <w:szCs w:val="24"/>
          <w:rtl/>
        </w:rPr>
        <w:t>. שינוי הפרקטיקה הזו של כתיבת הסייגים באותיות קטנות מדי היא זו שעומדת על הפרק בתקנות אלה</w:t>
      </w:r>
      <w:r w:rsidRPr="000F708C">
        <w:rPr>
          <w:noProof w:val="0"/>
          <w:sz w:val="24"/>
          <w:szCs w:val="24"/>
          <w:rtl/>
        </w:rPr>
        <w:t>.</w:t>
      </w:r>
    </w:p>
    <w:p w:rsidR="00646DBD" w:rsidRDefault="00646DBD" w:rsidP="0078278C">
      <w:pPr>
        <w:numPr>
          <w:ilvl w:val="0"/>
          <w:numId w:val="5"/>
        </w:numPr>
        <w:spacing w:before="120"/>
        <w:ind w:left="714" w:hanging="357"/>
        <w:jc w:val="both"/>
        <w:rPr>
          <w:sz w:val="24"/>
          <w:szCs w:val="24"/>
        </w:rPr>
      </w:pPr>
      <w:r w:rsidRPr="000F708C">
        <w:rPr>
          <w:noProof w:val="0"/>
          <w:sz w:val="24"/>
          <w:szCs w:val="24"/>
          <w:rtl/>
        </w:rPr>
        <w:t>מאחר והמידע הפרסומי כאמור יכול להופיע גם במדיה אלקטרונית, קובעות התקנות כי הגודל המזערי של האותיות בסייגים הכלולים במידע כאמור יהיה 30% מגודל האותיות הגדולות ביותר שבמידע האמור, אך לא יותר מגודל האותיות המהוות את תוכן המידע.</w:t>
      </w:r>
      <w:r>
        <w:rPr>
          <w:noProof w:val="0"/>
          <w:sz w:val="24"/>
          <w:szCs w:val="24"/>
          <w:rtl/>
        </w:rPr>
        <w:br/>
      </w:r>
      <w:r w:rsidRPr="000F708C">
        <w:rPr>
          <w:noProof w:val="0"/>
          <w:sz w:val="24"/>
          <w:szCs w:val="24"/>
          <w:rtl/>
        </w:rPr>
        <w:t xml:space="preserve">למשל במודעה שלהלן – </w:t>
      </w:r>
    </w:p>
    <w:p w:rsidR="00646DBD" w:rsidRPr="000F708C" w:rsidRDefault="00646DBD" w:rsidP="0078278C">
      <w:pPr>
        <w:spacing w:before="120"/>
        <w:ind w:left="714"/>
        <w:jc w:val="both"/>
        <w:rPr>
          <w:noProof w:val="0"/>
          <w:sz w:val="24"/>
          <w:szCs w:val="24"/>
          <w:rtl/>
        </w:rPr>
      </w:pPr>
      <w:r>
        <w:rPr>
          <w:noProof w:val="0"/>
          <w:sz w:val="24"/>
          <w:szCs w:val="24"/>
          <w:rtl/>
        </w:rPr>
        <w:br/>
      </w:r>
      <w:r>
        <w:rPr>
          <w:noProof w:val="0"/>
          <w:sz w:val="24"/>
          <w:szCs w:val="24"/>
          <w:rtl/>
        </w:rPr>
        <w:br/>
      </w:r>
      <w:r>
        <w:rPr>
          <w:noProof w:val="0"/>
          <w:sz w:val="24"/>
          <w:szCs w:val="24"/>
          <w:rtl/>
        </w:rPr>
        <w:br/>
      </w:r>
      <w:r>
        <w:rPr>
          <w:noProof w:val="0"/>
          <w:sz w:val="24"/>
          <w:szCs w:val="24"/>
          <w:rtl/>
        </w:rPr>
        <w:br/>
      </w:r>
      <w:r>
        <w:rPr>
          <w:noProof w:val="0"/>
          <w:sz w:val="24"/>
          <w:szCs w:val="24"/>
          <w:rtl/>
        </w:rPr>
        <w:br/>
      </w:r>
      <w:r>
        <w:rPr>
          <w:noProof w:val="0"/>
          <w:sz w:val="24"/>
          <w:szCs w:val="24"/>
          <w:rtl/>
        </w:rPr>
        <w:br/>
      </w:r>
      <w:r>
        <w:rPr>
          <w:noProof w:val="0"/>
          <w:sz w:val="24"/>
          <w:szCs w:val="24"/>
          <w:rtl/>
        </w:rPr>
        <w:lastRenderedPageBreak/>
        <w:br/>
      </w:r>
    </w:p>
    <w:p w:rsidR="00646DBD" w:rsidRDefault="00646DBD" w:rsidP="00AD14A2">
      <w:pPr>
        <w:jc w:val="center"/>
        <w:rPr>
          <w:b/>
          <w:bCs/>
          <w:noProof w:val="0"/>
          <w:sz w:val="56"/>
          <w:szCs w:val="56"/>
          <w:rtl/>
        </w:rPr>
      </w:pPr>
      <w:r w:rsidRPr="00DF3A66">
        <w:rPr>
          <w:b/>
          <w:bCs/>
          <w:noProof w:val="0"/>
          <w:sz w:val="144"/>
          <w:szCs w:val="144"/>
          <w:rtl/>
        </w:rPr>
        <w:t>מבצע מטורף!!!</w:t>
      </w:r>
      <w:r>
        <w:rPr>
          <w:b/>
          <w:bCs/>
          <w:noProof w:val="0"/>
          <w:sz w:val="144"/>
          <w:szCs w:val="144"/>
          <w:rtl/>
        </w:rPr>
        <w:br/>
      </w:r>
    </w:p>
    <w:p w:rsidR="00646DBD" w:rsidRPr="00DF3A66" w:rsidRDefault="00646DBD" w:rsidP="00AD14A2">
      <w:pPr>
        <w:jc w:val="center"/>
        <w:rPr>
          <w:b/>
          <w:bCs/>
          <w:noProof w:val="0"/>
          <w:sz w:val="56"/>
          <w:szCs w:val="56"/>
          <w:rtl/>
        </w:rPr>
      </w:pPr>
      <w:r w:rsidRPr="00DF3A66">
        <w:rPr>
          <w:b/>
          <w:bCs/>
          <w:noProof w:val="0"/>
          <w:sz w:val="56"/>
          <w:szCs w:val="56"/>
          <w:rtl/>
        </w:rPr>
        <w:t>משקפי ראיה ב – 70% הנחה</w:t>
      </w:r>
      <w:r>
        <w:rPr>
          <w:b/>
          <w:bCs/>
          <w:noProof w:val="0"/>
          <w:sz w:val="56"/>
          <w:szCs w:val="56"/>
          <w:rtl/>
        </w:rPr>
        <w:br/>
      </w:r>
    </w:p>
    <w:p w:rsidR="00646DBD" w:rsidRPr="00DF3A66" w:rsidRDefault="00646DBD" w:rsidP="00DF3A66">
      <w:pPr>
        <w:jc w:val="center"/>
        <w:rPr>
          <w:b/>
          <w:bCs/>
          <w:noProof w:val="0"/>
          <w:sz w:val="44"/>
          <w:szCs w:val="44"/>
          <w:rtl/>
        </w:rPr>
      </w:pPr>
      <w:r w:rsidRPr="00DF3A66">
        <w:rPr>
          <w:b/>
          <w:bCs/>
          <w:noProof w:val="0"/>
          <w:sz w:val="44"/>
          <w:szCs w:val="44"/>
          <w:rtl/>
        </w:rPr>
        <w:t>לא חל על דגמי 2012</w:t>
      </w:r>
      <w:r>
        <w:rPr>
          <w:b/>
          <w:bCs/>
          <w:noProof w:val="0"/>
          <w:sz w:val="44"/>
          <w:szCs w:val="44"/>
          <w:rtl/>
        </w:rPr>
        <w:br/>
      </w:r>
      <w:r>
        <w:rPr>
          <w:b/>
          <w:bCs/>
          <w:noProof w:val="0"/>
          <w:sz w:val="44"/>
          <w:szCs w:val="44"/>
          <w:rtl/>
        </w:rPr>
        <w:br/>
      </w:r>
    </w:p>
    <w:p w:rsidR="00646DBD" w:rsidRDefault="00646DBD" w:rsidP="00AD14A2">
      <w:pPr>
        <w:ind w:left="708"/>
        <w:jc w:val="both"/>
        <w:rPr>
          <w:noProof w:val="0"/>
          <w:sz w:val="24"/>
          <w:szCs w:val="24"/>
          <w:rtl/>
        </w:rPr>
      </w:pPr>
      <w:r w:rsidRPr="000F708C">
        <w:rPr>
          <w:noProof w:val="0"/>
          <w:sz w:val="24"/>
          <w:szCs w:val="24"/>
          <w:rtl/>
        </w:rPr>
        <w:t>גודל האותיות של הסייג למידע ("לא חל על דגמי 2012") נגזר מגודל האותיות הגדולות ביותר שבמידע ("מבצע מטורף!!!") ולא מגודל האותיות של תוכן המידע ("משקפי ראיה ב – 70% הנחה). יחד עם זאת, אם 30% מגודל האותיות הגדולות ביותר, יהיה גדול יותר מגודל האותיות של תוכן המידע – גודל האותיות של הסייג צריך להיות כגודל תוכן המידע ולא יותר ממנו.</w:t>
      </w:r>
      <w:r>
        <w:rPr>
          <w:noProof w:val="0"/>
          <w:sz w:val="24"/>
          <w:szCs w:val="24"/>
          <w:rtl/>
        </w:rPr>
        <w:br/>
      </w:r>
      <w:r>
        <w:rPr>
          <w:noProof w:val="0"/>
          <w:sz w:val="24"/>
          <w:szCs w:val="24"/>
          <w:rtl/>
        </w:rPr>
        <w:br/>
      </w:r>
      <w:r w:rsidRPr="000F708C">
        <w:rPr>
          <w:noProof w:val="0"/>
          <w:sz w:val="24"/>
          <w:szCs w:val="24"/>
          <w:rtl/>
        </w:rPr>
        <w:t>במקרה בו הפרסום עצמו כתוב באותיות קטנות וה- 30% מגודל האותיות הגדולות ביותר במודעה הינו קטן מ – 2 מ"מ, קובעות התקנות כי בכל מקרה וככל שהמידע לצרכן אינו מופיע במדיה דיגיטלית, הגודל לא יקטן משני מ"מ. הוראה זו לא תחול על מדיה דיגיטלית מאחר ויש קושי לאכוף אותה לגבי מדיה דיגיטלית.</w:t>
      </w:r>
    </w:p>
    <w:p w:rsidR="00646DBD" w:rsidRPr="000F708C" w:rsidRDefault="00646DBD" w:rsidP="00AD14A2">
      <w:pPr>
        <w:ind w:left="708"/>
        <w:jc w:val="both"/>
        <w:rPr>
          <w:noProof w:val="0"/>
          <w:sz w:val="24"/>
          <w:szCs w:val="24"/>
          <w:rtl/>
        </w:rPr>
      </w:pPr>
    </w:p>
    <w:p w:rsidR="00646DBD" w:rsidRDefault="00646DBD" w:rsidP="00AD14A2">
      <w:pPr>
        <w:ind w:left="708" w:hanging="708"/>
        <w:jc w:val="both"/>
        <w:rPr>
          <w:noProof w:val="0"/>
          <w:sz w:val="24"/>
          <w:szCs w:val="24"/>
          <w:rtl/>
        </w:rPr>
      </w:pPr>
      <w:r w:rsidRPr="000F708C">
        <w:rPr>
          <w:noProof w:val="0"/>
          <w:sz w:val="24"/>
          <w:szCs w:val="24"/>
          <w:rtl/>
        </w:rPr>
        <w:t>4.</w:t>
      </w:r>
      <w:r w:rsidRPr="000F708C">
        <w:rPr>
          <w:noProof w:val="0"/>
          <w:sz w:val="24"/>
          <w:szCs w:val="24"/>
          <w:rtl/>
        </w:rPr>
        <w:tab/>
        <w:t>ההוראות בעניין אופן כתיבת האותיות כפי שהיה בתקנות המקוריות משנת 1995 כאמור לעיל, יחולו גם על אופן כתיבת הסייגים במידע. כמו כן הוסף בתיקון זה כי הכיתוב עצמו לא יהיה בניצב לתוכן החוזה או המידע, בהיפוך לו או באלכסון.</w:t>
      </w:r>
    </w:p>
    <w:p w:rsidR="00646DBD" w:rsidRPr="000F708C" w:rsidRDefault="00646DBD" w:rsidP="00AD14A2">
      <w:pPr>
        <w:ind w:left="708" w:hanging="708"/>
        <w:jc w:val="both"/>
        <w:rPr>
          <w:noProof w:val="0"/>
          <w:sz w:val="24"/>
          <w:szCs w:val="24"/>
          <w:rtl/>
        </w:rPr>
      </w:pPr>
    </w:p>
    <w:p w:rsidR="00646DBD" w:rsidRPr="000F708C" w:rsidRDefault="00646DBD" w:rsidP="00AD14A2">
      <w:pPr>
        <w:jc w:val="both"/>
        <w:rPr>
          <w:noProof w:val="0"/>
          <w:sz w:val="24"/>
          <w:szCs w:val="24"/>
          <w:rtl/>
        </w:rPr>
      </w:pPr>
      <w:r w:rsidRPr="000F708C">
        <w:rPr>
          <w:noProof w:val="0"/>
          <w:sz w:val="24"/>
          <w:szCs w:val="24"/>
          <w:rtl/>
        </w:rPr>
        <w:t>5.</w:t>
      </w:r>
      <w:r w:rsidRPr="000F708C">
        <w:rPr>
          <w:noProof w:val="0"/>
          <w:sz w:val="24"/>
          <w:szCs w:val="24"/>
          <w:rtl/>
        </w:rPr>
        <w:tab/>
        <w:t>אכיפת התקנות תחל מיד עם כניסת התקנות לתוקף ביום 1/1/2012.</w:t>
      </w:r>
    </w:p>
    <w:p w:rsidR="00646DBD" w:rsidRPr="000F708C" w:rsidRDefault="00646DBD" w:rsidP="00AD14A2">
      <w:pPr>
        <w:jc w:val="both"/>
        <w:rPr>
          <w:noProof w:val="0"/>
          <w:sz w:val="24"/>
          <w:szCs w:val="24"/>
          <w:rtl/>
        </w:rPr>
      </w:pPr>
    </w:p>
    <w:p w:rsidR="00646DBD" w:rsidRPr="000F708C" w:rsidRDefault="00646DBD" w:rsidP="000F708C">
      <w:pPr>
        <w:rPr>
          <w:noProof w:val="0"/>
          <w:sz w:val="24"/>
          <w:szCs w:val="24"/>
          <w:rtl/>
        </w:rPr>
      </w:pPr>
    </w:p>
    <w:p w:rsidR="00646DBD" w:rsidRDefault="00646DBD" w:rsidP="000F708C">
      <w:pPr>
        <w:rPr>
          <w:b/>
          <w:bCs/>
          <w:noProof w:val="0"/>
          <w:sz w:val="24"/>
          <w:szCs w:val="24"/>
          <w:rtl/>
        </w:rPr>
      </w:pPr>
    </w:p>
    <w:p w:rsidR="00646DBD" w:rsidRDefault="00646DBD" w:rsidP="000F708C">
      <w:pPr>
        <w:rPr>
          <w:b/>
          <w:bCs/>
          <w:noProof w:val="0"/>
          <w:sz w:val="24"/>
          <w:szCs w:val="24"/>
          <w:rtl/>
        </w:rPr>
      </w:pPr>
    </w:p>
    <w:p w:rsidR="00646DBD" w:rsidRDefault="00646DBD" w:rsidP="00A25726">
      <w:pPr>
        <w:rPr>
          <w:b/>
          <w:bCs/>
          <w:noProof w:val="0"/>
          <w:sz w:val="24"/>
          <w:szCs w:val="24"/>
          <w:rtl/>
        </w:rPr>
      </w:pP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t xml:space="preserve">בכבוד </w:t>
      </w:r>
      <w:proofErr w:type="spellStart"/>
      <w:r>
        <w:rPr>
          <w:b/>
          <w:bCs/>
          <w:noProof w:val="0"/>
          <w:sz w:val="24"/>
          <w:szCs w:val="24"/>
          <w:rtl/>
        </w:rPr>
        <w:t>רכ</w:t>
      </w:r>
      <w:proofErr w:type="spellEnd"/>
      <w:r>
        <w:rPr>
          <w:b/>
          <w:bCs/>
          <w:noProof w:val="0"/>
          <w:sz w:val="24"/>
          <w:szCs w:val="24"/>
          <w:rtl/>
        </w:rPr>
        <w:t xml:space="preserve">, </w:t>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sidR="00355BF8">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1pt">
            <v:imagedata r:id="rId8" o:title=""/>
          </v:shape>
        </w:pict>
      </w:r>
    </w:p>
    <w:p w:rsidR="00646DBD" w:rsidRDefault="00646DBD" w:rsidP="001872B2">
      <w:pPr>
        <w:ind w:left="5760"/>
        <w:rPr>
          <w:b/>
          <w:bCs/>
          <w:noProof w:val="0"/>
          <w:sz w:val="24"/>
          <w:szCs w:val="24"/>
          <w:rtl/>
        </w:rPr>
      </w:pPr>
      <w:r w:rsidRPr="001872B2">
        <w:rPr>
          <w:b/>
          <w:bCs/>
          <w:noProof w:val="0"/>
          <w:sz w:val="24"/>
          <w:szCs w:val="24"/>
          <w:rtl/>
        </w:rPr>
        <w:t xml:space="preserve">תמר </w:t>
      </w:r>
      <w:proofErr w:type="spellStart"/>
      <w:r w:rsidRPr="001872B2">
        <w:rPr>
          <w:b/>
          <w:bCs/>
          <w:noProof w:val="0"/>
          <w:sz w:val="24"/>
          <w:szCs w:val="24"/>
          <w:rtl/>
        </w:rPr>
        <w:t>פינקוס</w:t>
      </w:r>
      <w:proofErr w:type="spellEnd"/>
      <w:r w:rsidRPr="001872B2">
        <w:rPr>
          <w:b/>
          <w:bCs/>
          <w:noProof w:val="0"/>
          <w:sz w:val="24"/>
          <w:szCs w:val="24"/>
          <w:rtl/>
        </w:rPr>
        <w:t>, עו"ד</w:t>
      </w:r>
    </w:p>
    <w:p w:rsidR="00646DBD" w:rsidRDefault="00646DBD" w:rsidP="001872B2">
      <w:pPr>
        <w:ind w:left="5760"/>
        <w:rPr>
          <w:b/>
          <w:bCs/>
          <w:noProof w:val="0"/>
          <w:sz w:val="24"/>
          <w:szCs w:val="24"/>
          <w:rtl/>
        </w:rPr>
      </w:pPr>
      <w:r>
        <w:rPr>
          <w:b/>
          <w:bCs/>
          <w:noProof w:val="0"/>
          <w:sz w:val="24"/>
          <w:szCs w:val="24"/>
          <w:rtl/>
        </w:rPr>
        <w:t xml:space="preserve">הממונה על הרשות להגנת הצרכן </w:t>
      </w:r>
    </w:p>
    <w:p w:rsidR="00646DBD" w:rsidRDefault="00646DBD" w:rsidP="001872B2">
      <w:pPr>
        <w:ind w:left="5760"/>
        <w:rPr>
          <w:b/>
          <w:bCs/>
          <w:noProof w:val="0"/>
          <w:sz w:val="24"/>
          <w:szCs w:val="24"/>
          <w:rtl/>
        </w:rPr>
      </w:pPr>
      <w:r>
        <w:rPr>
          <w:b/>
          <w:bCs/>
          <w:noProof w:val="0"/>
          <w:sz w:val="24"/>
          <w:szCs w:val="24"/>
          <w:rtl/>
        </w:rPr>
        <w:tab/>
        <w:t>ולסחר ההוגן</w:t>
      </w:r>
    </w:p>
    <w:p w:rsidR="00646DBD" w:rsidRDefault="00646DBD" w:rsidP="000F708C">
      <w:pPr>
        <w:rPr>
          <w:b/>
          <w:bCs/>
          <w:noProof w:val="0"/>
          <w:sz w:val="24"/>
          <w:szCs w:val="24"/>
          <w:rtl/>
        </w:rPr>
      </w:pP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r>
        <w:rPr>
          <w:b/>
          <w:bCs/>
          <w:noProof w:val="0"/>
          <w:sz w:val="24"/>
          <w:szCs w:val="24"/>
          <w:rtl/>
        </w:rPr>
        <w:tab/>
      </w:r>
    </w:p>
    <w:p w:rsidR="00646DBD" w:rsidRDefault="00646DBD" w:rsidP="000F708C">
      <w:pPr>
        <w:rPr>
          <w:b/>
          <w:bCs/>
          <w:noProof w:val="0"/>
          <w:sz w:val="24"/>
          <w:szCs w:val="24"/>
          <w:rtl/>
        </w:rPr>
      </w:pPr>
    </w:p>
    <w:sectPr w:rsidR="00646DBD" w:rsidSect="009B2FCE">
      <w:headerReference w:type="default" r:id="rId9"/>
      <w:footerReference w:type="default" r:id="rId10"/>
      <w:endnotePr>
        <w:numFmt w:val="lowerLetter"/>
      </w:endnotePr>
      <w:pgSz w:w="11906" w:h="16838"/>
      <w:pgMar w:top="1440" w:right="991" w:bottom="1440" w:left="1843" w:header="720" w:footer="3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AE" w:rsidRDefault="006E51AE">
      <w:r>
        <w:separator/>
      </w:r>
    </w:p>
  </w:endnote>
  <w:endnote w:type="continuationSeparator" w:id="0">
    <w:p w:rsidR="006E51AE" w:rsidRDefault="006E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BD" w:rsidRPr="009B2FCE" w:rsidRDefault="006E51AE" w:rsidP="00B71FF3">
    <w:pPr>
      <w:pStyle w:val="a5"/>
      <w:rPr>
        <w:rFonts w:cs="Times New Roman"/>
        <w:b/>
        <w:bCs/>
        <w:noProof w:val="0"/>
        <w:sz w:val="22"/>
        <w:szCs w:val="22"/>
        <w:rtl/>
      </w:rPr>
    </w:pPr>
    <w:r>
      <w:rPr>
        <w:rtl/>
        <w:lang w:eastAsia="en-US"/>
      </w:rPr>
      <w:pict>
        <v:line id="_x0000_s2051" style="position:absolute;left:0;text-align:left;z-index:2" from="-31.95pt,-5.2pt" to="499.05pt,-5.2pt">
          <w10:wrap anchorx="page"/>
        </v:line>
      </w:pict>
    </w:r>
    <w:proofErr w:type="spellStart"/>
    <w:r w:rsidR="00646DBD" w:rsidRPr="009B2FCE">
      <w:rPr>
        <w:rFonts w:cs="Times New Roman"/>
        <w:b/>
        <w:bCs/>
        <w:noProof w:val="0"/>
        <w:sz w:val="22"/>
        <w:szCs w:val="22"/>
        <w:rtl/>
      </w:rPr>
      <w:t>קרית</w:t>
    </w:r>
    <w:proofErr w:type="spellEnd"/>
    <w:r w:rsidR="00646DBD" w:rsidRPr="009B2FCE">
      <w:rPr>
        <w:rFonts w:cs="Times New Roman"/>
        <w:b/>
        <w:bCs/>
        <w:noProof w:val="0"/>
        <w:sz w:val="22"/>
        <w:szCs w:val="22"/>
        <w:rtl/>
      </w:rPr>
      <w:t xml:space="preserve"> הממשלה בניין </w:t>
    </w:r>
    <w:proofErr w:type="spellStart"/>
    <w:r w:rsidR="00646DBD" w:rsidRPr="009B2FCE">
      <w:rPr>
        <w:rFonts w:cs="Times New Roman"/>
        <w:b/>
        <w:bCs/>
        <w:noProof w:val="0"/>
        <w:sz w:val="22"/>
        <w:szCs w:val="22"/>
        <w:rtl/>
      </w:rPr>
      <w:t>ג'נרי</w:t>
    </w:r>
    <w:proofErr w:type="spellEnd"/>
    <w:r w:rsidR="00646DBD" w:rsidRPr="009B2FCE">
      <w:rPr>
        <w:rFonts w:cs="Times New Roman"/>
        <w:b/>
        <w:bCs/>
        <w:noProof w:val="0"/>
        <w:sz w:val="22"/>
        <w:szCs w:val="22"/>
        <w:rtl/>
      </w:rPr>
      <w:t xml:space="preserve"> 1 רח' בנק ישראל 5 ירושלים        </w:t>
    </w:r>
    <w:r w:rsidR="00646DBD" w:rsidRPr="009B2FCE">
      <w:rPr>
        <w:rFonts w:cs="Times New Roman"/>
        <w:b/>
        <w:bCs/>
        <w:sz w:val="22"/>
        <w:szCs w:val="22"/>
      </w:rPr>
      <w:t xml:space="preserve"> http://www.moital. gov.il</w:t>
    </w:r>
  </w:p>
  <w:p w:rsidR="00646DBD" w:rsidRPr="009B2FCE" w:rsidRDefault="00646DBD" w:rsidP="00427863">
    <w:pPr>
      <w:pStyle w:val="a5"/>
      <w:rPr>
        <w:rFonts w:cs="Times New Roman"/>
        <w:noProof w:val="0"/>
        <w:sz w:val="22"/>
        <w:szCs w:val="22"/>
        <w:rtl/>
      </w:rPr>
    </w:pPr>
    <w:r w:rsidRPr="009B2FCE">
      <w:rPr>
        <w:rFonts w:cs="Times New Roman"/>
        <w:b/>
        <w:bCs/>
        <w:noProof w:val="0"/>
        <w:sz w:val="22"/>
        <w:szCs w:val="22"/>
        <w:rtl/>
      </w:rPr>
      <w:t xml:space="preserve">טלפקס : 02-6662590                </w:t>
    </w:r>
    <w:r w:rsidRPr="009B2FCE">
      <w:rPr>
        <w:rFonts w:cs="Times New Roman"/>
        <w:b/>
        <w:bCs/>
        <w:noProof w:val="0"/>
        <w:sz w:val="22"/>
        <w:szCs w:val="22"/>
        <w:rtl/>
      </w:rPr>
      <w:tab/>
    </w:r>
  </w:p>
  <w:p w:rsidR="00646DBD" w:rsidRPr="00EF1C4D" w:rsidRDefault="00646DBD" w:rsidP="00EF1C4D">
    <w:pPr>
      <w:pStyle w:val="a5"/>
      <w:rPr>
        <w:b/>
        <w:bCs/>
        <w:noProof w:val="0"/>
        <w:sz w:val="24"/>
        <w:szCs w:val="24"/>
        <w:rtl/>
      </w:rPr>
    </w:pPr>
    <w:r w:rsidRPr="009B2FCE">
      <w:rPr>
        <w:b/>
        <w:bCs/>
        <w:noProof w:val="0"/>
        <w:sz w:val="22"/>
        <w:szCs w:val="22"/>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AE" w:rsidRDefault="006E51AE">
      <w:r>
        <w:separator/>
      </w:r>
    </w:p>
  </w:footnote>
  <w:footnote w:type="continuationSeparator" w:id="0">
    <w:p w:rsidR="006E51AE" w:rsidRDefault="006E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BD" w:rsidRDefault="006E51AE">
    <w:pPr>
      <w:pStyle w:val="a3"/>
      <w:jc w:val="center"/>
      <w:rPr>
        <w:rFonts w:cs="Times New Roman"/>
        <w:b/>
        <w:bCs/>
        <w:noProof w:val="0"/>
        <w:szCs w:val="32"/>
        <w:rtl/>
      </w:rPr>
    </w:pPr>
    <w:r>
      <w:rPr>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5pt;margin-top:18pt;width:73pt;height:45pt;z-index:3">
          <v:imagedata r:id="rId1" o:title=""/>
        </v:shape>
      </w:pict>
    </w:r>
    <w:r>
      <w:rPr>
        <w:rtl/>
        <w:lang w:eastAsia="en-US"/>
      </w:rPr>
      <w:pict>
        <v:shape id="_x0000_s2050" type="#_x0000_t75" style="position:absolute;left:0;text-align:left;margin-left:211.05pt;margin-top:-8.8pt;width:36.5pt;height:43.2pt;z-index:1">
          <v:imagedata r:id="rId2" o:title=""/>
          <w10:wrap type="topAndBottom"/>
        </v:shape>
      </w:pict>
    </w:r>
  </w:p>
  <w:p w:rsidR="00646DBD" w:rsidRDefault="00646DBD">
    <w:pPr>
      <w:pStyle w:val="a3"/>
      <w:jc w:val="center"/>
      <w:rPr>
        <w:rFonts w:cs="Times New Roman"/>
        <w:b/>
        <w:bCs/>
        <w:noProof w:val="0"/>
        <w:szCs w:val="32"/>
        <w:rtl/>
      </w:rPr>
    </w:pPr>
  </w:p>
  <w:p w:rsidR="00646DBD" w:rsidRPr="00263D71" w:rsidRDefault="00646DBD" w:rsidP="009B2FCE">
    <w:pPr>
      <w:pStyle w:val="a3"/>
      <w:jc w:val="center"/>
      <w:rPr>
        <w:rFonts w:cs="Times New Roman"/>
        <w:b/>
        <w:bCs/>
        <w:noProof w:val="0"/>
        <w:sz w:val="32"/>
        <w:szCs w:val="32"/>
        <w:rtl/>
      </w:rPr>
    </w:pPr>
    <w:r w:rsidRPr="00263D71">
      <w:rPr>
        <w:rFonts w:cs="Times New Roman"/>
        <w:b/>
        <w:bCs/>
        <w:noProof w:val="0"/>
        <w:sz w:val="32"/>
        <w:szCs w:val="32"/>
        <w:rtl/>
      </w:rPr>
      <w:t>מדינת ישראל</w:t>
    </w:r>
  </w:p>
  <w:p w:rsidR="00646DBD" w:rsidRPr="00263D71" w:rsidRDefault="00646DBD" w:rsidP="009B2FCE">
    <w:pPr>
      <w:pStyle w:val="a3"/>
      <w:jc w:val="center"/>
      <w:rPr>
        <w:rFonts w:cs="Times New Roman"/>
        <w:b/>
        <w:bCs/>
        <w:noProof w:val="0"/>
        <w:sz w:val="32"/>
        <w:szCs w:val="32"/>
        <w:rtl/>
      </w:rPr>
    </w:pPr>
    <w:r w:rsidRPr="00263D71">
      <w:rPr>
        <w:rFonts w:cs="Times New Roman"/>
        <w:b/>
        <w:bCs/>
        <w:noProof w:val="0"/>
        <w:sz w:val="32"/>
        <w:szCs w:val="32"/>
        <w:rtl/>
      </w:rPr>
      <w:t>הרשות להגנת הצרכן והסחר ההוגן</w:t>
    </w:r>
  </w:p>
  <w:p w:rsidR="00646DBD" w:rsidRPr="009B2FCE" w:rsidRDefault="00646DBD" w:rsidP="009B2FCE">
    <w:pPr>
      <w:pStyle w:val="a3"/>
      <w:jc w:val="center"/>
      <w:rPr>
        <w:rFonts w:cs="Times New Roman"/>
        <w:b/>
        <w:bCs/>
        <w:noProof w:val="0"/>
        <w:sz w:val="32"/>
        <w:szCs w:val="32"/>
        <w:rtl/>
      </w:rPr>
    </w:pPr>
    <w:r w:rsidRPr="00263D71">
      <w:rPr>
        <w:rFonts w:cs="Times New Roman"/>
        <w:b/>
        <w:bCs/>
        <w:noProof w:val="0"/>
        <w:sz w:val="32"/>
        <w:szCs w:val="32"/>
        <w:rtl/>
      </w:rPr>
      <w:t>לשכת הממונה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25B2"/>
    <w:multiLevelType w:val="hybridMultilevel"/>
    <w:tmpl w:val="2BAA6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C63BB0"/>
    <w:multiLevelType w:val="hybridMultilevel"/>
    <w:tmpl w:val="38FEE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74473C"/>
    <w:multiLevelType w:val="hybridMultilevel"/>
    <w:tmpl w:val="1BEA44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61240E"/>
    <w:multiLevelType w:val="hybridMultilevel"/>
    <w:tmpl w:val="70B44322"/>
    <w:lvl w:ilvl="0" w:tplc="C1AA462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CAE022D"/>
    <w:multiLevelType w:val="hybridMultilevel"/>
    <w:tmpl w:val="F538E6AC"/>
    <w:lvl w:ilvl="0" w:tplc="E0C68C54">
      <w:start w:val="1"/>
      <w:numFmt w:val="bullet"/>
      <w:lvlText w:val=""/>
      <w:lvlJc w:val="left"/>
      <w:pPr>
        <w:tabs>
          <w:tab w:val="num" w:pos="525"/>
        </w:tabs>
        <w:ind w:left="525" w:hanging="480"/>
      </w:pPr>
      <w:rPr>
        <w:rFonts w:ascii="Symbol" w:eastAsia="Times New Roman" w:hAnsi="Symbol" w:hint="default"/>
      </w:rPr>
    </w:lvl>
    <w:lvl w:ilvl="1" w:tplc="040D0003" w:tentative="1">
      <w:start w:val="1"/>
      <w:numFmt w:val="bullet"/>
      <w:lvlText w:val="o"/>
      <w:lvlJc w:val="left"/>
      <w:pPr>
        <w:tabs>
          <w:tab w:val="num" w:pos="1125"/>
        </w:tabs>
        <w:ind w:left="1125" w:hanging="360"/>
      </w:pPr>
      <w:rPr>
        <w:rFonts w:ascii="Courier New" w:hAnsi="Courier New" w:hint="default"/>
      </w:rPr>
    </w:lvl>
    <w:lvl w:ilvl="2" w:tplc="040D0005" w:tentative="1">
      <w:start w:val="1"/>
      <w:numFmt w:val="bullet"/>
      <w:lvlText w:val=""/>
      <w:lvlJc w:val="left"/>
      <w:pPr>
        <w:tabs>
          <w:tab w:val="num" w:pos="1845"/>
        </w:tabs>
        <w:ind w:left="1845" w:hanging="360"/>
      </w:pPr>
      <w:rPr>
        <w:rFonts w:ascii="Wingdings" w:hAnsi="Wingdings" w:hint="default"/>
      </w:rPr>
    </w:lvl>
    <w:lvl w:ilvl="3" w:tplc="040D0001" w:tentative="1">
      <w:start w:val="1"/>
      <w:numFmt w:val="bullet"/>
      <w:lvlText w:val=""/>
      <w:lvlJc w:val="left"/>
      <w:pPr>
        <w:tabs>
          <w:tab w:val="num" w:pos="2565"/>
        </w:tabs>
        <w:ind w:left="2565" w:hanging="360"/>
      </w:pPr>
      <w:rPr>
        <w:rFonts w:ascii="Symbol" w:hAnsi="Symbol" w:hint="default"/>
      </w:rPr>
    </w:lvl>
    <w:lvl w:ilvl="4" w:tplc="040D0003" w:tentative="1">
      <w:start w:val="1"/>
      <w:numFmt w:val="bullet"/>
      <w:lvlText w:val="o"/>
      <w:lvlJc w:val="left"/>
      <w:pPr>
        <w:tabs>
          <w:tab w:val="num" w:pos="3285"/>
        </w:tabs>
        <w:ind w:left="3285" w:hanging="360"/>
      </w:pPr>
      <w:rPr>
        <w:rFonts w:ascii="Courier New" w:hAnsi="Courier New" w:hint="default"/>
      </w:rPr>
    </w:lvl>
    <w:lvl w:ilvl="5" w:tplc="040D0005" w:tentative="1">
      <w:start w:val="1"/>
      <w:numFmt w:val="bullet"/>
      <w:lvlText w:val=""/>
      <w:lvlJc w:val="left"/>
      <w:pPr>
        <w:tabs>
          <w:tab w:val="num" w:pos="4005"/>
        </w:tabs>
        <w:ind w:left="4005" w:hanging="360"/>
      </w:pPr>
      <w:rPr>
        <w:rFonts w:ascii="Wingdings" w:hAnsi="Wingdings" w:hint="default"/>
      </w:rPr>
    </w:lvl>
    <w:lvl w:ilvl="6" w:tplc="040D0001" w:tentative="1">
      <w:start w:val="1"/>
      <w:numFmt w:val="bullet"/>
      <w:lvlText w:val=""/>
      <w:lvlJc w:val="left"/>
      <w:pPr>
        <w:tabs>
          <w:tab w:val="num" w:pos="4725"/>
        </w:tabs>
        <w:ind w:left="4725" w:hanging="360"/>
      </w:pPr>
      <w:rPr>
        <w:rFonts w:ascii="Symbol" w:hAnsi="Symbol" w:hint="default"/>
      </w:rPr>
    </w:lvl>
    <w:lvl w:ilvl="7" w:tplc="040D0003" w:tentative="1">
      <w:start w:val="1"/>
      <w:numFmt w:val="bullet"/>
      <w:lvlText w:val="o"/>
      <w:lvlJc w:val="left"/>
      <w:pPr>
        <w:tabs>
          <w:tab w:val="num" w:pos="5445"/>
        </w:tabs>
        <w:ind w:left="5445" w:hanging="360"/>
      </w:pPr>
      <w:rPr>
        <w:rFonts w:ascii="Courier New" w:hAnsi="Courier New" w:hint="default"/>
      </w:rPr>
    </w:lvl>
    <w:lvl w:ilvl="8" w:tplc="040D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C48"/>
    <w:rsid w:val="000241CE"/>
    <w:rsid w:val="000F708C"/>
    <w:rsid w:val="0010324F"/>
    <w:rsid w:val="001872B2"/>
    <w:rsid w:val="001C70E1"/>
    <w:rsid w:val="00263D71"/>
    <w:rsid w:val="00267533"/>
    <w:rsid w:val="002D442A"/>
    <w:rsid w:val="002F3961"/>
    <w:rsid w:val="003356D2"/>
    <w:rsid w:val="00355BF8"/>
    <w:rsid w:val="00427863"/>
    <w:rsid w:val="004F1FF2"/>
    <w:rsid w:val="004F3F51"/>
    <w:rsid w:val="00522A78"/>
    <w:rsid w:val="005426F2"/>
    <w:rsid w:val="00646DBD"/>
    <w:rsid w:val="006B58B7"/>
    <w:rsid w:val="006E51AE"/>
    <w:rsid w:val="00747D36"/>
    <w:rsid w:val="0078278C"/>
    <w:rsid w:val="007F79D3"/>
    <w:rsid w:val="00811D8C"/>
    <w:rsid w:val="009048DF"/>
    <w:rsid w:val="00974F9D"/>
    <w:rsid w:val="009B2FCE"/>
    <w:rsid w:val="009C5826"/>
    <w:rsid w:val="00A25726"/>
    <w:rsid w:val="00A90D4B"/>
    <w:rsid w:val="00AD14A2"/>
    <w:rsid w:val="00AD4587"/>
    <w:rsid w:val="00B05E0D"/>
    <w:rsid w:val="00B71FF3"/>
    <w:rsid w:val="00BA4A21"/>
    <w:rsid w:val="00BD78E8"/>
    <w:rsid w:val="00C0773A"/>
    <w:rsid w:val="00C71A59"/>
    <w:rsid w:val="00C7495C"/>
    <w:rsid w:val="00CB3B89"/>
    <w:rsid w:val="00CB5139"/>
    <w:rsid w:val="00D27F7C"/>
    <w:rsid w:val="00DE1671"/>
    <w:rsid w:val="00DF3A66"/>
    <w:rsid w:val="00E34A35"/>
    <w:rsid w:val="00ED723A"/>
    <w:rsid w:val="00EF1C4D"/>
    <w:rsid w:val="00EF4B86"/>
    <w:rsid w:val="00F36B09"/>
    <w:rsid w:val="00F843CF"/>
    <w:rsid w:val="00F93C48"/>
    <w:rsid w:val="00FA7489"/>
    <w:rsid w:val="00FC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36"/>
    <w:pPr>
      <w:bidi/>
    </w:pPr>
    <w:rPr>
      <w:rFonts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7D36"/>
    <w:pPr>
      <w:tabs>
        <w:tab w:val="center" w:pos="4153"/>
        <w:tab w:val="right" w:pos="8306"/>
      </w:tabs>
    </w:pPr>
  </w:style>
  <w:style w:type="character" w:customStyle="1" w:styleId="a4">
    <w:name w:val="כותרת עליונה תו"/>
    <w:link w:val="a3"/>
    <w:uiPriority w:val="99"/>
    <w:semiHidden/>
    <w:rsid w:val="00995235"/>
    <w:rPr>
      <w:rFonts w:cs="David"/>
      <w:noProof/>
      <w:sz w:val="20"/>
      <w:szCs w:val="20"/>
      <w:lang w:eastAsia="he-IL"/>
    </w:rPr>
  </w:style>
  <w:style w:type="paragraph" w:styleId="a5">
    <w:name w:val="footer"/>
    <w:basedOn w:val="a"/>
    <w:link w:val="a6"/>
    <w:uiPriority w:val="99"/>
    <w:rsid w:val="00747D36"/>
    <w:pPr>
      <w:tabs>
        <w:tab w:val="center" w:pos="4153"/>
        <w:tab w:val="right" w:pos="8306"/>
      </w:tabs>
    </w:pPr>
  </w:style>
  <w:style w:type="character" w:customStyle="1" w:styleId="a6">
    <w:name w:val="כותרת תחתונה תו"/>
    <w:link w:val="a5"/>
    <w:uiPriority w:val="99"/>
    <w:semiHidden/>
    <w:rsid w:val="00995235"/>
    <w:rPr>
      <w:rFonts w:cs="David"/>
      <w:noProof/>
      <w:sz w:val="20"/>
      <w:szCs w:val="20"/>
      <w:lang w:eastAsia="he-IL"/>
    </w:rPr>
  </w:style>
  <w:style w:type="character" w:styleId="Hyperlink">
    <w:name w:val="Hyperlink"/>
    <w:uiPriority w:val="99"/>
    <w:rsid w:val="00747D36"/>
    <w:rPr>
      <w:rFonts w:cs="Times New Roman"/>
      <w:color w:val="0000FF"/>
      <w:u w:val="single"/>
    </w:rPr>
  </w:style>
  <w:style w:type="paragraph" w:styleId="a7">
    <w:name w:val="Balloon Text"/>
    <w:basedOn w:val="a"/>
    <w:link w:val="a8"/>
    <w:uiPriority w:val="99"/>
    <w:rsid w:val="0010324F"/>
    <w:rPr>
      <w:rFonts w:ascii="Tahoma" w:hAnsi="Tahoma" w:cs="Tahoma"/>
      <w:sz w:val="16"/>
      <w:szCs w:val="16"/>
    </w:rPr>
  </w:style>
  <w:style w:type="character" w:customStyle="1" w:styleId="a8">
    <w:name w:val="טקסט בלונים תו"/>
    <w:link w:val="a7"/>
    <w:uiPriority w:val="99"/>
    <w:locked/>
    <w:rsid w:val="0010324F"/>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מספרנו : </vt:lpstr>
    </vt:vector>
  </TitlesOfParts>
  <Company>team</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מספרנו :</dc:title>
  <dc:creator>moital</dc:creator>
  <cp:lastModifiedBy>anael&amp;shlomi</cp:lastModifiedBy>
  <cp:revision>2</cp:revision>
  <cp:lastPrinted>2011-12-26T08:06:00Z</cp:lastPrinted>
  <dcterms:created xsi:type="dcterms:W3CDTF">2015-06-02T15:02:00Z</dcterms:created>
  <dcterms:modified xsi:type="dcterms:W3CDTF">2015-06-02T15:02:00Z</dcterms:modified>
</cp:coreProperties>
</file>