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921A9" w14:textId="261C737C" w:rsidR="00CA1F25" w:rsidRPr="00CE57BD" w:rsidRDefault="008B38A5" w:rsidP="008B38A5">
      <w:pPr>
        <w:jc w:val="center"/>
        <w:rPr>
          <w:rFonts w:cstheme="minorHAnsi"/>
          <w:b/>
          <w:bCs/>
          <w:sz w:val="28"/>
          <w:szCs w:val="28"/>
          <w:rtl/>
        </w:rPr>
      </w:pPr>
      <w:r w:rsidRPr="00CE57BD">
        <w:rPr>
          <w:rFonts w:cstheme="minorHAnsi"/>
          <w:b/>
          <w:bCs/>
          <w:sz w:val="28"/>
          <w:szCs w:val="28"/>
          <w:rtl/>
        </w:rPr>
        <w:t xml:space="preserve">מידע לקראת </w:t>
      </w:r>
      <w:r w:rsidR="00D3150F" w:rsidRPr="00CE57BD">
        <w:rPr>
          <w:rFonts w:cstheme="minorHAnsi"/>
          <w:b/>
          <w:bCs/>
          <w:sz w:val="28"/>
          <w:szCs w:val="28"/>
          <w:rtl/>
        </w:rPr>
        <w:t xml:space="preserve">יום פגישות </w:t>
      </w:r>
      <w:r w:rsidRPr="00CE57BD">
        <w:rPr>
          <w:rFonts w:cstheme="minorHAnsi"/>
          <w:b/>
          <w:bCs/>
          <w:sz w:val="28"/>
          <w:szCs w:val="28"/>
          <w:rtl/>
        </w:rPr>
        <w:t xml:space="preserve">ליבואנים </w:t>
      </w:r>
      <w:r w:rsidR="00D3150F" w:rsidRPr="00CE57BD">
        <w:rPr>
          <w:rFonts w:cstheme="minorHAnsi"/>
          <w:b/>
          <w:bCs/>
          <w:sz w:val="28"/>
          <w:szCs w:val="28"/>
          <w:rtl/>
        </w:rPr>
        <w:t>עם נספח</w:t>
      </w:r>
      <w:r w:rsidR="00943A36" w:rsidRPr="00CE57BD">
        <w:rPr>
          <w:rFonts w:cstheme="minorHAnsi"/>
          <w:b/>
          <w:bCs/>
          <w:sz w:val="28"/>
          <w:szCs w:val="28"/>
          <w:rtl/>
        </w:rPr>
        <w:t>י</w:t>
      </w:r>
      <w:r w:rsidR="00D3150F" w:rsidRPr="00CE57BD">
        <w:rPr>
          <w:rFonts w:cstheme="minorHAnsi"/>
          <w:b/>
          <w:bCs/>
          <w:sz w:val="28"/>
          <w:szCs w:val="28"/>
          <w:rtl/>
        </w:rPr>
        <w:t xml:space="preserve"> דרום</w:t>
      </w:r>
      <w:r w:rsidR="000D6E60" w:rsidRPr="00CE57BD">
        <w:rPr>
          <w:rFonts w:cstheme="minorHAnsi"/>
          <w:b/>
          <w:bCs/>
          <w:sz w:val="28"/>
          <w:szCs w:val="28"/>
          <w:rtl/>
        </w:rPr>
        <w:t>-</w:t>
      </w:r>
      <w:r w:rsidR="00D3150F" w:rsidRPr="00CE57BD">
        <w:rPr>
          <w:rFonts w:cstheme="minorHAnsi"/>
          <w:b/>
          <w:bCs/>
          <w:sz w:val="28"/>
          <w:szCs w:val="28"/>
          <w:rtl/>
        </w:rPr>
        <w:t xml:space="preserve">מזרח אסיה </w:t>
      </w:r>
    </w:p>
    <w:p w14:paraId="152DD292" w14:textId="2234EA1C" w:rsidR="008B38A5" w:rsidRPr="00CE57BD" w:rsidRDefault="0031184B" w:rsidP="00192F8B">
      <w:pPr>
        <w:jc w:val="both"/>
        <w:rPr>
          <w:rFonts w:cstheme="minorHAnsi"/>
          <w:sz w:val="24"/>
          <w:szCs w:val="24"/>
          <w:rtl/>
        </w:rPr>
      </w:pPr>
      <w:r w:rsidRPr="00CE57BD">
        <w:rPr>
          <w:rFonts w:cstheme="minorHAnsi"/>
          <w:sz w:val="24"/>
          <w:szCs w:val="24"/>
          <w:rtl/>
        </w:rPr>
        <w:t xml:space="preserve">באסיה </w:t>
      </w:r>
      <w:r w:rsidR="00192F8B">
        <w:rPr>
          <w:rFonts w:cstheme="minorHAnsi" w:hint="cs"/>
          <w:sz w:val="24"/>
          <w:szCs w:val="24"/>
          <w:rtl/>
        </w:rPr>
        <w:t>מתגוררים</w:t>
      </w:r>
      <w:r w:rsidRPr="00CE57BD">
        <w:rPr>
          <w:rFonts w:cstheme="minorHAnsi"/>
          <w:sz w:val="24"/>
          <w:szCs w:val="24"/>
          <w:rtl/>
        </w:rPr>
        <w:t xml:space="preserve"> למעלה מ-4.7 מיליארד בני אדם, מה שהופך אותה ליבשת המאוכלסת ביותר על פני כדור הארץ, עם כשני שלישים מאוכלוסיית העולם. אסיה נחשבת גם כאזור הכלכלי הגדול בעולם, המהווה כ-40% מהתפוקה העולמית וצפויה להיות אחראית ל-70% מהצמיחה הכלכלית הגלובלית שלאחר המגפה, על פי דו"ח 2023 של קרן המטבע הבינלאומית.</w:t>
      </w:r>
    </w:p>
    <w:p w14:paraId="48727966" w14:textId="7EABAEA2" w:rsidR="004B7FC3" w:rsidRPr="00CE57BD" w:rsidRDefault="0031184B" w:rsidP="00192F8B">
      <w:pPr>
        <w:jc w:val="both"/>
        <w:rPr>
          <w:rFonts w:cstheme="minorHAnsi"/>
          <w:sz w:val="24"/>
          <w:szCs w:val="24"/>
        </w:rPr>
      </w:pPr>
      <w:r w:rsidRPr="00CE57BD">
        <w:rPr>
          <w:rFonts w:cstheme="minorHAnsi"/>
          <w:sz w:val="24"/>
          <w:szCs w:val="24"/>
          <w:rtl/>
        </w:rPr>
        <w:t xml:space="preserve">בעשורים האחרונים אסיה חוותה פריחה טכנולוגית אדירה, </w:t>
      </w:r>
      <w:r w:rsidR="00820F97" w:rsidRPr="00CE57BD">
        <w:rPr>
          <w:rFonts w:cstheme="minorHAnsi"/>
          <w:sz w:val="24"/>
          <w:szCs w:val="24"/>
          <w:rtl/>
        </w:rPr>
        <w:t xml:space="preserve">תאוצת גלובליזציה ותרבות עסקית ואף במישור הפוליטי - </w:t>
      </w:r>
      <w:r w:rsidRPr="00CE57BD">
        <w:rPr>
          <w:rFonts w:cstheme="minorHAnsi"/>
          <w:sz w:val="24"/>
          <w:szCs w:val="24"/>
          <w:rtl/>
        </w:rPr>
        <w:t xml:space="preserve">כלכלות </w:t>
      </w:r>
      <w:r w:rsidR="00820F97" w:rsidRPr="00CE57BD">
        <w:rPr>
          <w:rFonts w:cstheme="minorHAnsi"/>
          <w:sz w:val="24"/>
          <w:szCs w:val="24"/>
          <w:rtl/>
        </w:rPr>
        <w:t xml:space="preserve">המדינות </w:t>
      </w:r>
      <w:r w:rsidRPr="00CE57BD">
        <w:rPr>
          <w:rFonts w:cstheme="minorHAnsi"/>
          <w:sz w:val="24"/>
          <w:szCs w:val="24"/>
          <w:rtl/>
        </w:rPr>
        <w:t>הפכו יציבות יחסית</w:t>
      </w:r>
      <w:r w:rsidR="00820F97" w:rsidRPr="00CE57BD">
        <w:rPr>
          <w:rFonts w:cstheme="minorHAnsi"/>
          <w:sz w:val="24"/>
          <w:szCs w:val="24"/>
          <w:rtl/>
        </w:rPr>
        <w:t xml:space="preserve">, בניגוד ליציבותן של אירופה, אמריקה הלטינית והמזרח התיכון. </w:t>
      </w:r>
      <w:r w:rsidR="008B38A5" w:rsidRPr="00CE57BD">
        <w:rPr>
          <w:rFonts w:cstheme="minorHAnsi"/>
          <w:sz w:val="24"/>
          <w:szCs w:val="24"/>
          <w:rtl/>
        </w:rPr>
        <w:t>לפי התחזיות</w:t>
      </w:r>
      <w:r w:rsidR="00820F97" w:rsidRPr="00CE57BD">
        <w:rPr>
          <w:rFonts w:cstheme="minorHAnsi"/>
          <w:sz w:val="24"/>
          <w:szCs w:val="24"/>
          <w:rtl/>
        </w:rPr>
        <w:t xml:space="preserve"> לשנת 2024</w:t>
      </w:r>
      <w:r w:rsidR="008B38A5" w:rsidRPr="00CE57BD">
        <w:rPr>
          <w:rFonts w:cstheme="minorHAnsi"/>
          <w:sz w:val="24"/>
          <w:szCs w:val="24"/>
          <w:rtl/>
        </w:rPr>
        <w:t xml:space="preserve">, אסיה צפויה להיות האזור בעל הצמיחה הגבוהה ביותר בעולם, הן ליצוא (5.1%) והן לייבוא </w:t>
      </w:r>
      <w:r w:rsidR="008B38A5" w:rsidRPr="00CE57BD">
        <w:rPr>
          <w:rFonts w:cstheme="minorHAnsi"/>
          <w:sz w:val="24"/>
          <w:szCs w:val="24"/>
        </w:rPr>
        <w:t>(5.8%)</w:t>
      </w:r>
      <w:r w:rsidR="008B38A5" w:rsidRPr="00CE57BD">
        <w:rPr>
          <w:rFonts w:cstheme="minorHAnsi"/>
          <w:sz w:val="24"/>
          <w:szCs w:val="24"/>
          <w:rtl/>
          <w:lang w:val="en-GB"/>
        </w:rPr>
        <w:t>.</w:t>
      </w:r>
    </w:p>
    <w:p w14:paraId="1A9EB393" w14:textId="454F4C7E" w:rsidR="003E145D" w:rsidRPr="00CE57BD" w:rsidRDefault="00820F97" w:rsidP="00192F8B">
      <w:pPr>
        <w:jc w:val="both"/>
        <w:rPr>
          <w:rFonts w:cstheme="minorHAnsi"/>
          <w:sz w:val="24"/>
          <w:szCs w:val="24"/>
          <w:rtl/>
        </w:rPr>
      </w:pPr>
      <w:r w:rsidRPr="00CE57BD">
        <w:rPr>
          <w:rFonts w:cstheme="minorHAnsi"/>
          <w:sz w:val="24"/>
          <w:szCs w:val="24"/>
          <w:rtl/>
        </w:rPr>
        <w:t xml:space="preserve">מנהלים רבים מרחבי העולם מובילים מדיניות של גיוון </w:t>
      </w:r>
      <w:r w:rsidR="00D3150F" w:rsidRPr="00CE57BD">
        <w:rPr>
          <w:rFonts w:cstheme="minorHAnsi"/>
          <w:sz w:val="24"/>
          <w:szCs w:val="24"/>
          <w:rtl/>
        </w:rPr>
        <w:t xml:space="preserve">בסיסי </w:t>
      </w:r>
      <w:r w:rsidR="008B38A5" w:rsidRPr="00CE57BD">
        <w:rPr>
          <w:rFonts w:cstheme="minorHAnsi"/>
          <w:sz w:val="24"/>
          <w:szCs w:val="24"/>
          <w:rtl/>
        </w:rPr>
        <w:t xml:space="preserve">האספקה </w:t>
      </w:r>
      <w:r w:rsidR="00D3150F" w:rsidRPr="00CE57BD">
        <w:rPr>
          <w:rFonts w:cstheme="minorHAnsi"/>
          <w:sz w:val="24"/>
          <w:szCs w:val="24"/>
          <w:rtl/>
        </w:rPr>
        <w:t>של החברות שלהם</w:t>
      </w:r>
      <w:r w:rsidRPr="00CE57BD">
        <w:rPr>
          <w:rFonts w:cstheme="minorHAnsi"/>
          <w:sz w:val="24"/>
          <w:szCs w:val="24"/>
          <w:rtl/>
        </w:rPr>
        <w:t xml:space="preserve"> - </w:t>
      </w:r>
      <w:r w:rsidR="00D3150F" w:rsidRPr="00CE57BD">
        <w:rPr>
          <w:rFonts w:cstheme="minorHAnsi"/>
          <w:sz w:val="24"/>
          <w:szCs w:val="24"/>
          <w:rtl/>
        </w:rPr>
        <w:t>על רקע מתיחות הסחר המתמשכת בין ארה"ב לסי</w:t>
      </w:r>
      <w:r w:rsidR="00917734" w:rsidRPr="00CE57BD">
        <w:rPr>
          <w:rFonts w:cstheme="minorHAnsi"/>
          <w:sz w:val="24"/>
          <w:szCs w:val="24"/>
          <w:rtl/>
        </w:rPr>
        <w:t>ן</w:t>
      </w:r>
      <w:r w:rsidRPr="00CE57BD">
        <w:rPr>
          <w:rFonts w:cstheme="minorHAnsi"/>
          <w:sz w:val="24"/>
          <w:szCs w:val="24"/>
          <w:rtl/>
        </w:rPr>
        <w:t>, הן</w:t>
      </w:r>
      <w:r w:rsidR="008B38A5" w:rsidRPr="00CE57BD">
        <w:rPr>
          <w:rFonts w:cstheme="minorHAnsi"/>
          <w:sz w:val="24"/>
          <w:szCs w:val="24"/>
          <w:rtl/>
        </w:rPr>
        <w:t xml:space="preserve"> </w:t>
      </w:r>
      <w:r w:rsidR="00D3150F" w:rsidRPr="00CE57BD">
        <w:rPr>
          <w:rFonts w:cstheme="minorHAnsi"/>
          <w:sz w:val="24"/>
          <w:szCs w:val="24"/>
          <w:rtl/>
        </w:rPr>
        <w:t>על ידי יצירת שרשראות אספקה מקבילות</w:t>
      </w:r>
      <w:r w:rsidRPr="00CE57BD">
        <w:rPr>
          <w:rFonts w:cstheme="minorHAnsi"/>
          <w:sz w:val="24"/>
          <w:szCs w:val="24"/>
          <w:rtl/>
        </w:rPr>
        <w:t xml:space="preserve">, והן על ידי </w:t>
      </w:r>
      <w:r w:rsidR="00D3150F" w:rsidRPr="00CE57BD">
        <w:rPr>
          <w:rFonts w:cstheme="minorHAnsi"/>
          <w:sz w:val="24"/>
          <w:szCs w:val="24"/>
          <w:rtl/>
        </w:rPr>
        <w:t>התרחבות לשווקים ניטרליים יותר מבחינה פוליטית</w:t>
      </w:r>
      <w:r w:rsidR="00D3150F" w:rsidRPr="00CE57BD">
        <w:rPr>
          <w:rFonts w:cstheme="minorHAnsi"/>
          <w:sz w:val="24"/>
          <w:szCs w:val="24"/>
        </w:rPr>
        <w:t>.</w:t>
      </w:r>
      <w:r w:rsidR="00103A2A" w:rsidRPr="00CE57BD">
        <w:rPr>
          <w:rFonts w:cstheme="minorHAnsi"/>
          <w:sz w:val="24"/>
          <w:szCs w:val="24"/>
          <w:rtl/>
        </w:rPr>
        <w:t xml:space="preserve"> מכיוון שחברות אלו מחפשות יעדי ייצור חלופיים בעלי סיכון נמוך יותר, מדינות כמו הפיליפינים, הודו, מלזיה, וייטנאם ותאילנד ממשיכות ליהנות מאסטרטגי</w:t>
      </w:r>
      <w:r w:rsidR="003E145D" w:rsidRPr="00CE57BD">
        <w:rPr>
          <w:rFonts w:cstheme="minorHAnsi"/>
          <w:sz w:val="24"/>
          <w:szCs w:val="24"/>
          <w:rtl/>
        </w:rPr>
        <w:t xml:space="preserve">ה זו. </w:t>
      </w:r>
    </w:p>
    <w:p w14:paraId="5F97ADB8" w14:textId="0793262F" w:rsidR="003E145D" w:rsidRPr="00CE57BD" w:rsidRDefault="002016B8" w:rsidP="00192F8B">
      <w:pPr>
        <w:jc w:val="both"/>
        <w:rPr>
          <w:rFonts w:cstheme="minorHAnsi"/>
          <w:sz w:val="24"/>
          <w:szCs w:val="24"/>
          <w:rtl/>
        </w:rPr>
      </w:pPr>
      <w:r w:rsidRPr="00CE57BD">
        <w:rPr>
          <w:rFonts w:cstheme="minorHAnsi"/>
          <w:sz w:val="24"/>
          <w:szCs w:val="24"/>
          <w:rtl/>
        </w:rPr>
        <w:t xml:space="preserve">מגמה נוספת </w:t>
      </w:r>
      <w:r w:rsidR="000E5B2B" w:rsidRPr="00CE57BD">
        <w:rPr>
          <w:rFonts w:cstheme="minorHAnsi"/>
          <w:sz w:val="24"/>
          <w:szCs w:val="24"/>
          <w:rtl/>
        </w:rPr>
        <w:t xml:space="preserve">אשר גורמת להגדלת הביקוש </w:t>
      </w:r>
      <w:r w:rsidR="003E145D" w:rsidRPr="00CE57BD">
        <w:rPr>
          <w:rFonts w:cstheme="minorHAnsi"/>
          <w:sz w:val="24"/>
          <w:szCs w:val="24"/>
          <w:rtl/>
        </w:rPr>
        <w:t>ב</w:t>
      </w:r>
      <w:r w:rsidR="000E5B2B" w:rsidRPr="00CE57BD">
        <w:rPr>
          <w:rFonts w:cstheme="minorHAnsi"/>
          <w:sz w:val="24"/>
          <w:szCs w:val="24"/>
          <w:rtl/>
        </w:rPr>
        <w:t>סחר עם שווקי אסיה הינה יחסי</w:t>
      </w:r>
      <w:r w:rsidRPr="00CE57BD">
        <w:rPr>
          <w:rFonts w:cstheme="minorHAnsi"/>
          <w:sz w:val="24"/>
          <w:szCs w:val="24"/>
          <w:rtl/>
        </w:rPr>
        <w:t xml:space="preserve"> ישראל</w:t>
      </w:r>
      <w:r w:rsidR="000E5B2B" w:rsidRPr="00CE57BD">
        <w:rPr>
          <w:rFonts w:cstheme="minorHAnsi"/>
          <w:sz w:val="24"/>
          <w:szCs w:val="24"/>
          <w:rtl/>
        </w:rPr>
        <w:t xml:space="preserve"> </w:t>
      </w:r>
      <w:r w:rsidR="00917734" w:rsidRPr="00CE57BD">
        <w:rPr>
          <w:rFonts w:cstheme="minorHAnsi"/>
          <w:sz w:val="24"/>
          <w:szCs w:val="24"/>
          <w:rtl/>
        </w:rPr>
        <w:t>–</w:t>
      </w:r>
      <w:r w:rsidRPr="00CE57BD">
        <w:rPr>
          <w:rFonts w:cstheme="minorHAnsi"/>
          <w:sz w:val="24"/>
          <w:szCs w:val="24"/>
          <w:rtl/>
        </w:rPr>
        <w:t xml:space="preserve"> טורקיה</w:t>
      </w:r>
      <w:r w:rsidR="00917734" w:rsidRPr="00CE57BD">
        <w:rPr>
          <w:rFonts w:cstheme="minorHAnsi"/>
          <w:sz w:val="24"/>
          <w:szCs w:val="24"/>
          <w:rtl/>
        </w:rPr>
        <w:t>,</w:t>
      </w:r>
      <w:r w:rsidRPr="00CE57BD">
        <w:rPr>
          <w:rFonts w:cstheme="minorHAnsi"/>
          <w:sz w:val="24"/>
          <w:szCs w:val="24"/>
          <w:rtl/>
        </w:rPr>
        <w:t xml:space="preserve"> </w:t>
      </w:r>
      <w:r w:rsidR="000E5B2B" w:rsidRPr="00CE57BD">
        <w:rPr>
          <w:rFonts w:cstheme="minorHAnsi"/>
          <w:sz w:val="24"/>
          <w:szCs w:val="24"/>
          <w:rtl/>
        </w:rPr>
        <w:t xml:space="preserve">אשר </w:t>
      </w:r>
      <w:r w:rsidRPr="00CE57BD">
        <w:rPr>
          <w:rFonts w:cstheme="minorHAnsi"/>
          <w:sz w:val="24"/>
          <w:szCs w:val="24"/>
          <w:rtl/>
        </w:rPr>
        <w:t xml:space="preserve">מאז תחילת המלחמה </w:t>
      </w:r>
      <w:r w:rsidR="00917734" w:rsidRPr="00CE57BD">
        <w:rPr>
          <w:rFonts w:cstheme="minorHAnsi"/>
          <w:sz w:val="24"/>
          <w:szCs w:val="24"/>
          <w:rtl/>
        </w:rPr>
        <w:t>הפכו מתוחים</w:t>
      </w:r>
      <w:r w:rsidR="003E145D" w:rsidRPr="00CE57BD">
        <w:rPr>
          <w:rFonts w:cstheme="minorHAnsi"/>
          <w:sz w:val="24"/>
          <w:szCs w:val="24"/>
          <w:rtl/>
        </w:rPr>
        <w:t xml:space="preserve"> מאוד,</w:t>
      </w:r>
      <w:r w:rsidR="00917734" w:rsidRPr="00CE57BD">
        <w:rPr>
          <w:rFonts w:cstheme="minorHAnsi"/>
          <w:sz w:val="24"/>
          <w:szCs w:val="24"/>
          <w:rtl/>
        </w:rPr>
        <w:t xml:space="preserve"> עד </w:t>
      </w:r>
      <w:r w:rsidR="003E145D" w:rsidRPr="00CE57BD">
        <w:rPr>
          <w:rFonts w:cstheme="minorHAnsi"/>
          <w:sz w:val="24"/>
          <w:szCs w:val="24"/>
          <w:rtl/>
        </w:rPr>
        <w:t xml:space="preserve">כדי </w:t>
      </w:r>
      <w:r w:rsidR="00917734" w:rsidRPr="00CE57BD">
        <w:rPr>
          <w:rFonts w:cstheme="minorHAnsi"/>
          <w:sz w:val="24"/>
          <w:szCs w:val="24"/>
          <w:rtl/>
        </w:rPr>
        <w:t>הכרז</w:t>
      </w:r>
      <w:r w:rsidR="003E145D" w:rsidRPr="00CE57BD">
        <w:rPr>
          <w:rFonts w:cstheme="minorHAnsi"/>
          <w:sz w:val="24"/>
          <w:szCs w:val="24"/>
          <w:rtl/>
        </w:rPr>
        <w:t>תו של</w:t>
      </w:r>
      <w:r w:rsidR="00917734" w:rsidRPr="00CE57BD">
        <w:rPr>
          <w:rFonts w:cstheme="minorHAnsi"/>
          <w:sz w:val="24"/>
          <w:szCs w:val="24"/>
          <w:rtl/>
        </w:rPr>
        <w:t xml:space="preserve"> ארדואן </w:t>
      </w:r>
      <w:r w:rsidR="00820F97" w:rsidRPr="00CE57BD">
        <w:rPr>
          <w:rFonts w:cstheme="minorHAnsi"/>
          <w:sz w:val="24"/>
          <w:szCs w:val="24"/>
          <w:rtl/>
        </w:rPr>
        <w:t>על איסור</w:t>
      </w:r>
      <w:r w:rsidR="00917734" w:rsidRPr="00CE57BD">
        <w:rPr>
          <w:rFonts w:cstheme="minorHAnsi"/>
          <w:sz w:val="24"/>
          <w:szCs w:val="24"/>
          <w:rtl/>
        </w:rPr>
        <w:t xml:space="preserve"> יצוא לישראל של 54</w:t>
      </w:r>
      <w:r w:rsidR="003E145D" w:rsidRPr="00CE57BD">
        <w:rPr>
          <w:rFonts w:cstheme="minorHAnsi"/>
          <w:sz w:val="24"/>
          <w:szCs w:val="24"/>
          <w:rtl/>
        </w:rPr>
        <w:t xml:space="preserve"> קטגוריות-מוצרים</w:t>
      </w:r>
      <w:r w:rsidR="00917734" w:rsidRPr="00CE57BD">
        <w:rPr>
          <w:rFonts w:cstheme="minorHAnsi"/>
          <w:sz w:val="24"/>
          <w:szCs w:val="24"/>
          <w:rtl/>
        </w:rPr>
        <w:t>, רובם הגדול לענף הבניין</w:t>
      </w:r>
      <w:r w:rsidR="003E145D" w:rsidRPr="00CE57BD">
        <w:rPr>
          <w:rFonts w:cstheme="minorHAnsi"/>
          <w:sz w:val="24"/>
          <w:szCs w:val="24"/>
          <w:rtl/>
        </w:rPr>
        <w:t xml:space="preserve"> והתעשייה</w:t>
      </w:r>
      <w:r w:rsidR="00997669" w:rsidRPr="00CE57BD">
        <w:rPr>
          <w:rFonts w:cstheme="minorHAnsi"/>
          <w:sz w:val="24"/>
          <w:szCs w:val="24"/>
          <w:rtl/>
        </w:rPr>
        <w:t>.</w:t>
      </w:r>
      <w:r w:rsidR="003E145D" w:rsidRPr="00CE57BD">
        <w:rPr>
          <w:rFonts w:cstheme="minorHAnsi"/>
          <w:sz w:val="24"/>
          <w:szCs w:val="24"/>
          <w:rtl/>
        </w:rPr>
        <w:t xml:space="preserve"> אך הצהרתו הבאה</w:t>
      </w:r>
      <w:r w:rsidR="00997669" w:rsidRPr="00CE57BD">
        <w:rPr>
          <w:rFonts w:cstheme="minorHAnsi"/>
          <w:sz w:val="24"/>
          <w:szCs w:val="24"/>
          <w:rtl/>
        </w:rPr>
        <w:t xml:space="preserve"> מתחילת חדש מאי </w:t>
      </w:r>
      <w:r w:rsidR="003E145D" w:rsidRPr="00CE57BD">
        <w:rPr>
          <w:rFonts w:cstheme="minorHAnsi"/>
          <w:sz w:val="24"/>
          <w:szCs w:val="24"/>
          <w:rtl/>
        </w:rPr>
        <w:t>שאסרה כל סחר עם ישראל</w:t>
      </w:r>
      <w:r w:rsidR="00997669" w:rsidRPr="00CE57BD">
        <w:rPr>
          <w:rFonts w:cstheme="minorHAnsi"/>
          <w:sz w:val="24"/>
          <w:szCs w:val="24"/>
          <w:rtl/>
        </w:rPr>
        <w:t xml:space="preserve"> (חרף ה"הקלות"</w:t>
      </w:r>
      <w:r w:rsidR="00997669" w:rsidRPr="00CE57BD">
        <w:rPr>
          <w:rFonts w:cstheme="minorHAnsi"/>
          <w:sz w:val="24"/>
          <w:szCs w:val="24"/>
        </w:rPr>
        <w:t xml:space="preserve"> </w:t>
      </w:r>
      <w:r w:rsidR="00997669" w:rsidRPr="00CE57BD">
        <w:rPr>
          <w:rFonts w:cstheme="minorHAnsi"/>
          <w:sz w:val="24"/>
          <w:szCs w:val="24"/>
          <w:rtl/>
        </w:rPr>
        <w:t>שבאו לאחר מכן)</w:t>
      </w:r>
      <w:r w:rsidR="003E145D" w:rsidRPr="00CE57BD">
        <w:rPr>
          <w:rFonts w:cstheme="minorHAnsi"/>
          <w:sz w:val="24"/>
          <w:szCs w:val="24"/>
          <w:rtl/>
        </w:rPr>
        <w:t xml:space="preserve">, מגבילה </w:t>
      </w:r>
      <w:r w:rsidR="00820F97" w:rsidRPr="00CE57BD">
        <w:rPr>
          <w:rFonts w:cstheme="minorHAnsi"/>
          <w:sz w:val="24"/>
          <w:szCs w:val="24"/>
          <w:rtl/>
        </w:rPr>
        <w:t xml:space="preserve">מאוד </w:t>
      </w:r>
      <w:r w:rsidR="003E145D" w:rsidRPr="00CE57BD">
        <w:rPr>
          <w:rFonts w:cstheme="minorHAnsi"/>
          <w:sz w:val="24"/>
          <w:szCs w:val="24"/>
          <w:rtl/>
        </w:rPr>
        <w:t xml:space="preserve">את יכולתם של יבואנים מקומיים </w:t>
      </w:r>
      <w:r w:rsidR="00820F97" w:rsidRPr="00CE57BD">
        <w:rPr>
          <w:rFonts w:cstheme="minorHAnsi"/>
          <w:sz w:val="24"/>
          <w:szCs w:val="24"/>
          <w:rtl/>
        </w:rPr>
        <w:t xml:space="preserve">להציג לשוק הישראלי </w:t>
      </w:r>
      <w:r w:rsidR="003E145D" w:rsidRPr="00CE57BD">
        <w:rPr>
          <w:rFonts w:cstheme="minorHAnsi"/>
          <w:sz w:val="24"/>
          <w:szCs w:val="24"/>
          <w:rtl/>
        </w:rPr>
        <w:t xml:space="preserve">המוני מוצרים במחירים זולים יחסית, החל ממוצרי חשמל לבית, רכיבים אלקטרוניים, ריהוט, ביגוד </w:t>
      </w:r>
      <w:r w:rsidR="00192F8B" w:rsidRPr="00CE57BD">
        <w:rPr>
          <w:rFonts w:cstheme="minorHAnsi" w:hint="cs"/>
          <w:sz w:val="24"/>
          <w:szCs w:val="24"/>
          <w:rtl/>
        </w:rPr>
        <w:t>וטקסטיל</w:t>
      </w:r>
      <w:r w:rsidR="003E145D" w:rsidRPr="00CE57BD">
        <w:rPr>
          <w:rFonts w:cstheme="minorHAnsi"/>
          <w:sz w:val="24"/>
          <w:szCs w:val="24"/>
          <w:rtl/>
        </w:rPr>
        <w:t xml:space="preserve"> ועוד.</w:t>
      </w:r>
    </w:p>
    <w:p w14:paraId="5E57033E" w14:textId="515A6F36" w:rsidR="002016B8" w:rsidRPr="00CE57BD" w:rsidRDefault="003E145D" w:rsidP="00192F8B">
      <w:pPr>
        <w:jc w:val="both"/>
        <w:rPr>
          <w:rFonts w:cstheme="minorHAnsi"/>
          <w:sz w:val="24"/>
          <w:szCs w:val="24"/>
          <w:u w:val="single"/>
          <w:rtl/>
        </w:rPr>
      </w:pPr>
      <w:r w:rsidRPr="00CE57BD">
        <w:rPr>
          <w:rFonts w:cstheme="minorHAnsi"/>
          <w:sz w:val="24"/>
          <w:szCs w:val="24"/>
          <w:u w:val="single"/>
          <w:rtl/>
        </w:rPr>
        <w:t>זאת בעוד</w:t>
      </w:r>
      <w:r w:rsidR="008B56EC" w:rsidRPr="00CE57BD">
        <w:rPr>
          <w:rFonts w:cstheme="minorHAnsi"/>
          <w:sz w:val="24"/>
          <w:szCs w:val="24"/>
          <w:u w:val="single"/>
          <w:rtl/>
        </w:rPr>
        <w:t xml:space="preserve"> אסיה מציעה שוק גדל ואטרקטיבי </w:t>
      </w:r>
      <w:r w:rsidRPr="00CE57BD">
        <w:rPr>
          <w:rFonts w:cstheme="minorHAnsi"/>
          <w:sz w:val="24"/>
          <w:szCs w:val="24"/>
          <w:u w:val="single"/>
          <w:rtl/>
        </w:rPr>
        <w:t xml:space="preserve">בכל </w:t>
      </w:r>
      <w:r w:rsidR="008B56EC" w:rsidRPr="00CE57BD">
        <w:rPr>
          <w:rFonts w:cstheme="minorHAnsi"/>
          <w:sz w:val="24"/>
          <w:szCs w:val="24"/>
          <w:u w:val="single"/>
          <w:rtl/>
        </w:rPr>
        <w:t>סביבה ידידותית מאוד לעסקים, במיוחד עבור משקיעים זרים</w:t>
      </w:r>
      <w:r w:rsidR="00820F97" w:rsidRPr="00CE57BD">
        <w:rPr>
          <w:rFonts w:cstheme="minorHAnsi"/>
          <w:sz w:val="24"/>
          <w:szCs w:val="24"/>
          <w:u w:val="single"/>
          <w:rtl/>
        </w:rPr>
        <w:t xml:space="preserve"> ויכולת לגוון את מקורות המוצרים בין מספר מדינות והמוני יצרנים וספקים</w:t>
      </w:r>
      <w:r w:rsidRPr="00CE57BD">
        <w:rPr>
          <w:rFonts w:cstheme="minorHAnsi"/>
          <w:sz w:val="24"/>
          <w:szCs w:val="24"/>
          <w:u w:val="single"/>
          <w:rtl/>
        </w:rPr>
        <w:t>.</w:t>
      </w:r>
    </w:p>
    <w:p w14:paraId="1C4A23CA" w14:textId="6FD2F9E9" w:rsidR="005D2A3F" w:rsidRPr="00CE57BD" w:rsidRDefault="005D2A3F" w:rsidP="00192F8B">
      <w:pPr>
        <w:jc w:val="both"/>
        <w:rPr>
          <w:rFonts w:cstheme="minorHAnsi"/>
          <w:b/>
          <w:bCs/>
          <w:sz w:val="24"/>
          <w:szCs w:val="24"/>
          <w:rtl/>
        </w:rPr>
      </w:pPr>
      <w:r w:rsidRPr="00CE57BD">
        <w:rPr>
          <w:rFonts w:cstheme="minorHAnsi"/>
          <w:b/>
          <w:bCs/>
          <w:sz w:val="24"/>
          <w:szCs w:val="24"/>
          <w:rtl/>
        </w:rPr>
        <w:t>כלכלות אסייתיות בולטות:</w:t>
      </w:r>
    </w:p>
    <w:p w14:paraId="2C7FD2FB" w14:textId="604EE50D" w:rsidR="004B7FC3" w:rsidRPr="00CE57BD" w:rsidRDefault="000E5B2B" w:rsidP="00192F8B">
      <w:pPr>
        <w:jc w:val="both"/>
        <w:rPr>
          <w:rFonts w:cstheme="minorHAnsi"/>
          <w:sz w:val="24"/>
          <w:szCs w:val="24"/>
          <w:rtl/>
        </w:rPr>
      </w:pPr>
      <w:bookmarkStart w:id="0" w:name="_Hlk167187595"/>
      <w:r w:rsidRPr="00CE57BD">
        <w:rPr>
          <w:rFonts w:cstheme="minorHAnsi"/>
          <w:sz w:val="24"/>
          <w:szCs w:val="24"/>
          <w:rtl/>
        </w:rPr>
        <w:t xml:space="preserve">כלכלות </w:t>
      </w:r>
      <w:r w:rsidR="005D2A3F" w:rsidRPr="00CE57BD">
        <w:rPr>
          <w:rFonts w:cstheme="minorHAnsi"/>
          <w:sz w:val="24"/>
          <w:szCs w:val="24"/>
          <w:rtl/>
        </w:rPr>
        <w:t>אסייתיות</w:t>
      </w:r>
      <w:r w:rsidRPr="00CE57BD">
        <w:rPr>
          <w:rFonts w:cstheme="minorHAnsi"/>
          <w:sz w:val="24"/>
          <w:szCs w:val="24"/>
          <w:rtl/>
        </w:rPr>
        <w:t xml:space="preserve"> רבות כמו כלכלת </w:t>
      </w:r>
      <w:r w:rsidRPr="00CE57BD">
        <w:rPr>
          <w:rFonts w:cstheme="minorHAnsi"/>
          <w:b/>
          <w:bCs/>
          <w:sz w:val="24"/>
          <w:szCs w:val="24"/>
          <w:rtl/>
        </w:rPr>
        <w:t>וייטנאם</w:t>
      </w:r>
      <w:r w:rsidRPr="00CE57BD">
        <w:rPr>
          <w:rFonts w:cstheme="minorHAnsi"/>
          <w:sz w:val="24"/>
          <w:szCs w:val="24"/>
          <w:rtl/>
        </w:rPr>
        <w:t xml:space="preserve"> חווה צמיחה עקבית כבר כמה שנים, מה שהופך אותה ליעד אטרקטיבי עבור משקיעים זרים</w:t>
      </w:r>
      <w:r w:rsidR="003E145D" w:rsidRPr="00CE57BD">
        <w:rPr>
          <w:rFonts w:cstheme="minorHAnsi"/>
          <w:sz w:val="24"/>
          <w:szCs w:val="24"/>
          <w:rtl/>
        </w:rPr>
        <w:t xml:space="preserve">, עם תמריצים אטרקטיביים, הקלות מס ורגולציה יעילה למשקיעים. בו-זמנית, בבואה להתחרות עם סין נוכח הרצון של יבואנים וסוחרים מכל העולם לגוון את מקורות האספקה שלהם, </w:t>
      </w:r>
      <w:r w:rsidR="00192F8B" w:rsidRPr="00CE57BD">
        <w:rPr>
          <w:rFonts w:cstheme="minorHAnsi" w:hint="cs"/>
          <w:sz w:val="24"/>
          <w:szCs w:val="24"/>
          <w:rtl/>
        </w:rPr>
        <w:t>וייטנ</w:t>
      </w:r>
      <w:r w:rsidR="00192F8B" w:rsidRPr="00CE57BD">
        <w:rPr>
          <w:rFonts w:cstheme="minorHAnsi" w:hint="eastAsia"/>
          <w:sz w:val="24"/>
          <w:szCs w:val="24"/>
          <w:rtl/>
        </w:rPr>
        <w:t>אם</w:t>
      </w:r>
      <w:r w:rsidR="003E145D" w:rsidRPr="00CE57BD">
        <w:rPr>
          <w:rFonts w:cstheme="minorHAnsi"/>
          <w:sz w:val="24"/>
          <w:szCs w:val="24"/>
          <w:rtl/>
        </w:rPr>
        <w:t xml:space="preserve"> העלתה את תפוקת הייצור שלה רבות מאז ובמהלך הקורונה וכעת קוצרת את הפירות. מיקומה </w:t>
      </w:r>
      <w:r w:rsidRPr="00CE57BD">
        <w:rPr>
          <w:rFonts w:cstheme="minorHAnsi"/>
          <w:sz w:val="24"/>
          <w:szCs w:val="24"/>
          <w:rtl/>
        </w:rPr>
        <w:t xml:space="preserve">בצומת דרכים של נתיבי סחר גלובליים, </w:t>
      </w:r>
      <w:r w:rsidR="003E145D" w:rsidRPr="00CE57BD">
        <w:rPr>
          <w:rFonts w:cstheme="minorHAnsi"/>
          <w:sz w:val="24"/>
          <w:szCs w:val="24"/>
          <w:rtl/>
        </w:rPr>
        <w:t xml:space="preserve">עוזרים לה להציע </w:t>
      </w:r>
      <w:r w:rsidRPr="00CE57BD">
        <w:rPr>
          <w:rFonts w:cstheme="minorHAnsi"/>
          <w:sz w:val="24"/>
          <w:szCs w:val="24"/>
          <w:rtl/>
        </w:rPr>
        <w:t>גישה שאין כמותה לשווקי מפתח באסיה, אירופה ואמריקה</w:t>
      </w:r>
      <w:r w:rsidRPr="00CE57BD">
        <w:rPr>
          <w:rFonts w:cstheme="minorHAnsi"/>
          <w:sz w:val="24"/>
          <w:szCs w:val="24"/>
        </w:rPr>
        <w:t>.</w:t>
      </w:r>
      <w:r w:rsidR="005D2A3F" w:rsidRPr="00CE57BD">
        <w:rPr>
          <w:rFonts w:cstheme="minorHAnsi"/>
          <w:sz w:val="24"/>
          <w:szCs w:val="24"/>
          <w:rtl/>
        </w:rPr>
        <w:t xml:space="preserve"> </w:t>
      </w:r>
    </w:p>
    <w:p w14:paraId="48F3F9E4" w14:textId="7ECAA496" w:rsidR="005D2A3F" w:rsidRPr="00CE57BD" w:rsidRDefault="004B7FC3" w:rsidP="00192F8B">
      <w:pPr>
        <w:jc w:val="both"/>
        <w:rPr>
          <w:rFonts w:cstheme="minorHAnsi"/>
          <w:sz w:val="24"/>
          <w:szCs w:val="24"/>
          <w:rtl/>
        </w:rPr>
      </w:pPr>
      <w:r w:rsidRPr="00CE57BD">
        <w:rPr>
          <w:rFonts w:cstheme="minorHAnsi"/>
          <w:b/>
          <w:bCs/>
          <w:sz w:val="24"/>
          <w:szCs w:val="24"/>
          <w:rtl/>
        </w:rPr>
        <w:t>תאילנד</w:t>
      </w:r>
      <w:r w:rsidRPr="00CE57BD">
        <w:rPr>
          <w:rFonts w:cstheme="minorHAnsi"/>
          <w:sz w:val="24"/>
          <w:szCs w:val="24"/>
          <w:rtl/>
        </w:rPr>
        <w:t xml:space="preserve"> הממוקמת אסטרטגית בלב דרום מזרח אסיה</w:t>
      </w:r>
      <w:r w:rsidR="00187060" w:rsidRPr="00CE57BD">
        <w:rPr>
          <w:rFonts w:cstheme="minorHAnsi"/>
          <w:sz w:val="24"/>
          <w:szCs w:val="24"/>
          <w:rtl/>
        </w:rPr>
        <w:t>,</w:t>
      </w:r>
      <w:r w:rsidRPr="00CE57BD">
        <w:rPr>
          <w:rFonts w:cstheme="minorHAnsi"/>
          <w:sz w:val="24"/>
          <w:szCs w:val="24"/>
          <w:rtl/>
        </w:rPr>
        <w:t xml:space="preserve"> מספקת שפע של הזדמנויות למשקיעים זרים. מאז המשבר הפיננסי באסיה של 1997, תאילנד חזרה ככלכלה תוססת ומגוונת יותר, </w:t>
      </w:r>
      <w:r w:rsidR="00187060" w:rsidRPr="00CE57BD">
        <w:rPr>
          <w:rFonts w:cstheme="minorHAnsi"/>
          <w:sz w:val="24"/>
          <w:szCs w:val="24"/>
          <w:rtl/>
        </w:rPr>
        <w:t>ו</w:t>
      </w:r>
      <w:r w:rsidRPr="00CE57BD">
        <w:rPr>
          <w:rFonts w:cstheme="minorHAnsi"/>
          <w:sz w:val="24"/>
          <w:szCs w:val="24"/>
          <w:rtl/>
        </w:rPr>
        <w:t xml:space="preserve">עמידה </w:t>
      </w:r>
      <w:r w:rsidR="00187060" w:rsidRPr="00CE57BD">
        <w:rPr>
          <w:rFonts w:cstheme="minorHAnsi"/>
          <w:sz w:val="24"/>
          <w:szCs w:val="24"/>
          <w:rtl/>
        </w:rPr>
        <w:t xml:space="preserve">יחסית - </w:t>
      </w:r>
      <w:r w:rsidRPr="00CE57BD">
        <w:rPr>
          <w:rFonts w:cstheme="minorHAnsi"/>
          <w:sz w:val="24"/>
          <w:szCs w:val="24"/>
          <w:rtl/>
        </w:rPr>
        <w:t>על רקע נוף גלובלי משתנה ללא הרף</w:t>
      </w:r>
      <w:r w:rsidRPr="00CE57BD">
        <w:rPr>
          <w:rFonts w:cstheme="minorHAnsi"/>
          <w:sz w:val="24"/>
          <w:szCs w:val="24"/>
        </w:rPr>
        <w:t>.</w:t>
      </w:r>
      <w:r w:rsidRPr="00CE57BD">
        <w:rPr>
          <w:rFonts w:cstheme="minorHAnsi"/>
          <w:sz w:val="24"/>
          <w:szCs w:val="24"/>
          <w:rtl/>
        </w:rPr>
        <w:t xml:space="preserve"> כלכלת תאילנד מאופיינת בצמיחה מתמדת, יצוא חזק ושוק צרכנים מקומי תוסס. כמו כן, לתאילנד יש משאבי טבע בשפע וכוח עבודה מיומן וחסכוני העוזר למשוך משקיעים זרים ומאפשר להם לשגשג ולפתח תעשיה בתאילנד</w:t>
      </w:r>
      <w:r w:rsidRPr="00CE57BD">
        <w:rPr>
          <w:rFonts w:cstheme="minorHAnsi"/>
          <w:sz w:val="24"/>
          <w:szCs w:val="24"/>
        </w:rPr>
        <w:t>.</w:t>
      </w:r>
      <w:r w:rsidR="008B56EC" w:rsidRPr="00CE57BD">
        <w:rPr>
          <w:rFonts w:cstheme="minorHAnsi"/>
          <w:sz w:val="24"/>
          <w:szCs w:val="24"/>
          <w:rtl/>
        </w:rPr>
        <w:t xml:space="preserve"> המדינה נותנת תמיכה מיוחדת לחברות ופעילויות המקדמות חדשנות וטכנולוגיה</w:t>
      </w:r>
      <w:r w:rsidR="008B56EC" w:rsidRPr="00CE57BD">
        <w:rPr>
          <w:rFonts w:cstheme="minorHAnsi"/>
          <w:sz w:val="24"/>
          <w:szCs w:val="24"/>
        </w:rPr>
        <w:t xml:space="preserve">. </w:t>
      </w:r>
      <w:r w:rsidR="008B56EC" w:rsidRPr="00CE57BD">
        <w:rPr>
          <w:rFonts w:cstheme="minorHAnsi"/>
          <w:sz w:val="24"/>
          <w:szCs w:val="24"/>
          <w:rtl/>
        </w:rPr>
        <w:t xml:space="preserve">בדצמבר 2019, מועצת ההשקעות של </w:t>
      </w:r>
      <w:r w:rsidR="008B56EC" w:rsidRPr="00CE57BD">
        <w:rPr>
          <w:rFonts w:cstheme="minorHAnsi"/>
          <w:sz w:val="24"/>
          <w:szCs w:val="24"/>
          <w:rtl/>
        </w:rPr>
        <w:lastRenderedPageBreak/>
        <w:t>תאילנד</w:t>
      </w:r>
      <w:r w:rsidR="008B56EC" w:rsidRPr="00CE57BD">
        <w:rPr>
          <w:rFonts w:cstheme="minorHAnsi"/>
          <w:sz w:val="24"/>
          <w:szCs w:val="24"/>
        </w:rPr>
        <w:t xml:space="preserve"> (BOI) </w:t>
      </w:r>
      <w:r w:rsidR="008B56EC" w:rsidRPr="00CE57BD">
        <w:rPr>
          <w:rFonts w:cstheme="minorHAnsi"/>
          <w:sz w:val="24"/>
          <w:szCs w:val="24"/>
          <w:rtl/>
        </w:rPr>
        <w:t xml:space="preserve">גם </w:t>
      </w:r>
      <w:r w:rsidR="00187060" w:rsidRPr="00CE57BD">
        <w:rPr>
          <w:rFonts w:cstheme="minorHAnsi"/>
          <w:sz w:val="24"/>
          <w:szCs w:val="24"/>
          <w:rtl/>
        </w:rPr>
        <w:t xml:space="preserve">פרסמה </w:t>
      </w:r>
      <w:r w:rsidR="008B56EC" w:rsidRPr="00CE57BD">
        <w:rPr>
          <w:rFonts w:cstheme="minorHAnsi"/>
          <w:sz w:val="24"/>
          <w:szCs w:val="24"/>
          <w:rtl/>
        </w:rPr>
        <w:t xml:space="preserve">תמריצים חדשים כדי למשוך השקעות במסדרון הכלכלי המזרחי של המדינה </w:t>
      </w:r>
      <w:r w:rsidR="008B56EC" w:rsidRPr="00CE57BD">
        <w:rPr>
          <w:rFonts w:cstheme="minorHAnsi"/>
          <w:sz w:val="24"/>
          <w:szCs w:val="24"/>
        </w:rPr>
        <w:t xml:space="preserve">   .(EEC)</w:t>
      </w:r>
    </w:p>
    <w:p w14:paraId="1998BBE1" w14:textId="3BBD9DF2" w:rsidR="002016B8" w:rsidRPr="00CE57BD" w:rsidRDefault="005D2A3F" w:rsidP="00192F8B">
      <w:pPr>
        <w:jc w:val="both"/>
        <w:rPr>
          <w:rFonts w:cstheme="minorHAnsi"/>
          <w:sz w:val="24"/>
          <w:szCs w:val="24"/>
          <w:rtl/>
        </w:rPr>
      </w:pPr>
      <w:r w:rsidRPr="00CE57BD">
        <w:rPr>
          <w:rFonts w:cstheme="minorHAnsi"/>
          <w:sz w:val="24"/>
          <w:szCs w:val="24"/>
          <w:rtl/>
        </w:rPr>
        <w:t xml:space="preserve">כלכלה בולטת נוספת הינה </w:t>
      </w:r>
      <w:r w:rsidRPr="00CE57BD">
        <w:rPr>
          <w:rFonts w:cstheme="minorHAnsi"/>
          <w:b/>
          <w:bCs/>
          <w:sz w:val="24"/>
          <w:szCs w:val="24"/>
          <w:rtl/>
        </w:rPr>
        <w:t>הפיליפינים</w:t>
      </w:r>
      <w:r w:rsidRPr="00CE57BD">
        <w:rPr>
          <w:rFonts w:cstheme="minorHAnsi"/>
          <w:sz w:val="24"/>
          <w:szCs w:val="24"/>
          <w:rtl/>
        </w:rPr>
        <w:t xml:space="preserve"> שסיימ</w:t>
      </w:r>
      <w:r w:rsidR="003205D1" w:rsidRPr="00CE57BD">
        <w:rPr>
          <w:rFonts w:cstheme="minorHAnsi"/>
          <w:sz w:val="24"/>
          <w:szCs w:val="24"/>
          <w:rtl/>
        </w:rPr>
        <w:t>ה</w:t>
      </w:r>
      <w:r w:rsidRPr="00CE57BD">
        <w:rPr>
          <w:rFonts w:cstheme="minorHAnsi"/>
          <w:sz w:val="24"/>
          <w:szCs w:val="24"/>
          <w:rtl/>
        </w:rPr>
        <w:t xml:space="preserve"> את 2023 בהיותם הכלכלה הצומחת </w:t>
      </w:r>
      <w:r w:rsidR="00212580" w:rsidRPr="00CE57BD">
        <w:rPr>
          <w:rFonts w:cstheme="minorHAnsi"/>
          <w:sz w:val="24"/>
          <w:szCs w:val="24"/>
          <w:rtl/>
        </w:rPr>
        <w:t>המהירה</w:t>
      </w:r>
      <w:r w:rsidRPr="00CE57BD">
        <w:rPr>
          <w:rFonts w:cstheme="minorHAnsi"/>
          <w:sz w:val="24"/>
          <w:szCs w:val="24"/>
          <w:rtl/>
        </w:rPr>
        <w:t xml:space="preserve"> ברחבי דרום מזרח אסי</w:t>
      </w:r>
      <w:r w:rsidR="00212580" w:rsidRPr="00CE57BD">
        <w:rPr>
          <w:rFonts w:cstheme="minorHAnsi"/>
          <w:sz w:val="24"/>
          <w:szCs w:val="24"/>
          <w:rtl/>
        </w:rPr>
        <w:t>ה</w:t>
      </w:r>
      <w:r w:rsidR="003205D1" w:rsidRPr="00CE57BD">
        <w:rPr>
          <w:rFonts w:cstheme="minorHAnsi"/>
          <w:sz w:val="24"/>
          <w:szCs w:val="24"/>
          <w:rtl/>
        </w:rPr>
        <w:t xml:space="preserve">. מלבד </w:t>
      </w:r>
      <w:r w:rsidR="004D5AF8" w:rsidRPr="00CE57BD">
        <w:rPr>
          <w:rFonts w:cstheme="minorHAnsi"/>
          <w:sz w:val="24"/>
          <w:szCs w:val="24"/>
          <w:rtl/>
        </w:rPr>
        <w:t>מיקומה הקרוב יותר מאלו הקודמות לשווקים המפותחים של מזרח אסיה</w:t>
      </w:r>
      <w:r w:rsidR="003205D1" w:rsidRPr="00CE57BD">
        <w:rPr>
          <w:rFonts w:cstheme="minorHAnsi"/>
          <w:sz w:val="24"/>
          <w:szCs w:val="24"/>
          <w:rtl/>
        </w:rPr>
        <w:t xml:space="preserve">, </w:t>
      </w:r>
      <w:r w:rsidR="004D5AF8" w:rsidRPr="00CE57BD">
        <w:rPr>
          <w:rFonts w:cstheme="minorHAnsi"/>
          <w:sz w:val="24"/>
          <w:szCs w:val="24"/>
          <w:rtl/>
        </w:rPr>
        <w:t xml:space="preserve">גם היא </w:t>
      </w:r>
      <w:r w:rsidR="003205D1" w:rsidRPr="00CE57BD">
        <w:rPr>
          <w:rFonts w:cstheme="minorHAnsi"/>
          <w:sz w:val="24"/>
          <w:szCs w:val="24"/>
          <w:rtl/>
        </w:rPr>
        <w:t>מספק</w:t>
      </w:r>
      <w:r w:rsidR="004D5AF8" w:rsidRPr="00CE57BD">
        <w:rPr>
          <w:rFonts w:cstheme="minorHAnsi"/>
          <w:sz w:val="24"/>
          <w:szCs w:val="24"/>
          <w:rtl/>
        </w:rPr>
        <w:t>ת</w:t>
      </w:r>
      <w:r w:rsidR="003205D1" w:rsidRPr="00CE57BD">
        <w:rPr>
          <w:rFonts w:cstheme="minorHAnsi"/>
          <w:sz w:val="24"/>
          <w:szCs w:val="24"/>
          <w:rtl/>
        </w:rPr>
        <w:t xml:space="preserve"> גישה לשווקים אזוריים ולנתיבי סחר רבים. המדינה </w:t>
      </w:r>
      <w:r w:rsidR="004D5AF8" w:rsidRPr="00CE57BD">
        <w:rPr>
          <w:rFonts w:cstheme="minorHAnsi"/>
          <w:sz w:val="24"/>
          <w:szCs w:val="24"/>
          <w:rtl/>
        </w:rPr>
        <w:t xml:space="preserve">מהווה </w:t>
      </w:r>
      <w:r w:rsidR="003205D1" w:rsidRPr="00CE57BD">
        <w:rPr>
          <w:rFonts w:cstheme="minorHAnsi"/>
          <w:sz w:val="24"/>
          <w:szCs w:val="24"/>
          <w:rtl/>
        </w:rPr>
        <w:t xml:space="preserve">שוק גדול עם אוכלוסייה של למעלה מ-100 מיליון איש, </w:t>
      </w:r>
      <w:r w:rsidR="004D5AF8" w:rsidRPr="00CE57BD">
        <w:rPr>
          <w:rFonts w:cstheme="minorHAnsi"/>
          <w:sz w:val="24"/>
          <w:szCs w:val="24"/>
          <w:rtl/>
        </w:rPr>
        <w:t xml:space="preserve">היא בעלת </w:t>
      </w:r>
      <w:r w:rsidR="003205D1" w:rsidRPr="00CE57BD">
        <w:rPr>
          <w:rFonts w:cstheme="minorHAnsi"/>
          <w:sz w:val="24"/>
          <w:szCs w:val="24"/>
          <w:rtl/>
        </w:rPr>
        <w:t xml:space="preserve">משאבי טבע בשפע, מדיניות ממשלתית תומכת בעידוד השקעות זרות, וכוח עבודה מיומן </w:t>
      </w:r>
      <w:r w:rsidR="003205D1" w:rsidRPr="00CE57BD">
        <w:rPr>
          <w:rFonts w:cstheme="minorHAnsi"/>
          <w:sz w:val="24"/>
          <w:szCs w:val="24"/>
          <w:u w:val="single"/>
          <w:rtl/>
        </w:rPr>
        <w:t>הדובר אנגלית</w:t>
      </w:r>
      <w:r w:rsidR="003205D1" w:rsidRPr="00CE57BD">
        <w:rPr>
          <w:rFonts w:cstheme="minorHAnsi"/>
          <w:sz w:val="24"/>
          <w:szCs w:val="24"/>
          <w:rtl/>
        </w:rPr>
        <w:t xml:space="preserve">. עובדות אלו הופכות את </w:t>
      </w:r>
      <w:r w:rsidR="004B7FC3" w:rsidRPr="00CE57BD">
        <w:rPr>
          <w:rFonts w:cstheme="minorHAnsi"/>
          <w:sz w:val="24"/>
          <w:szCs w:val="24"/>
          <w:rtl/>
        </w:rPr>
        <w:t>הפיליפינים</w:t>
      </w:r>
      <w:r w:rsidR="003205D1" w:rsidRPr="00CE57BD">
        <w:rPr>
          <w:rFonts w:cstheme="minorHAnsi"/>
          <w:sz w:val="24"/>
          <w:szCs w:val="24"/>
          <w:rtl/>
        </w:rPr>
        <w:t xml:space="preserve"> לייעד אטרקטיבי לעסקים רבים ברחבי העולם.</w:t>
      </w:r>
    </w:p>
    <w:bookmarkEnd w:id="0"/>
    <w:p w14:paraId="667B8D06" w14:textId="77777777" w:rsidR="008B56EC" w:rsidRPr="00CE57BD" w:rsidRDefault="008B56EC" w:rsidP="00192F8B">
      <w:pPr>
        <w:jc w:val="both"/>
        <w:rPr>
          <w:rFonts w:cstheme="minorHAnsi"/>
          <w:sz w:val="24"/>
          <w:szCs w:val="24"/>
          <w:rtl/>
        </w:rPr>
      </w:pPr>
    </w:p>
    <w:p w14:paraId="26901F66" w14:textId="61526027" w:rsidR="004B7FC3" w:rsidRPr="00CE57BD" w:rsidRDefault="00000000" w:rsidP="00192F8B">
      <w:pPr>
        <w:jc w:val="both"/>
        <w:rPr>
          <w:rFonts w:cstheme="minorHAnsi"/>
          <w:sz w:val="24"/>
          <w:szCs w:val="24"/>
          <w:rtl/>
        </w:rPr>
      </w:pPr>
      <w:hyperlink r:id="rId4" w:history="1">
        <w:r w:rsidR="00917734" w:rsidRPr="00CE57BD">
          <w:rPr>
            <w:rStyle w:val="Hyperlink"/>
            <w:rFonts w:cstheme="minorHAnsi"/>
            <w:sz w:val="24"/>
            <w:szCs w:val="24"/>
          </w:rPr>
          <w:t>Why Expand Your Business into Asia: Reasons &amp; Opinions (acclime.com)</w:t>
        </w:r>
      </w:hyperlink>
    </w:p>
    <w:p w14:paraId="23DC328D" w14:textId="141B8E05" w:rsidR="00917734" w:rsidRPr="00CE57BD" w:rsidRDefault="00000000" w:rsidP="00192F8B">
      <w:pPr>
        <w:jc w:val="both"/>
        <w:rPr>
          <w:rFonts w:cstheme="minorHAnsi"/>
          <w:sz w:val="24"/>
          <w:szCs w:val="24"/>
          <w:rtl/>
        </w:rPr>
      </w:pPr>
      <w:hyperlink r:id="rId5" w:history="1">
        <w:r w:rsidR="00917734" w:rsidRPr="00CE57BD">
          <w:rPr>
            <w:rStyle w:val="Hyperlink"/>
            <w:rFonts w:cstheme="minorHAnsi"/>
            <w:sz w:val="24"/>
            <w:szCs w:val="24"/>
          </w:rPr>
          <w:t>Trade in Transition 2024: Asia Pacific regional insights (economist.com)</w:t>
        </w:r>
      </w:hyperlink>
    </w:p>
    <w:p w14:paraId="3C7802D7" w14:textId="01F28F02" w:rsidR="008B56EC" w:rsidRPr="00CE57BD" w:rsidRDefault="00000000" w:rsidP="00192F8B">
      <w:pPr>
        <w:jc w:val="both"/>
        <w:rPr>
          <w:rFonts w:cstheme="minorHAnsi"/>
          <w:sz w:val="24"/>
          <w:szCs w:val="24"/>
          <w:rtl/>
        </w:rPr>
      </w:pPr>
      <w:hyperlink r:id="rId6" w:history="1">
        <w:r w:rsidR="008B56EC" w:rsidRPr="00CE57BD">
          <w:rPr>
            <w:rStyle w:val="Hyperlink"/>
            <w:rFonts w:cstheme="minorHAnsi"/>
            <w:sz w:val="24"/>
            <w:szCs w:val="24"/>
          </w:rPr>
          <w:t xml:space="preserve">N12 - </w:t>
        </w:r>
        <w:r w:rsidR="008B56EC" w:rsidRPr="00CE57BD">
          <w:rPr>
            <w:rStyle w:val="Hyperlink"/>
            <w:rFonts w:cstheme="minorHAnsi"/>
            <w:sz w:val="24"/>
            <w:szCs w:val="24"/>
            <w:rtl/>
          </w:rPr>
          <w:t>המתיחות בין טורקיה לישראל והשחקנית המפתיעה שתשנה את</w:t>
        </w:r>
        <w:r w:rsidR="008B56EC" w:rsidRPr="00CE57BD">
          <w:rPr>
            <w:rStyle w:val="Hyperlink"/>
            <w:rFonts w:cstheme="minorHAnsi"/>
            <w:sz w:val="24"/>
            <w:szCs w:val="24"/>
          </w:rPr>
          <w:t>... (mako.co.il)</w:t>
        </w:r>
      </w:hyperlink>
    </w:p>
    <w:p w14:paraId="6C9B8D7F" w14:textId="2848F825" w:rsidR="004B7FC3" w:rsidRPr="00CE57BD" w:rsidRDefault="00000000" w:rsidP="00192F8B">
      <w:pPr>
        <w:jc w:val="both"/>
        <w:rPr>
          <w:rFonts w:cstheme="minorHAnsi"/>
          <w:sz w:val="24"/>
          <w:szCs w:val="24"/>
        </w:rPr>
      </w:pPr>
      <w:hyperlink r:id="rId7" w:history="1">
        <w:r w:rsidR="004B7FC3" w:rsidRPr="00CE57BD">
          <w:rPr>
            <w:rStyle w:val="Hyperlink"/>
            <w:rFonts w:cstheme="minorHAnsi"/>
            <w:sz w:val="24"/>
            <w:szCs w:val="24"/>
          </w:rPr>
          <w:t>Vietnam 2024 Outlook | The Investor's Guide to Growth - KPMG Vietnam</w:t>
        </w:r>
      </w:hyperlink>
    </w:p>
    <w:p w14:paraId="74C618F6" w14:textId="3446A368" w:rsidR="004B7FC3" w:rsidRPr="00CE57BD" w:rsidRDefault="00000000" w:rsidP="00192F8B">
      <w:pPr>
        <w:jc w:val="both"/>
        <w:rPr>
          <w:rFonts w:cstheme="minorHAnsi"/>
          <w:sz w:val="24"/>
          <w:szCs w:val="24"/>
          <w:rtl/>
        </w:rPr>
      </w:pPr>
      <w:hyperlink r:id="rId8" w:history="1">
        <w:r w:rsidR="004B7FC3" w:rsidRPr="00CE57BD">
          <w:rPr>
            <w:rStyle w:val="Hyperlink"/>
            <w:rFonts w:cstheme="minorHAnsi"/>
            <w:sz w:val="24"/>
            <w:szCs w:val="24"/>
          </w:rPr>
          <w:t>rsm_doing_business_in_thailand_-_updated_10_may_2022-release.pdf</w:t>
        </w:r>
      </w:hyperlink>
    </w:p>
    <w:p w14:paraId="58AA4DB0" w14:textId="7AA3603C" w:rsidR="004B7FC3" w:rsidRPr="00CE57BD" w:rsidRDefault="00000000" w:rsidP="00192F8B">
      <w:pPr>
        <w:jc w:val="both"/>
        <w:rPr>
          <w:rFonts w:cstheme="minorHAnsi"/>
          <w:sz w:val="24"/>
          <w:szCs w:val="24"/>
        </w:rPr>
      </w:pPr>
      <w:hyperlink r:id="rId9" w:history="1">
        <w:r w:rsidR="004B7FC3" w:rsidRPr="00CE57BD">
          <w:rPr>
            <w:rStyle w:val="Hyperlink"/>
            <w:rFonts w:cstheme="minorHAnsi"/>
            <w:sz w:val="24"/>
            <w:szCs w:val="24"/>
          </w:rPr>
          <w:t>The Philippines economy in 2024 | McKinsey</w:t>
        </w:r>
      </w:hyperlink>
    </w:p>
    <w:p w14:paraId="7EAC3E1F" w14:textId="77777777" w:rsidR="004B7FC3" w:rsidRPr="00CE57BD" w:rsidRDefault="004B7FC3" w:rsidP="00192F8B">
      <w:pPr>
        <w:jc w:val="both"/>
        <w:rPr>
          <w:rFonts w:cstheme="minorHAnsi"/>
          <w:sz w:val="24"/>
          <w:szCs w:val="24"/>
          <w:rtl/>
        </w:rPr>
      </w:pPr>
    </w:p>
    <w:p w14:paraId="785AF309" w14:textId="77777777" w:rsidR="004B7FC3" w:rsidRPr="00CE57BD" w:rsidRDefault="004B7FC3" w:rsidP="005D2A3F">
      <w:pPr>
        <w:rPr>
          <w:rFonts w:cstheme="minorHAnsi"/>
          <w:sz w:val="24"/>
          <w:szCs w:val="24"/>
          <w:rtl/>
        </w:rPr>
      </w:pPr>
    </w:p>
    <w:sectPr w:rsidR="004B7FC3" w:rsidRPr="00CE57BD" w:rsidSect="00FF723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50F"/>
    <w:rsid w:val="000D6E60"/>
    <w:rsid w:val="000E5B2B"/>
    <w:rsid w:val="00103A2A"/>
    <w:rsid w:val="001774C0"/>
    <w:rsid w:val="00187060"/>
    <w:rsid w:val="00187CF3"/>
    <w:rsid w:val="00192F8B"/>
    <w:rsid w:val="002016B8"/>
    <w:rsid w:val="00212580"/>
    <w:rsid w:val="00307F3F"/>
    <w:rsid w:val="0031184B"/>
    <w:rsid w:val="003205D1"/>
    <w:rsid w:val="003E145D"/>
    <w:rsid w:val="004B7FC3"/>
    <w:rsid w:val="004D5AF8"/>
    <w:rsid w:val="005D2A3F"/>
    <w:rsid w:val="0070109E"/>
    <w:rsid w:val="008178B9"/>
    <w:rsid w:val="00820F97"/>
    <w:rsid w:val="008B38A5"/>
    <w:rsid w:val="008B56EC"/>
    <w:rsid w:val="00917734"/>
    <w:rsid w:val="00943A36"/>
    <w:rsid w:val="00986D0E"/>
    <w:rsid w:val="00997669"/>
    <w:rsid w:val="00CA1F25"/>
    <w:rsid w:val="00CE57BD"/>
    <w:rsid w:val="00D3150F"/>
    <w:rsid w:val="00E21628"/>
    <w:rsid w:val="00F375B5"/>
    <w:rsid w:val="00FF72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C8D2"/>
  <w15:chartTrackingRefBased/>
  <w15:docId w15:val="{06738B43-85B7-4AB4-80A9-B3D42445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2">
    <w:name w:val="heading 2"/>
    <w:basedOn w:val="a"/>
    <w:next w:val="a"/>
    <w:link w:val="20"/>
    <w:uiPriority w:val="9"/>
    <w:semiHidden/>
    <w:unhideWhenUsed/>
    <w:qFormat/>
    <w:rsid w:val="002016B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1258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basedOn w:val="a0"/>
    <w:rsid w:val="00D3150F"/>
  </w:style>
  <w:style w:type="character" w:customStyle="1" w:styleId="20">
    <w:name w:val="כותרת 2 תו"/>
    <w:basedOn w:val="a0"/>
    <w:link w:val="2"/>
    <w:uiPriority w:val="9"/>
    <w:semiHidden/>
    <w:rsid w:val="002016B8"/>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semiHidden/>
    <w:rsid w:val="00212580"/>
    <w:rPr>
      <w:rFonts w:asciiTheme="majorHAnsi" w:eastAsiaTheme="majorEastAsia" w:hAnsiTheme="majorHAnsi" w:cstheme="majorBidi"/>
      <w:color w:val="243F60" w:themeColor="accent1" w:themeShade="7F"/>
      <w:sz w:val="24"/>
      <w:szCs w:val="24"/>
    </w:rPr>
  </w:style>
  <w:style w:type="character" w:styleId="Hyperlink">
    <w:name w:val="Hyperlink"/>
    <w:basedOn w:val="a0"/>
    <w:uiPriority w:val="99"/>
    <w:semiHidden/>
    <w:unhideWhenUsed/>
    <w:rsid w:val="004B7F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160914">
      <w:bodyDiv w:val="1"/>
      <w:marLeft w:val="0"/>
      <w:marRight w:val="0"/>
      <w:marTop w:val="0"/>
      <w:marBottom w:val="0"/>
      <w:divBdr>
        <w:top w:val="none" w:sz="0" w:space="0" w:color="auto"/>
        <w:left w:val="none" w:sz="0" w:space="0" w:color="auto"/>
        <w:bottom w:val="none" w:sz="0" w:space="0" w:color="auto"/>
        <w:right w:val="none" w:sz="0" w:space="0" w:color="auto"/>
      </w:divBdr>
    </w:div>
    <w:div w:id="785657559">
      <w:bodyDiv w:val="1"/>
      <w:marLeft w:val="0"/>
      <w:marRight w:val="0"/>
      <w:marTop w:val="0"/>
      <w:marBottom w:val="0"/>
      <w:divBdr>
        <w:top w:val="none" w:sz="0" w:space="0" w:color="auto"/>
        <w:left w:val="none" w:sz="0" w:space="0" w:color="auto"/>
        <w:bottom w:val="none" w:sz="0" w:space="0" w:color="auto"/>
        <w:right w:val="none" w:sz="0" w:space="0" w:color="auto"/>
      </w:divBdr>
      <w:divsChild>
        <w:div w:id="1335569050">
          <w:marLeft w:val="0"/>
          <w:marRight w:val="0"/>
          <w:marTop w:val="0"/>
          <w:marBottom w:val="0"/>
          <w:divBdr>
            <w:top w:val="none" w:sz="0" w:space="0" w:color="auto"/>
            <w:left w:val="none" w:sz="0" w:space="0" w:color="auto"/>
            <w:bottom w:val="none" w:sz="0" w:space="0" w:color="auto"/>
            <w:right w:val="none" w:sz="0" w:space="0" w:color="auto"/>
          </w:divBdr>
        </w:div>
        <w:div w:id="1109859861">
          <w:marLeft w:val="0"/>
          <w:marRight w:val="0"/>
          <w:marTop w:val="0"/>
          <w:marBottom w:val="0"/>
          <w:divBdr>
            <w:top w:val="none" w:sz="0" w:space="0" w:color="auto"/>
            <w:left w:val="none" w:sz="0" w:space="0" w:color="auto"/>
            <w:bottom w:val="none" w:sz="0" w:space="0" w:color="auto"/>
            <w:right w:val="none" w:sz="0" w:space="0" w:color="auto"/>
          </w:divBdr>
          <w:divsChild>
            <w:div w:id="2147047839">
              <w:marLeft w:val="0"/>
              <w:marRight w:val="0"/>
              <w:marTop w:val="0"/>
              <w:marBottom w:val="0"/>
              <w:divBdr>
                <w:top w:val="none" w:sz="0" w:space="0" w:color="auto"/>
                <w:left w:val="none" w:sz="0" w:space="0" w:color="auto"/>
                <w:bottom w:val="none" w:sz="0" w:space="0" w:color="auto"/>
                <w:right w:val="none" w:sz="0" w:space="0" w:color="auto"/>
              </w:divBdr>
              <w:divsChild>
                <w:div w:id="229465365">
                  <w:marLeft w:val="0"/>
                  <w:marRight w:val="0"/>
                  <w:marTop w:val="0"/>
                  <w:marBottom w:val="0"/>
                  <w:divBdr>
                    <w:top w:val="none" w:sz="0" w:space="0" w:color="auto"/>
                    <w:left w:val="none" w:sz="0" w:space="0" w:color="auto"/>
                    <w:bottom w:val="none" w:sz="0" w:space="0" w:color="auto"/>
                    <w:right w:val="none" w:sz="0" w:space="0" w:color="auto"/>
                  </w:divBdr>
                  <w:divsChild>
                    <w:div w:id="20983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21660">
      <w:bodyDiv w:val="1"/>
      <w:marLeft w:val="0"/>
      <w:marRight w:val="0"/>
      <w:marTop w:val="0"/>
      <w:marBottom w:val="0"/>
      <w:divBdr>
        <w:top w:val="none" w:sz="0" w:space="0" w:color="auto"/>
        <w:left w:val="none" w:sz="0" w:space="0" w:color="auto"/>
        <w:bottom w:val="none" w:sz="0" w:space="0" w:color="auto"/>
        <w:right w:val="none" w:sz="0" w:space="0" w:color="auto"/>
      </w:divBdr>
      <w:divsChild>
        <w:div w:id="625963016">
          <w:marLeft w:val="0"/>
          <w:marRight w:val="0"/>
          <w:marTop w:val="0"/>
          <w:marBottom w:val="0"/>
          <w:divBdr>
            <w:top w:val="none" w:sz="0" w:space="0" w:color="auto"/>
            <w:left w:val="none" w:sz="0" w:space="0" w:color="auto"/>
            <w:bottom w:val="none" w:sz="0" w:space="0" w:color="auto"/>
            <w:right w:val="none" w:sz="0" w:space="0" w:color="auto"/>
          </w:divBdr>
        </w:div>
        <w:div w:id="303588630">
          <w:marLeft w:val="0"/>
          <w:marRight w:val="0"/>
          <w:marTop w:val="0"/>
          <w:marBottom w:val="0"/>
          <w:divBdr>
            <w:top w:val="none" w:sz="0" w:space="0" w:color="auto"/>
            <w:left w:val="none" w:sz="0" w:space="0" w:color="auto"/>
            <w:bottom w:val="none" w:sz="0" w:space="0" w:color="auto"/>
            <w:right w:val="none" w:sz="0" w:space="0" w:color="auto"/>
          </w:divBdr>
          <w:divsChild>
            <w:div w:id="1301958719">
              <w:marLeft w:val="0"/>
              <w:marRight w:val="0"/>
              <w:marTop w:val="0"/>
              <w:marBottom w:val="0"/>
              <w:divBdr>
                <w:top w:val="none" w:sz="0" w:space="0" w:color="auto"/>
                <w:left w:val="none" w:sz="0" w:space="0" w:color="auto"/>
                <w:bottom w:val="none" w:sz="0" w:space="0" w:color="auto"/>
                <w:right w:val="none" w:sz="0" w:space="0" w:color="auto"/>
              </w:divBdr>
              <w:divsChild>
                <w:div w:id="21284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1538">
          <w:marLeft w:val="0"/>
          <w:marRight w:val="0"/>
          <w:marTop w:val="0"/>
          <w:marBottom w:val="0"/>
          <w:divBdr>
            <w:top w:val="none" w:sz="0" w:space="0" w:color="auto"/>
            <w:left w:val="none" w:sz="0" w:space="0" w:color="auto"/>
            <w:bottom w:val="none" w:sz="0" w:space="0" w:color="auto"/>
            <w:right w:val="none" w:sz="0" w:space="0" w:color="auto"/>
          </w:divBdr>
        </w:div>
        <w:div w:id="403840525">
          <w:marLeft w:val="0"/>
          <w:marRight w:val="0"/>
          <w:marTop w:val="0"/>
          <w:marBottom w:val="0"/>
          <w:divBdr>
            <w:top w:val="none" w:sz="0" w:space="0" w:color="auto"/>
            <w:left w:val="none" w:sz="0" w:space="0" w:color="auto"/>
            <w:bottom w:val="none" w:sz="0" w:space="0" w:color="auto"/>
            <w:right w:val="none" w:sz="0" w:space="0" w:color="auto"/>
          </w:divBdr>
          <w:divsChild>
            <w:div w:id="181673510">
              <w:marLeft w:val="0"/>
              <w:marRight w:val="0"/>
              <w:marTop w:val="0"/>
              <w:marBottom w:val="0"/>
              <w:divBdr>
                <w:top w:val="none" w:sz="0" w:space="0" w:color="auto"/>
                <w:left w:val="none" w:sz="0" w:space="0" w:color="auto"/>
                <w:bottom w:val="none" w:sz="0" w:space="0" w:color="auto"/>
                <w:right w:val="none" w:sz="0" w:space="0" w:color="auto"/>
              </w:divBdr>
              <w:divsChild>
                <w:div w:id="1668361896">
                  <w:marLeft w:val="0"/>
                  <w:marRight w:val="0"/>
                  <w:marTop w:val="0"/>
                  <w:marBottom w:val="0"/>
                  <w:divBdr>
                    <w:top w:val="none" w:sz="0" w:space="0" w:color="auto"/>
                    <w:left w:val="none" w:sz="0" w:space="0" w:color="auto"/>
                    <w:bottom w:val="none" w:sz="0" w:space="0" w:color="auto"/>
                    <w:right w:val="none" w:sz="0" w:space="0" w:color="auto"/>
                  </w:divBdr>
                  <w:divsChild>
                    <w:div w:id="395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sm.global/thailand/sites/default/files/media/RSMTH/Doing%20Business%20In%20Thailand/rsm_doing_business_in_thailand_-_updated_10_may_2022-release.pdf" TargetMode="External"/><Relationship Id="rId3" Type="http://schemas.openxmlformats.org/officeDocument/2006/relationships/webSettings" Target="webSettings.xml"/><Relationship Id="rId7" Type="http://schemas.openxmlformats.org/officeDocument/2006/relationships/hyperlink" Target="https://kpmg.com/vn/en/home/insights/2024/03/vietnam-2024-outlook-the-investor-guide-to-growth.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ko.co.il/news-diplomatic/2024_q2/Article-450aa27aa4d2f81026.htm" TargetMode="External"/><Relationship Id="rId11" Type="http://schemas.openxmlformats.org/officeDocument/2006/relationships/theme" Target="theme/theme1.xml"/><Relationship Id="rId5" Type="http://schemas.openxmlformats.org/officeDocument/2006/relationships/hyperlink" Target="https://impact.economist.com/projects/trade-in-transition/regional-analysis-asia-pacific" TargetMode="External"/><Relationship Id="rId10" Type="http://schemas.openxmlformats.org/officeDocument/2006/relationships/fontTable" Target="fontTable.xml"/><Relationship Id="rId4" Type="http://schemas.openxmlformats.org/officeDocument/2006/relationships/hyperlink" Target="https://www.acclime.com/insights/why-expand-your-business-to-asia/" TargetMode="External"/><Relationship Id="rId9" Type="http://schemas.openxmlformats.org/officeDocument/2006/relationships/hyperlink" Target="https://www.mckinsey.com/ph/our-insights/the-philippines-economy-in-2024-stronger-for-long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3691</Characters>
  <Application>Microsoft Office Word</Application>
  <DocSecurity>0</DocSecurity>
  <Lines>230</Lines>
  <Paragraphs>152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רקע על אסיה עבור יום פגישות עם הנספחים של ויטנאם תאילנד והפיליפינים</dc:title>
  <dc:subject>אור</dc:subject>
  <dc:creator>Windows User</dc:creator>
  <cp:keywords/>
  <dc:description/>
  <cp:lastModifiedBy>Yonat Keren - Chamber of Commerce</cp:lastModifiedBy>
  <cp:revision>2</cp:revision>
  <dcterms:created xsi:type="dcterms:W3CDTF">2024-05-23T08:43:00Z</dcterms:created>
  <dcterms:modified xsi:type="dcterms:W3CDTF">2024-05-23T08:43:00Z</dcterms:modified>
</cp:coreProperties>
</file>