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A2BE9" w14:textId="77777777" w:rsidR="009923FC" w:rsidRDefault="009923FC" w:rsidP="005F0271">
      <w:pPr>
        <w:jc w:val="center"/>
        <w:rPr>
          <w:b/>
          <w:bCs/>
          <w:sz w:val="26"/>
          <w:szCs w:val="26"/>
          <w:rtl/>
        </w:rPr>
      </w:pPr>
      <w:r>
        <w:rPr>
          <w:noProof/>
        </w:rPr>
        <w:drawing>
          <wp:inline distT="0" distB="0" distL="0" distR="0" wp14:anchorId="7DE8A5DE" wp14:editId="61302644">
            <wp:extent cx="509905" cy="624205"/>
            <wp:effectExtent l="0" t="0" r="4445" b="4445"/>
            <wp:docPr id="1" name="תמונה 1" descr="סמל המדינה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סמל המדינה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3571F" w14:textId="77777777" w:rsidR="009923FC" w:rsidRDefault="009923FC" w:rsidP="005F0271">
      <w:pPr>
        <w:rPr>
          <w:b/>
          <w:bCs/>
          <w:sz w:val="26"/>
          <w:szCs w:val="26"/>
          <w:rtl/>
        </w:rPr>
      </w:pPr>
      <w:r w:rsidRPr="00CB5068">
        <w:rPr>
          <w:b/>
          <w:bCs/>
          <w:sz w:val="26"/>
          <w:szCs w:val="26"/>
          <w:rtl/>
        </w:rPr>
        <w:t>תוכן עניינים</w:t>
      </w:r>
    </w:p>
    <w:p w14:paraId="6B71B117" w14:textId="4907F1A8" w:rsidR="009923FC" w:rsidRDefault="009923FC" w:rsidP="009923FC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"1-9" \h \z \t "Table SideHeading,3,Table Head,2,Head HatzaotHok,1,Head DivreiHesber,2,Head HatzaotHok4Futer,1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  <w:hyperlink w:anchor="_Toc159500633" w:history="1">
        <w:r w:rsidRPr="00FA23C8">
          <w:rPr>
            <w:rStyle w:val="Hyperlink"/>
            <w:noProof/>
            <w:rtl/>
          </w:rPr>
          <w:t>טיוטת תקנות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_Toc159500633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3A3A543" w14:textId="13B9FC9F" w:rsidR="009923FC" w:rsidRDefault="007043B0" w:rsidP="009923FC">
      <w:pPr>
        <w:pStyle w:val="TOC4"/>
        <w:rPr>
          <w:rFonts w:cstheme="minorBidi"/>
        </w:rPr>
      </w:pPr>
      <w:hyperlink w:anchor="_Toc159500634" w:history="1">
        <w:r w:rsidR="009923FC" w:rsidRPr="00FA23C8">
          <w:rPr>
            <w:rStyle w:val="Hyperlink"/>
            <w:rtl/>
          </w:rPr>
          <w:t>א. שם התקנות המוצעות</w:t>
        </w:r>
        <w:r w:rsidR="009923FC">
          <w:rPr>
            <w:webHidden/>
          </w:rPr>
          <w:tab/>
        </w:r>
        <w:r w:rsidR="009923FC">
          <w:rPr>
            <w:webHidden/>
          </w:rPr>
          <w:fldChar w:fldCharType="begin"/>
        </w:r>
        <w:r w:rsidR="009923FC">
          <w:rPr>
            <w:webHidden/>
          </w:rPr>
          <w:instrText xml:space="preserve"> PAGEREF _Toc159500634 \h </w:instrText>
        </w:r>
        <w:r w:rsidR="009923FC">
          <w:rPr>
            <w:webHidden/>
          </w:rPr>
        </w:r>
        <w:r w:rsidR="009923FC">
          <w:rPr>
            <w:webHidden/>
          </w:rPr>
          <w:fldChar w:fldCharType="separate"/>
        </w:r>
        <w:r w:rsidR="009923FC">
          <w:rPr>
            <w:webHidden/>
          </w:rPr>
          <w:t>2</w:t>
        </w:r>
        <w:r w:rsidR="009923FC">
          <w:rPr>
            <w:webHidden/>
          </w:rPr>
          <w:fldChar w:fldCharType="end"/>
        </w:r>
      </w:hyperlink>
    </w:p>
    <w:p w14:paraId="3807B004" w14:textId="7716B062" w:rsidR="009923FC" w:rsidRDefault="007043B0" w:rsidP="009923FC">
      <w:pPr>
        <w:pStyle w:val="TOC4"/>
        <w:rPr>
          <w:rFonts w:cstheme="minorBidi"/>
        </w:rPr>
      </w:pPr>
      <w:hyperlink w:anchor="_Toc159500635" w:history="1">
        <w:r w:rsidR="009923FC" w:rsidRPr="00FA23C8">
          <w:rPr>
            <w:rStyle w:val="Hyperlink"/>
            <w:rtl/>
          </w:rPr>
          <w:t>ב. מטרת התקנות המוצעות והצורך בהן</w:t>
        </w:r>
        <w:r w:rsidR="009923FC">
          <w:rPr>
            <w:webHidden/>
          </w:rPr>
          <w:tab/>
        </w:r>
        <w:r w:rsidR="009923FC">
          <w:rPr>
            <w:webHidden/>
          </w:rPr>
          <w:fldChar w:fldCharType="begin"/>
        </w:r>
        <w:r w:rsidR="009923FC">
          <w:rPr>
            <w:webHidden/>
          </w:rPr>
          <w:instrText xml:space="preserve"> PAGEREF _Toc159500635 \h </w:instrText>
        </w:r>
        <w:r w:rsidR="009923FC">
          <w:rPr>
            <w:webHidden/>
          </w:rPr>
        </w:r>
        <w:r w:rsidR="009923FC">
          <w:rPr>
            <w:webHidden/>
          </w:rPr>
          <w:fldChar w:fldCharType="separate"/>
        </w:r>
        <w:r w:rsidR="009923FC">
          <w:rPr>
            <w:webHidden/>
          </w:rPr>
          <w:t>2</w:t>
        </w:r>
        <w:r w:rsidR="009923FC">
          <w:rPr>
            <w:webHidden/>
          </w:rPr>
          <w:fldChar w:fldCharType="end"/>
        </w:r>
      </w:hyperlink>
    </w:p>
    <w:p w14:paraId="19F85788" w14:textId="07EDB937" w:rsidR="009923FC" w:rsidRDefault="007043B0" w:rsidP="009923FC">
      <w:pPr>
        <w:pStyle w:val="TOC4"/>
        <w:rPr>
          <w:rFonts w:cstheme="minorBidi"/>
        </w:rPr>
      </w:pPr>
      <w:hyperlink w:anchor="_Toc159500636" w:history="1">
        <w:r w:rsidR="009923FC" w:rsidRPr="00FA23C8">
          <w:rPr>
            <w:rStyle w:val="Hyperlink"/>
            <w:rtl/>
          </w:rPr>
          <w:t>ג. להלן נוסח טיוטת התקנות המוצעות:</w:t>
        </w:r>
        <w:r w:rsidR="009923FC">
          <w:rPr>
            <w:webHidden/>
          </w:rPr>
          <w:tab/>
        </w:r>
        <w:r w:rsidR="009923FC">
          <w:rPr>
            <w:webHidden/>
          </w:rPr>
          <w:fldChar w:fldCharType="begin"/>
        </w:r>
        <w:r w:rsidR="009923FC">
          <w:rPr>
            <w:webHidden/>
          </w:rPr>
          <w:instrText xml:space="preserve"> PAGEREF _Toc159500636 \h </w:instrText>
        </w:r>
        <w:r w:rsidR="009923FC">
          <w:rPr>
            <w:webHidden/>
          </w:rPr>
        </w:r>
        <w:r w:rsidR="009923FC">
          <w:rPr>
            <w:webHidden/>
          </w:rPr>
          <w:fldChar w:fldCharType="separate"/>
        </w:r>
        <w:r w:rsidR="009923FC">
          <w:rPr>
            <w:webHidden/>
          </w:rPr>
          <w:t>2</w:t>
        </w:r>
        <w:r w:rsidR="009923FC">
          <w:rPr>
            <w:webHidden/>
          </w:rPr>
          <w:fldChar w:fldCharType="end"/>
        </w:r>
      </w:hyperlink>
    </w:p>
    <w:p w14:paraId="6742BA38" w14:textId="4E2724B1" w:rsidR="009923FC" w:rsidRDefault="007043B0" w:rsidP="009923FC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159500637" w:history="1">
        <w:r w:rsidR="009923FC" w:rsidRPr="00FA23C8">
          <w:rPr>
            <w:rStyle w:val="Hyperlink"/>
            <w:noProof/>
            <w:rtl/>
          </w:rPr>
          <w:t>טיוטת תקנות התקנים (הפחתה של סכומי עיצום כספי)(תיקון מס'...), התשפ"ד–2024</w:t>
        </w:r>
        <w:r w:rsidR="009923FC">
          <w:rPr>
            <w:noProof/>
            <w:webHidden/>
          </w:rPr>
          <w:tab/>
        </w:r>
        <w:r w:rsidR="009923FC">
          <w:rPr>
            <w:noProof/>
            <w:webHidden/>
          </w:rPr>
          <w:fldChar w:fldCharType="begin"/>
        </w:r>
        <w:r w:rsidR="009923FC">
          <w:rPr>
            <w:noProof/>
            <w:webHidden/>
          </w:rPr>
          <w:instrText xml:space="preserve"> PAGEREF _Toc159500637 \h </w:instrText>
        </w:r>
        <w:r w:rsidR="009923FC">
          <w:rPr>
            <w:noProof/>
            <w:webHidden/>
          </w:rPr>
        </w:r>
        <w:r w:rsidR="009923FC">
          <w:rPr>
            <w:noProof/>
            <w:webHidden/>
          </w:rPr>
          <w:fldChar w:fldCharType="separate"/>
        </w:r>
        <w:r w:rsidR="009923FC">
          <w:rPr>
            <w:noProof/>
            <w:webHidden/>
          </w:rPr>
          <w:t>3</w:t>
        </w:r>
        <w:r w:rsidR="009923FC">
          <w:rPr>
            <w:noProof/>
            <w:webHidden/>
          </w:rPr>
          <w:fldChar w:fldCharType="end"/>
        </w:r>
      </w:hyperlink>
    </w:p>
    <w:p w14:paraId="05EEF0EE" w14:textId="2A07C5B5" w:rsidR="009923FC" w:rsidRDefault="007043B0" w:rsidP="009923FC">
      <w:pPr>
        <w:pStyle w:val="TOC3"/>
        <w:rPr>
          <w:rFonts w:asciiTheme="minorHAnsi" w:eastAsiaTheme="minorEastAsia" w:hAnsiTheme="minorHAnsi" w:cstheme="minorBidi"/>
          <w:noProof/>
          <w:sz w:val="22"/>
        </w:rPr>
      </w:pPr>
      <w:hyperlink w:anchor="_Toc159500638" w:history="1">
        <w:r w:rsidR="009923FC" w:rsidRPr="00FA23C8">
          <w:rPr>
            <w:rStyle w:val="Hyperlink"/>
            <w:noProof/>
            <w:rtl/>
          </w:rPr>
          <w:t>תיקון תקנה 2</w:t>
        </w:r>
        <w:r w:rsidR="009923FC">
          <w:rPr>
            <w:noProof/>
            <w:webHidden/>
          </w:rPr>
          <w:tab/>
        </w:r>
        <w:r w:rsidR="009923FC">
          <w:rPr>
            <w:noProof/>
            <w:webHidden/>
          </w:rPr>
          <w:fldChar w:fldCharType="begin"/>
        </w:r>
        <w:r w:rsidR="009923FC">
          <w:rPr>
            <w:noProof/>
            <w:webHidden/>
          </w:rPr>
          <w:instrText xml:space="preserve"> PAGEREF _Toc159500638 \h </w:instrText>
        </w:r>
        <w:r w:rsidR="009923FC">
          <w:rPr>
            <w:noProof/>
            <w:webHidden/>
          </w:rPr>
        </w:r>
        <w:r w:rsidR="009923FC">
          <w:rPr>
            <w:noProof/>
            <w:webHidden/>
          </w:rPr>
          <w:fldChar w:fldCharType="separate"/>
        </w:r>
        <w:r w:rsidR="009923FC">
          <w:rPr>
            <w:noProof/>
            <w:webHidden/>
          </w:rPr>
          <w:t>3</w:t>
        </w:r>
        <w:r w:rsidR="009923FC">
          <w:rPr>
            <w:noProof/>
            <w:webHidden/>
          </w:rPr>
          <w:fldChar w:fldCharType="end"/>
        </w:r>
      </w:hyperlink>
    </w:p>
    <w:p w14:paraId="3A9D943B" w14:textId="4FB4E595" w:rsidR="009923FC" w:rsidRDefault="007043B0" w:rsidP="009923FC">
      <w:pPr>
        <w:pStyle w:val="TOC3"/>
        <w:rPr>
          <w:rFonts w:asciiTheme="minorHAnsi" w:eastAsiaTheme="minorEastAsia" w:hAnsiTheme="minorHAnsi" w:cstheme="minorBidi"/>
          <w:noProof/>
          <w:sz w:val="22"/>
        </w:rPr>
      </w:pPr>
      <w:hyperlink w:anchor="_Toc159500639" w:history="1">
        <w:r w:rsidR="009923FC" w:rsidRPr="00FA23C8">
          <w:rPr>
            <w:rStyle w:val="Hyperlink"/>
            <w:noProof/>
            <w:rtl/>
          </w:rPr>
          <w:t>תחילה</w:t>
        </w:r>
        <w:r w:rsidR="009923FC">
          <w:rPr>
            <w:noProof/>
            <w:webHidden/>
          </w:rPr>
          <w:tab/>
        </w:r>
        <w:r w:rsidR="009923FC">
          <w:rPr>
            <w:noProof/>
            <w:webHidden/>
          </w:rPr>
          <w:fldChar w:fldCharType="begin"/>
        </w:r>
        <w:r w:rsidR="009923FC">
          <w:rPr>
            <w:noProof/>
            <w:webHidden/>
          </w:rPr>
          <w:instrText xml:space="preserve"> PAGEREF _Toc159500639 \h </w:instrText>
        </w:r>
        <w:r w:rsidR="009923FC">
          <w:rPr>
            <w:noProof/>
            <w:webHidden/>
          </w:rPr>
        </w:r>
        <w:r w:rsidR="009923FC">
          <w:rPr>
            <w:noProof/>
            <w:webHidden/>
          </w:rPr>
          <w:fldChar w:fldCharType="separate"/>
        </w:r>
        <w:r w:rsidR="009923FC">
          <w:rPr>
            <w:noProof/>
            <w:webHidden/>
          </w:rPr>
          <w:t>3</w:t>
        </w:r>
        <w:r w:rsidR="009923FC">
          <w:rPr>
            <w:noProof/>
            <w:webHidden/>
          </w:rPr>
          <w:fldChar w:fldCharType="end"/>
        </w:r>
      </w:hyperlink>
    </w:p>
    <w:p w14:paraId="4A4C76FF" w14:textId="6A465E1B" w:rsidR="009923FC" w:rsidRDefault="007043B0" w:rsidP="009923FC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159500640" w:history="1">
        <w:r w:rsidR="009923FC" w:rsidRPr="00FA23C8">
          <w:rPr>
            <w:rStyle w:val="Hyperlink"/>
            <w:noProof/>
            <w:rtl/>
          </w:rPr>
          <w:t>דברי הסבר</w:t>
        </w:r>
        <w:r w:rsidR="009923FC">
          <w:rPr>
            <w:noProof/>
            <w:webHidden/>
          </w:rPr>
          <w:tab/>
        </w:r>
        <w:r w:rsidR="009923FC">
          <w:rPr>
            <w:noProof/>
            <w:webHidden/>
          </w:rPr>
          <w:fldChar w:fldCharType="begin"/>
        </w:r>
        <w:r w:rsidR="009923FC">
          <w:rPr>
            <w:noProof/>
            <w:webHidden/>
          </w:rPr>
          <w:instrText xml:space="preserve"> PAGEREF _Toc159500640 \h </w:instrText>
        </w:r>
        <w:r w:rsidR="009923FC">
          <w:rPr>
            <w:noProof/>
            <w:webHidden/>
          </w:rPr>
        </w:r>
        <w:r w:rsidR="009923FC">
          <w:rPr>
            <w:noProof/>
            <w:webHidden/>
          </w:rPr>
          <w:fldChar w:fldCharType="separate"/>
        </w:r>
        <w:r w:rsidR="009923FC">
          <w:rPr>
            <w:noProof/>
            <w:webHidden/>
          </w:rPr>
          <w:t>3</w:t>
        </w:r>
        <w:r w:rsidR="009923FC">
          <w:rPr>
            <w:noProof/>
            <w:webHidden/>
          </w:rPr>
          <w:fldChar w:fldCharType="end"/>
        </w:r>
      </w:hyperlink>
    </w:p>
    <w:p w14:paraId="2D4CFF3E" w14:textId="03D05C4D" w:rsidR="009923FC" w:rsidRDefault="009923FC" w:rsidP="009923FC">
      <w:pPr>
        <w:rPr>
          <w:snapToGrid w:val="0"/>
          <w:rtl/>
        </w:rPr>
      </w:pPr>
      <w:r>
        <w:rPr>
          <w:rtl/>
        </w:rPr>
        <w:fldChar w:fldCharType="end"/>
      </w:r>
      <w:r>
        <w:rPr>
          <w:rtl/>
        </w:rPr>
        <w:br w:type="page"/>
      </w:r>
    </w:p>
    <w:p w14:paraId="16600F7F" w14:textId="77777777" w:rsidR="00902EC1" w:rsidRDefault="00902EC1" w:rsidP="00722C14">
      <w:pPr>
        <w:pStyle w:val="1"/>
        <w:keepNext w:val="0"/>
        <w:keepLines w:val="0"/>
      </w:pPr>
      <w:bookmarkStart w:id="0" w:name="_Toc159500633"/>
      <w:r>
        <w:rPr>
          <w:rtl/>
        </w:rPr>
        <w:lastRenderedPageBreak/>
        <w:t>טיוטת תקנות</w:t>
      </w:r>
      <w:bookmarkEnd w:id="0"/>
    </w:p>
    <w:p w14:paraId="7E3F43BD" w14:textId="77777777" w:rsidR="00902EC1" w:rsidRDefault="00902EC1" w:rsidP="00722C14">
      <w:pPr>
        <w:rPr>
          <w:rtl/>
        </w:rPr>
      </w:pPr>
    </w:p>
    <w:p w14:paraId="5C16AA3C" w14:textId="77777777" w:rsidR="00902EC1" w:rsidRDefault="00902EC1" w:rsidP="00F24A78">
      <w:pPr>
        <w:pStyle w:val="4"/>
        <w:rPr>
          <w:rtl/>
        </w:rPr>
      </w:pPr>
      <w:bookmarkStart w:id="1" w:name="_Toc159500634"/>
      <w:r>
        <w:rPr>
          <w:rFonts w:hint="cs"/>
          <w:rtl/>
        </w:rPr>
        <w:t>שם התקנות המוצעות</w:t>
      </w:r>
      <w:bookmarkEnd w:id="1"/>
    </w:p>
    <w:p w14:paraId="6C8DB44F" w14:textId="77777777" w:rsidR="00902EC1" w:rsidRDefault="00902EC1" w:rsidP="00722C14">
      <w:r w:rsidRPr="00902EC1">
        <w:rPr>
          <w:rtl/>
        </w:rPr>
        <w:t>התקנים (הפחתה של סכומי עיצום כספי)(תיקון מס'...), התשפ"ד-2024</w:t>
      </w:r>
    </w:p>
    <w:p w14:paraId="134B25DA" w14:textId="77777777" w:rsidR="00902EC1" w:rsidRDefault="00902EC1" w:rsidP="00722C14">
      <w:pPr>
        <w:rPr>
          <w:rtl/>
        </w:rPr>
      </w:pPr>
    </w:p>
    <w:p w14:paraId="44F7C615" w14:textId="77777777" w:rsidR="00902EC1" w:rsidRDefault="00902EC1" w:rsidP="00722C14">
      <w:pPr>
        <w:rPr>
          <w:rtl/>
        </w:rPr>
      </w:pPr>
    </w:p>
    <w:p w14:paraId="7076DBB5" w14:textId="77777777" w:rsidR="00902EC1" w:rsidRDefault="00902EC1" w:rsidP="00F24A78">
      <w:pPr>
        <w:pStyle w:val="4"/>
        <w:rPr>
          <w:rtl/>
        </w:rPr>
      </w:pPr>
      <w:bookmarkStart w:id="2" w:name="_Toc159500635"/>
      <w:r>
        <w:rPr>
          <w:rFonts w:hint="cs"/>
          <w:rtl/>
        </w:rPr>
        <w:t>מטרת התקנות המוצעות והצורך בהן</w:t>
      </w:r>
      <w:bookmarkEnd w:id="2"/>
      <w:r>
        <w:rPr>
          <w:rFonts w:hint="cs"/>
          <w:rtl/>
        </w:rPr>
        <w:t xml:space="preserve"> </w:t>
      </w:r>
    </w:p>
    <w:p w14:paraId="1AD7A4EB" w14:textId="16E4B956" w:rsidR="00902EC1" w:rsidRDefault="00902EC1" w:rsidP="00902EC1">
      <w:pPr>
        <w:rPr>
          <w:rtl/>
        </w:rPr>
      </w:pPr>
      <w:r>
        <w:rPr>
          <w:rtl/>
        </w:rPr>
        <w:t>כחלק מהמדיניות להקל בדרישות כלפי העוסקים והעברת מיקוד</w:t>
      </w:r>
      <w:r w:rsidR="00AD5656">
        <w:rPr>
          <w:rFonts w:hint="cs"/>
          <w:rtl/>
        </w:rPr>
        <w:t xml:space="preserve"> הפיקוח והאכיפה</w:t>
      </w:r>
      <w:r>
        <w:rPr>
          <w:rtl/>
        </w:rPr>
        <w:t xml:space="preserve"> ל</w:t>
      </w:r>
      <w:r w:rsidR="00AD5656">
        <w:rPr>
          <w:rFonts w:hint="cs"/>
          <w:rtl/>
        </w:rPr>
        <w:t>שלב ה</w:t>
      </w:r>
      <w:r>
        <w:rPr>
          <w:rtl/>
        </w:rPr>
        <w:t>שווקים, עולה חשיבותה של האכיפה העצמית</w:t>
      </w:r>
      <w:r w:rsidR="00AD5656">
        <w:rPr>
          <w:rFonts w:hint="cs"/>
          <w:rtl/>
        </w:rPr>
        <w:t xml:space="preserve"> </w:t>
      </w:r>
      <w:r w:rsidR="00312BF0">
        <w:rPr>
          <w:rFonts w:hint="cs"/>
          <w:rtl/>
        </w:rPr>
        <w:t xml:space="preserve">על ידי </w:t>
      </w:r>
      <w:r w:rsidR="00AD5656">
        <w:rPr>
          <w:rFonts w:hint="cs"/>
          <w:rtl/>
        </w:rPr>
        <w:t>העוסקים</w:t>
      </w:r>
      <w:r>
        <w:rPr>
          <w:rtl/>
        </w:rPr>
        <w:t xml:space="preserve">. חשיבות זו הוכנסה גם למדיניות האכיפה של הממונה על התקינה. </w:t>
      </w:r>
    </w:p>
    <w:p w14:paraId="5DDE9014" w14:textId="77777777" w:rsidR="00902EC1" w:rsidRDefault="00902EC1" w:rsidP="00902EC1">
      <w:pPr>
        <w:rPr>
          <w:rtl/>
        </w:rPr>
      </w:pPr>
      <w:r>
        <w:rPr>
          <w:rtl/>
        </w:rPr>
        <w:t>על כן, מוצע לאפשר הפחתה של סכומי העיצומים הכספיים מעוסקים שהממונה על התקינה השתכנע שהם נקטו פעולות מקדימות למניעת ההפרה.</w:t>
      </w:r>
    </w:p>
    <w:p w14:paraId="3E4A3EC2" w14:textId="77777777" w:rsidR="00902EC1" w:rsidRDefault="00902EC1" w:rsidP="00722C14">
      <w:pPr>
        <w:rPr>
          <w:rtl/>
        </w:rPr>
      </w:pPr>
    </w:p>
    <w:p w14:paraId="41567D1B" w14:textId="77777777" w:rsidR="00902EC1" w:rsidRDefault="00902EC1" w:rsidP="00F24A78">
      <w:pPr>
        <w:pStyle w:val="4"/>
      </w:pPr>
      <w:bookmarkStart w:id="3" w:name="_Toc159500636"/>
      <w:r>
        <w:rPr>
          <w:rFonts w:hint="cs"/>
          <w:rtl/>
        </w:rPr>
        <w:t>להלן נוסח טיוטת התקנות המוצעות:</w:t>
      </w:r>
      <w:bookmarkEnd w:id="3"/>
      <w:r>
        <w:rPr>
          <w:rFonts w:hint="cs"/>
          <w:rtl/>
        </w:rPr>
        <w:t xml:space="preserve"> </w:t>
      </w:r>
    </w:p>
    <w:p w14:paraId="2E0A4C7A" w14:textId="77777777" w:rsidR="00902EC1" w:rsidRDefault="00902EC1" w:rsidP="00722C14">
      <w:pPr>
        <w:bidi w:val="0"/>
      </w:pPr>
      <w:r>
        <w:rPr>
          <w:rtl/>
        </w:rPr>
        <w:br w:type="page"/>
      </w:r>
    </w:p>
    <w:p w14:paraId="5C24ABBA" w14:textId="77777777" w:rsidR="00902EC1" w:rsidRDefault="00902EC1" w:rsidP="00722C14">
      <w:pPr>
        <w:pStyle w:val="HeadMitparsemetBaze"/>
        <w:keepNext w:val="0"/>
        <w:keepLines w:val="0"/>
        <w:pageBreakBefore w:val="0"/>
        <w:rPr>
          <w:rtl/>
        </w:rPr>
      </w:pPr>
      <w:r>
        <w:rPr>
          <w:rtl/>
        </w:rPr>
        <w:lastRenderedPageBreak/>
        <w:t>טיוטת תקנות מטעם משרד</w:t>
      </w:r>
      <w:r w:rsidR="008F04EB">
        <w:rPr>
          <w:rFonts w:hint="cs"/>
          <w:rtl/>
        </w:rPr>
        <w:t xml:space="preserve"> הכלכלה והתעשייה</w:t>
      </w:r>
      <w:r>
        <w:rPr>
          <w:rtl/>
        </w:rPr>
        <w:t xml:space="preserve">: </w:t>
      </w:r>
    </w:p>
    <w:p w14:paraId="05DCDC62" w14:textId="77777777" w:rsidR="00902EC1" w:rsidRDefault="00902EC1" w:rsidP="00722C14">
      <w:pPr>
        <w:pStyle w:val="HeadHatzaotHok"/>
        <w:keepNext w:val="0"/>
        <w:keepLines w:val="0"/>
        <w:rPr>
          <w:rtl/>
        </w:rPr>
      </w:pPr>
      <w:bookmarkStart w:id="4" w:name="_Toc159500637"/>
      <w:bookmarkStart w:id="5" w:name="_GoBack"/>
      <w:r>
        <w:rPr>
          <w:rtl/>
        </w:rPr>
        <w:t xml:space="preserve">טיוטת תקנות </w:t>
      </w:r>
      <w:r>
        <w:rPr>
          <w:rFonts w:hint="cs"/>
          <w:rtl/>
        </w:rPr>
        <w:t>התקנים (הפחתה של סכומי עיצום כספי)</w:t>
      </w:r>
      <w:r>
        <w:rPr>
          <w:rtl/>
        </w:rPr>
        <w:t>(תיקון מס'...)</w:t>
      </w:r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התשפ"ד</w:t>
      </w:r>
      <w:proofErr w:type="spellEnd"/>
      <w:r w:rsidR="00D6216A">
        <w:rPr>
          <w:rtl/>
        </w:rPr>
        <w:softHyphen/>
      </w:r>
      <w:r w:rsidR="00D6216A">
        <w:rPr>
          <w:rtl/>
        </w:rPr>
        <w:softHyphen/>
        <w:t>–</w:t>
      </w:r>
      <w:r>
        <w:rPr>
          <w:rFonts w:hint="cs"/>
          <w:rtl/>
        </w:rPr>
        <w:t>2024</w:t>
      </w:r>
      <w:bookmarkEnd w:id="4"/>
    </w:p>
    <w:bookmarkEnd w:id="5"/>
    <w:tbl>
      <w:tblPr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3"/>
      </w:tblGrid>
      <w:tr w:rsidR="00902EC1" w14:paraId="3D9FD1FA" w14:textId="77777777" w:rsidTr="007C6346">
        <w:trPr>
          <w:cantSplit/>
        </w:trPr>
        <w:tc>
          <w:tcPr>
            <w:tcW w:w="1871" w:type="dxa"/>
          </w:tcPr>
          <w:p w14:paraId="04FF5EF7" w14:textId="77777777" w:rsidR="00902EC1" w:rsidRDefault="00902EC1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53EAE885" w14:textId="77777777" w:rsidR="00902EC1" w:rsidRDefault="00902EC1">
            <w:pPr>
              <w:pStyle w:val="TableText"/>
            </w:pPr>
          </w:p>
        </w:tc>
        <w:tc>
          <w:tcPr>
            <w:tcW w:w="7143" w:type="dxa"/>
            <w:hideMark/>
          </w:tcPr>
          <w:p w14:paraId="75E71865" w14:textId="77777777" w:rsidR="00902EC1" w:rsidRDefault="00902EC1" w:rsidP="007C6346">
            <w:pPr>
              <w:pStyle w:val="TableBlock"/>
              <w:ind w:firstLine="482"/>
            </w:pPr>
            <w:r>
              <w:rPr>
                <w:rtl/>
              </w:rPr>
              <w:t>בתוקף סמכותי לפי סעיף</w:t>
            </w:r>
            <w:r>
              <w:rPr>
                <w:rFonts w:hint="cs"/>
                <w:rtl/>
              </w:rPr>
              <w:t xml:space="preserve"> 16ז(ב) לחוק התקנים, </w:t>
            </w:r>
            <w:proofErr w:type="spellStart"/>
            <w:r>
              <w:rPr>
                <w:rFonts w:hint="cs"/>
                <w:rtl/>
              </w:rPr>
              <w:t>התשי"ג</w:t>
            </w:r>
            <w:proofErr w:type="spellEnd"/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1953</w:t>
            </w:r>
            <w:r w:rsidR="007C6346">
              <w:rPr>
                <w:rStyle w:val="ae"/>
                <w:rtl/>
              </w:rPr>
              <w:footnoteReference w:id="1"/>
            </w:r>
            <w:r>
              <w:rPr>
                <w:rFonts w:hint="cs"/>
                <w:rtl/>
              </w:rPr>
              <w:t xml:space="preserve"> (להלן</w:t>
            </w:r>
            <w:r w:rsidR="00D6216A">
              <w:rPr>
                <w:rFonts w:hint="cs"/>
                <w:rtl/>
              </w:rPr>
              <w:t xml:space="preserve"> </w:t>
            </w:r>
            <w:r w:rsidR="00D6216A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החוק), בהסכמת שר המשפטים ובאישור ועדת הכלכלה של הכנסת, אני מתקין תקנות אלה</w:t>
            </w:r>
            <w:r>
              <w:rPr>
                <w:rtl/>
              </w:rPr>
              <w:t>:</w:t>
            </w:r>
          </w:p>
        </w:tc>
      </w:tr>
      <w:tr w:rsidR="00902EC1" w14:paraId="734409BE" w14:textId="77777777" w:rsidTr="007C6346">
        <w:trPr>
          <w:cantSplit/>
        </w:trPr>
        <w:tc>
          <w:tcPr>
            <w:tcW w:w="1871" w:type="dxa"/>
          </w:tcPr>
          <w:p w14:paraId="37474441" w14:textId="77777777" w:rsidR="00902EC1" w:rsidRDefault="00D6216A">
            <w:pPr>
              <w:pStyle w:val="TableSideHeading"/>
            </w:pPr>
            <w:bookmarkStart w:id="6" w:name="_Toc159500638"/>
            <w:r>
              <w:rPr>
                <w:rFonts w:hint="cs"/>
                <w:rtl/>
              </w:rPr>
              <w:t>תיקון תקנה 2</w:t>
            </w:r>
            <w:bookmarkEnd w:id="6"/>
          </w:p>
        </w:tc>
        <w:tc>
          <w:tcPr>
            <w:tcW w:w="624" w:type="dxa"/>
          </w:tcPr>
          <w:p w14:paraId="441242B0" w14:textId="77777777" w:rsidR="00902EC1" w:rsidRDefault="00902EC1" w:rsidP="00902EC1">
            <w:pPr>
              <w:pStyle w:val="TableText"/>
              <w:numPr>
                <w:ilvl w:val="0"/>
                <w:numId w:val="3"/>
              </w:numPr>
            </w:pPr>
          </w:p>
        </w:tc>
        <w:tc>
          <w:tcPr>
            <w:tcW w:w="7143" w:type="dxa"/>
          </w:tcPr>
          <w:p w14:paraId="0B9521F2" w14:textId="77777777" w:rsidR="00902EC1" w:rsidRPr="00902EC1" w:rsidRDefault="00902EC1" w:rsidP="007C6346">
            <w:pPr>
              <w:pStyle w:val="TableBlock"/>
            </w:pPr>
            <w:r>
              <w:rPr>
                <w:rFonts w:hint="cs"/>
                <w:rtl/>
              </w:rPr>
              <w:t xml:space="preserve">בתקנה 2, </w:t>
            </w:r>
            <w:r w:rsidR="001757AB">
              <w:rPr>
                <w:rFonts w:hint="cs"/>
                <w:rtl/>
              </w:rPr>
              <w:t>אחרי</w:t>
            </w:r>
            <w:r>
              <w:rPr>
                <w:rFonts w:hint="cs"/>
                <w:rtl/>
              </w:rPr>
              <w:t xml:space="preserve"> פסקה (3) יבוא</w:t>
            </w:r>
            <w:r w:rsidR="00D6216A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D6216A" w14:paraId="7FF93E64" w14:textId="77777777" w:rsidTr="007C6346">
        <w:trPr>
          <w:cantSplit/>
        </w:trPr>
        <w:tc>
          <w:tcPr>
            <w:tcW w:w="1871" w:type="dxa"/>
          </w:tcPr>
          <w:p w14:paraId="1436AD25" w14:textId="77777777" w:rsidR="00D6216A" w:rsidRDefault="00D6216A">
            <w:pPr>
              <w:pStyle w:val="TableSideHeading"/>
            </w:pPr>
          </w:p>
        </w:tc>
        <w:tc>
          <w:tcPr>
            <w:tcW w:w="624" w:type="dxa"/>
          </w:tcPr>
          <w:p w14:paraId="109D264E" w14:textId="77777777" w:rsidR="00D6216A" w:rsidRDefault="00D6216A">
            <w:pPr>
              <w:pStyle w:val="TableText"/>
            </w:pPr>
          </w:p>
        </w:tc>
        <w:tc>
          <w:tcPr>
            <w:tcW w:w="7143" w:type="dxa"/>
          </w:tcPr>
          <w:p w14:paraId="77D34B36" w14:textId="77777777" w:rsidR="00D6216A" w:rsidRDefault="00D6216A" w:rsidP="007C6346">
            <w:pPr>
              <w:pStyle w:val="TableBlock"/>
            </w:pPr>
            <w:r>
              <w:rPr>
                <w:rFonts w:hint="cs"/>
                <w:rtl/>
              </w:rPr>
              <w:t xml:space="preserve">"(4)  </w:t>
            </w:r>
            <w:r w:rsidRPr="00081738">
              <w:rPr>
                <w:rFonts w:hint="eastAsia"/>
                <w:rtl/>
              </w:rPr>
              <w:t>המפר</w:t>
            </w:r>
            <w:r w:rsidRPr="00081738">
              <w:rPr>
                <w:rtl/>
              </w:rPr>
              <w:t xml:space="preserve"> נקט פעולות מקדימות למניעת ההפרה, </w:t>
            </w:r>
            <w:r w:rsidRPr="00081738">
              <w:rPr>
                <w:rFonts w:hint="eastAsia"/>
                <w:rtl/>
              </w:rPr>
              <w:t>שאינן</w:t>
            </w:r>
            <w:r w:rsidRPr="00081738">
              <w:rPr>
                <w:rtl/>
              </w:rPr>
              <w:t xml:space="preserve"> </w:t>
            </w:r>
            <w:r w:rsidRPr="00081738">
              <w:rPr>
                <w:rFonts w:hint="eastAsia"/>
                <w:rtl/>
              </w:rPr>
              <w:t>מתחייבות</w:t>
            </w:r>
            <w:r w:rsidRPr="00081738">
              <w:rPr>
                <w:rtl/>
              </w:rPr>
              <w:t xml:space="preserve"> לפי הוראות </w:t>
            </w:r>
            <w:r>
              <w:rPr>
                <w:rFonts w:hint="cs"/>
                <w:rtl/>
              </w:rPr>
              <w:t>החוק או לפי פקודת היבוא והיצוא</w:t>
            </w:r>
            <w:r w:rsidRPr="00081738">
              <w:rPr>
                <w:rtl/>
              </w:rPr>
              <w:t xml:space="preserve">, </w:t>
            </w:r>
            <w:r w:rsidRPr="00081738">
              <w:rPr>
                <w:rFonts w:hint="eastAsia"/>
                <w:rtl/>
              </w:rPr>
              <w:t>להנחת</w:t>
            </w:r>
            <w:r w:rsidRPr="00081738">
              <w:rPr>
                <w:rtl/>
              </w:rPr>
              <w:t xml:space="preserve"> </w:t>
            </w:r>
            <w:r w:rsidRPr="00081738">
              <w:rPr>
                <w:rFonts w:hint="eastAsia"/>
                <w:rtl/>
              </w:rPr>
              <w:t>דעתו</w:t>
            </w:r>
            <w:r w:rsidRPr="00081738">
              <w:rPr>
                <w:rtl/>
              </w:rPr>
              <w:t xml:space="preserve"> </w:t>
            </w:r>
            <w:r w:rsidRPr="00081738">
              <w:rPr>
                <w:rFonts w:hint="eastAsia"/>
                <w:rtl/>
              </w:rPr>
              <w:t>של</w:t>
            </w:r>
            <w:r w:rsidRPr="00081738">
              <w:rPr>
                <w:rtl/>
              </w:rPr>
              <w:t xml:space="preserve"> </w:t>
            </w:r>
            <w:r w:rsidRPr="00081738">
              <w:rPr>
                <w:rFonts w:hint="eastAsia"/>
                <w:rtl/>
              </w:rPr>
              <w:t>הממונה</w:t>
            </w:r>
            <w:r w:rsidRPr="00081738">
              <w:rPr>
                <w:rtl/>
              </w:rPr>
              <w:t xml:space="preserve"> </w:t>
            </w:r>
            <w:r w:rsidRPr="00081738">
              <w:rPr>
                <w:rFonts w:hint="eastAsia"/>
                <w:rtl/>
              </w:rPr>
              <w:t>על</w:t>
            </w:r>
            <w:r w:rsidRPr="00081738">
              <w:rPr>
                <w:rtl/>
              </w:rPr>
              <w:t xml:space="preserve"> </w:t>
            </w:r>
            <w:r w:rsidRPr="00081738">
              <w:rPr>
                <w:rFonts w:hint="eastAsia"/>
                <w:rtl/>
              </w:rPr>
              <w:t>התקינה</w:t>
            </w:r>
            <w:r w:rsidR="001757AB">
              <w:rPr>
                <w:rFonts w:hint="cs"/>
                <w:rtl/>
              </w:rPr>
              <w:t xml:space="preserve"> </w:t>
            </w:r>
            <w:r w:rsidR="001757AB">
              <w:rPr>
                <w:rtl/>
              </w:rPr>
              <w:t>–</w:t>
            </w:r>
            <w:r w:rsidR="001757AB">
              <w:rPr>
                <w:rFonts w:hint="cs"/>
                <w:rtl/>
              </w:rPr>
              <w:t xml:space="preserve"> 30 אחוזים</w:t>
            </w:r>
            <w:r w:rsidRPr="00081738">
              <w:rPr>
                <w:rtl/>
              </w:rPr>
              <w:t>;</w:t>
            </w:r>
            <w:r>
              <w:rPr>
                <w:rFonts w:hint="cs"/>
                <w:rtl/>
              </w:rPr>
              <w:t>"</w:t>
            </w:r>
          </w:p>
        </w:tc>
      </w:tr>
      <w:tr w:rsidR="00427CCB" w14:paraId="047CD39B" w14:textId="77777777" w:rsidTr="007C6346">
        <w:trPr>
          <w:cantSplit/>
        </w:trPr>
        <w:tc>
          <w:tcPr>
            <w:tcW w:w="1871" w:type="dxa"/>
          </w:tcPr>
          <w:p w14:paraId="28E3C4DA" w14:textId="705A3C99" w:rsidR="00427CCB" w:rsidRDefault="00427CCB">
            <w:pPr>
              <w:pStyle w:val="TableSideHeading"/>
            </w:pPr>
            <w:bookmarkStart w:id="7" w:name="_Toc159500639"/>
            <w:r>
              <w:rPr>
                <w:rFonts w:hint="cs"/>
                <w:rtl/>
              </w:rPr>
              <w:t>תחילה</w:t>
            </w:r>
            <w:bookmarkEnd w:id="7"/>
          </w:p>
        </w:tc>
        <w:tc>
          <w:tcPr>
            <w:tcW w:w="624" w:type="dxa"/>
          </w:tcPr>
          <w:p w14:paraId="4503A614" w14:textId="61B6F1F1" w:rsidR="00427CCB" w:rsidRDefault="00427CCB" w:rsidP="00427CCB">
            <w:pPr>
              <w:pStyle w:val="TableText"/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7143" w:type="dxa"/>
          </w:tcPr>
          <w:p w14:paraId="380720A9" w14:textId="1E4BE6BB" w:rsidR="00427CCB" w:rsidRPr="00427CCB" w:rsidRDefault="00427CCB" w:rsidP="007C6346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תחילתן של תקנות אלו </w:t>
            </w:r>
            <w:r w:rsidR="00A7404C">
              <w:rPr>
                <w:rFonts w:hint="cs"/>
                <w:rtl/>
              </w:rPr>
              <w:t xml:space="preserve">ביום </w:t>
            </w:r>
            <w:r w:rsidR="00C770F9">
              <w:rPr>
                <w:rFonts w:ascii="David" w:hAnsi="David" w:hint="cs"/>
                <w:sz w:val="26"/>
                <w:rtl/>
              </w:rPr>
              <w:t>כ</w:t>
            </w:r>
            <w:r w:rsidR="007B7B31">
              <w:rPr>
                <w:rFonts w:ascii="David" w:hAnsi="David" w:hint="cs"/>
                <w:sz w:val="26"/>
                <w:rtl/>
              </w:rPr>
              <w:t>"ה</w:t>
            </w:r>
            <w:r w:rsidR="007B7B31" w:rsidRPr="00FE1D89">
              <w:rPr>
                <w:rFonts w:ascii="David" w:hAnsi="David"/>
                <w:sz w:val="26"/>
                <w:rtl/>
              </w:rPr>
              <w:t xml:space="preserve"> ב</w:t>
            </w:r>
            <w:r w:rsidR="007B7B31">
              <w:rPr>
                <w:rFonts w:ascii="David" w:hAnsi="David" w:hint="cs"/>
                <w:sz w:val="26"/>
                <w:rtl/>
              </w:rPr>
              <w:t>סיוון</w:t>
            </w:r>
            <w:r w:rsidR="007B7B31" w:rsidRPr="00FE1D89">
              <w:rPr>
                <w:rFonts w:ascii="David" w:hAnsi="David"/>
                <w:sz w:val="26"/>
                <w:rtl/>
              </w:rPr>
              <w:t xml:space="preserve"> </w:t>
            </w:r>
            <w:proofErr w:type="spellStart"/>
            <w:r w:rsidR="007B7B31" w:rsidRPr="00FE1D89">
              <w:rPr>
                <w:rFonts w:ascii="David" w:hAnsi="David"/>
                <w:sz w:val="26"/>
                <w:rtl/>
              </w:rPr>
              <w:t>התשפ"ד</w:t>
            </w:r>
            <w:proofErr w:type="spellEnd"/>
            <w:r w:rsidR="007B7B31" w:rsidRPr="00FE1D89">
              <w:rPr>
                <w:rFonts w:ascii="David" w:hAnsi="David"/>
                <w:sz w:val="26"/>
                <w:rtl/>
              </w:rPr>
              <w:t xml:space="preserve"> (1 ב</w:t>
            </w:r>
            <w:r w:rsidR="007B7B31">
              <w:rPr>
                <w:rFonts w:ascii="David" w:hAnsi="David" w:hint="cs"/>
                <w:sz w:val="26"/>
                <w:rtl/>
              </w:rPr>
              <w:t>יולי</w:t>
            </w:r>
            <w:r w:rsidR="007B7B31" w:rsidRPr="00FE1D89">
              <w:rPr>
                <w:rFonts w:ascii="David" w:hAnsi="David"/>
                <w:sz w:val="26"/>
                <w:rtl/>
              </w:rPr>
              <w:t xml:space="preserve"> 2024</w:t>
            </w:r>
            <w:r w:rsidR="00CB5011">
              <w:rPr>
                <w:rFonts w:ascii="David" w:hAnsi="David" w:hint="cs"/>
                <w:sz w:val="26"/>
                <w:rtl/>
              </w:rPr>
              <w:t>)</w:t>
            </w:r>
            <w:r w:rsidR="007B7B31" w:rsidRPr="00FE1D89">
              <w:rPr>
                <w:rFonts w:ascii="David" w:hAnsi="David"/>
                <w:sz w:val="26"/>
                <w:rtl/>
              </w:rPr>
              <w:t>.</w:t>
            </w:r>
          </w:p>
        </w:tc>
      </w:tr>
    </w:tbl>
    <w:p w14:paraId="17DB7233" w14:textId="77777777" w:rsidR="00902EC1" w:rsidRDefault="00902EC1" w:rsidP="00722C14"/>
    <w:p w14:paraId="58B8C958" w14:textId="77777777" w:rsidR="00902EC1" w:rsidRDefault="00902EC1" w:rsidP="00722C14">
      <w:pPr>
        <w:rPr>
          <w:rtl/>
        </w:rPr>
      </w:pPr>
    </w:p>
    <w:p w14:paraId="4411255C" w14:textId="77777777" w:rsidR="00902EC1" w:rsidRDefault="00902EC1" w:rsidP="00722C14">
      <w:pPr>
        <w:rPr>
          <w:rFonts w:eastAsia="Calibri"/>
          <w:rtl/>
        </w:rPr>
      </w:pPr>
      <w:r>
        <w:rPr>
          <w:rFonts w:eastAsia="Calibri" w:hint="cs"/>
          <w:rtl/>
        </w:rPr>
        <w:t xml:space="preserve">________ </w:t>
      </w:r>
      <w:proofErr w:type="spellStart"/>
      <w:r>
        <w:rPr>
          <w:rFonts w:eastAsia="Calibri" w:hint="cs"/>
          <w:rtl/>
        </w:rPr>
        <w:t>התשפ"ד</w:t>
      </w:r>
      <w:proofErr w:type="spellEnd"/>
      <w:r>
        <w:rPr>
          <w:rFonts w:eastAsia="Calibri" w:hint="cs"/>
          <w:rtl/>
        </w:rPr>
        <w:t xml:space="preserve"> </w:t>
      </w:r>
      <w:r w:rsidR="00961A6D">
        <w:rPr>
          <w:rFonts w:eastAsia="Calibri" w:hint="cs"/>
          <w:rtl/>
        </w:rPr>
        <w:t>(</w:t>
      </w:r>
      <w:r>
        <w:rPr>
          <w:rFonts w:eastAsia="Calibri" w:hint="cs"/>
          <w:rtl/>
        </w:rPr>
        <w:t>________ 2024)</w:t>
      </w:r>
    </w:p>
    <w:p w14:paraId="1F63817E" w14:textId="289520A1" w:rsidR="00902EC1" w:rsidRDefault="009923FC" w:rsidP="00722C14">
      <w:pPr>
        <w:rPr>
          <w:rtl/>
        </w:rPr>
      </w:pPr>
      <w:r>
        <w:rPr>
          <w:rFonts w:hint="cs"/>
          <w:rtl/>
        </w:rPr>
        <w:t xml:space="preserve"> </w:t>
      </w:r>
      <w:r w:rsidR="00902EC1">
        <w:rPr>
          <w:rFonts w:hint="cs"/>
          <w:rtl/>
        </w:rPr>
        <w:t>(</w:t>
      </w:r>
      <w:proofErr w:type="spellStart"/>
      <w:r w:rsidR="00902EC1">
        <w:rPr>
          <w:rFonts w:hint="cs"/>
          <w:rtl/>
        </w:rPr>
        <w:t>חמ</w:t>
      </w:r>
      <w:proofErr w:type="spellEnd"/>
      <w:r w:rsidR="00902EC1">
        <w:rPr>
          <w:rFonts w:hint="cs"/>
          <w:rtl/>
        </w:rPr>
        <w:t xml:space="preserve"> _____-3)</w:t>
      </w:r>
    </w:p>
    <w:p w14:paraId="476B8AAD" w14:textId="77777777" w:rsidR="00902EC1" w:rsidRDefault="00902EC1" w:rsidP="00722C14">
      <w:pPr>
        <w:rPr>
          <w:rtl/>
        </w:rPr>
      </w:pPr>
    </w:p>
    <w:p w14:paraId="03B3E8C4" w14:textId="77777777" w:rsidR="00902EC1" w:rsidRDefault="00902EC1" w:rsidP="00902EC1">
      <w:pPr>
        <w:ind w:left="5760"/>
        <w:jc w:val="center"/>
        <w:rPr>
          <w:rtl/>
        </w:rPr>
      </w:pPr>
      <w:r>
        <w:rPr>
          <w:rFonts w:hint="cs"/>
          <w:rtl/>
        </w:rPr>
        <w:t>__________________</w:t>
      </w:r>
    </w:p>
    <w:p w14:paraId="27F5597B" w14:textId="77777777" w:rsidR="00902EC1" w:rsidRDefault="00902EC1" w:rsidP="00902EC1">
      <w:pPr>
        <w:ind w:left="5760"/>
        <w:jc w:val="center"/>
        <w:rPr>
          <w:rtl/>
        </w:rPr>
      </w:pPr>
      <w:r>
        <w:rPr>
          <w:rFonts w:hint="cs"/>
          <w:rtl/>
        </w:rPr>
        <w:t>ניר ברקת</w:t>
      </w:r>
    </w:p>
    <w:p w14:paraId="0A7698F5" w14:textId="77777777" w:rsidR="00902EC1" w:rsidRPr="009923FC" w:rsidRDefault="00902EC1" w:rsidP="00722C14">
      <w:pPr>
        <w:ind w:left="5760"/>
        <w:jc w:val="center"/>
        <w:rPr>
          <w:b/>
          <w:bCs/>
          <w:rtl/>
        </w:rPr>
      </w:pPr>
      <w:r w:rsidRPr="009923FC">
        <w:rPr>
          <w:rFonts w:hint="cs"/>
          <w:b/>
          <w:bCs/>
          <w:rtl/>
        </w:rPr>
        <w:t>שר הכלכלה והתעשייה</w:t>
      </w:r>
    </w:p>
    <w:p w14:paraId="02D6973F" w14:textId="77777777" w:rsidR="00902EC1" w:rsidRDefault="00902EC1" w:rsidP="00722C14">
      <w:pPr>
        <w:rPr>
          <w:rtl/>
        </w:rPr>
      </w:pPr>
    </w:p>
    <w:p w14:paraId="7D74EDC0" w14:textId="77777777" w:rsidR="00902EC1" w:rsidRDefault="00902EC1" w:rsidP="00722C14">
      <w:pPr>
        <w:pStyle w:val="HeadDivreiHesber"/>
        <w:rPr>
          <w:rtl/>
        </w:rPr>
      </w:pPr>
      <w:bookmarkStart w:id="8" w:name="_Toc159500640"/>
      <w:r>
        <w:rPr>
          <w:rtl/>
        </w:rPr>
        <w:t>דברי הסבר</w:t>
      </w:r>
      <w:bookmarkEnd w:id="8"/>
    </w:p>
    <w:p w14:paraId="09D1E2DB" w14:textId="77777777" w:rsidR="00902EC1" w:rsidRDefault="00902EC1" w:rsidP="00722C14">
      <w:pPr>
        <w:pStyle w:val="Hesber1st"/>
        <w:tabs>
          <w:tab w:val="clear" w:pos="680"/>
        </w:tabs>
        <w:rPr>
          <w:rtl/>
        </w:rPr>
      </w:pPr>
    </w:p>
    <w:p w14:paraId="15986B7F" w14:textId="2126D52A" w:rsidR="00312BF0" w:rsidRDefault="00312BF0" w:rsidP="00312BF0">
      <w:pPr>
        <w:rPr>
          <w:rtl/>
        </w:rPr>
      </w:pPr>
      <w:r>
        <w:rPr>
          <w:rtl/>
        </w:rPr>
        <w:t>כחלק מהמדיניות להקל בדרישות כלפי העוסקים והעברת מיקוד</w:t>
      </w:r>
      <w:r>
        <w:rPr>
          <w:rFonts w:hint="cs"/>
          <w:rtl/>
        </w:rPr>
        <w:t xml:space="preserve"> הפיקוח והאכיפה</w:t>
      </w:r>
      <w:r>
        <w:rPr>
          <w:rtl/>
        </w:rPr>
        <w:t xml:space="preserve"> ל</w:t>
      </w:r>
      <w:r>
        <w:rPr>
          <w:rFonts w:hint="cs"/>
          <w:rtl/>
        </w:rPr>
        <w:t>שלב ה</w:t>
      </w:r>
      <w:r>
        <w:rPr>
          <w:rtl/>
        </w:rPr>
        <w:t>שווקים, עולה חשיבותה של האכיפה העצמית</w:t>
      </w:r>
      <w:r>
        <w:rPr>
          <w:rFonts w:hint="cs"/>
          <w:rtl/>
        </w:rPr>
        <w:t xml:space="preserve"> על ידי העוסקים</w:t>
      </w:r>
      <w:r>
        <w:rPr>
          <w:rtl/>
        </w:rPr>
        <w:t xml:space="preserve">. חשיבות זו הוכנסה גם למדיניות האכיפה של הממונה על התקינה. </w:t>
      </w:r>
    </w:p>
    <w:p w14:paraId="63EEAA30" w14:textId="77777777" w:rsidR="00312BF0" w:rsidRDefault="00312BF0" w:rsidP="00312BF0">
      <w:pPr>
        <w:rPr>
          <w:rtl/>
        </w:rPr>
      </w:pPr>
      <w:r>
        <w:rPr>
          <w:rtl/>
        </w:rPr>
        <w:t>על כן, מוצע לאפשר הפחתה של סכומי העיצומים הכספיים מעוסקים שהממונה על התקינה השתכנע שהם נקטו פעולות מקדימות למניעת ההפרה.</w:t>
      </w:r>
    </w:p>
    <w:p w14:paraId="6AE6EE76" w14:textId="0B635A4E" w:rsidR="00312BF0" w:rsidRDefault="00312BF0" w:rsidP="00312BF0">
      <w:pPr>
        <w:rPr>
          <w:rtl/>
        </w:rPr>
      </w:pPr>
    </w:p>
    <w:sectPr w:rsidR="00312BF0" w:rsidSect="007C6346">
      <w:headerReference w:type="default" r:id="rId8"/>
      <w:pgSz w:w="11907" w:h="16839" w:code="9"/>
      <w:pgMar w:top="1701" w:right="1134" w:bottom="1417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FDF77" w14:textId="77777777" w:rsidR="00CC2245" w:rsidRDefault="00CC2245" w:rsidP="00C42C8C">
      <w:pPr>
        <w:spacing w:line="240" w:lineRule="auto"/>
      </w:pPr>
      <w:r>
        <w:separator/>
      </w:r>
    </w:p>
  </w:endnote>
  <w:endnote w:type="continuationSeparator" w:id="0">
    <w:p w14:paraId="07E678C3" w14:textId="77777777" w:rsidR="00CC2245" w:rsidRDefault="00CC2245" w:rsidP="00C42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7CAAE" w14:textId="77777777" w:rsidR="00CC2245" w:rsidRDefault="00CC2245" w:rsidP="007C6346">
      <w:pPr>
        <w:spacing w:line="240" w:lineRule="auto"/>
        <w:ind w:left="0"/>
      </w:pPr>
      <w:r>
        <w:separator/>
      </w:r>
    </w:p>
  </w:footnote>
  <w:footnote w:type="continuationSeparator" w:id="0">
    <w:p w14:paraId="29291702" w14:textId="77777777" w:rsidR="00CC2245" w:rsidRDefault="00CC2245" w:rsidP="00C42C8C">
      <w:pPr>
        <w:spacing w:line="240" w:lineRule="auto"/>
      </w:pPr>
      <w:r>
        <w:continuationSeparator/>
      </w:r>
    </w:p>
  </w:footnote>
  <w:footnote w:id="1">
    <w:p w14:paraId="76EE1942" w14:textId="77777777" w:rsidR="007C6346" w:rsidRDefault="007C6346">
      <w:pPr>
        <w:pStyle w:val="ac"/>
        <w:rPr>
          <w:rtl/>
        </w:rPr>
      </w:pPr>
      <w:r>
        <w:rPr>
          <w:rStyle w:val="a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התשי"ג</w:t>
      </w:r>
      <w:proofErr w:type="spellEnd"/>
      <w:r>
        <w:rPr>
          <w:rFonts w:hint="cs"/>
          <w:rtl/>
        </w:rPr>
        <w:t xml:space="preserve">, </w:t>
      </w:r>
      <w:r w:rsidRPr="0027225B">
        <w:rPr>
          <w:rFonts w:hint="cs"/>
          <w:rtl/>
        </w:rPr>
        <w:t xml:space="preserve">עמ' 30; </w:t>
      </w:r>
      <w:proofErr w:type="spellStart"/>
      <w:r w:rsidRPr="0027225B">
        <w:rPr>
          <w:rFonts w:hint="cs"/>
          <w:rtl/>
        </w:rPr>
        <w:t>התש</w:t>
      </w:r>
      <w:r>
        <w:rPr>
          <w:rFonts w:hint="cs"/>
          <w:rtl/>
        </w:rPr>
        <w:t>פ"ב</w:t>
      </w:r>
      <w:proofErr w:type="spellEnd"/>
      <w:r w:rsidRPr="0027225B">
        <w:rPr>
          <w:rFonts w:hint="cs"/>
          <w:rtl/>
        </w:rPr>
        <w:t xml:space="preserve">, עמ' </w:t>
      </w:r>
      <w:r>
        <w:rPr>
          <w:rFonts w:hint="cs"/>
          <w:rtl/>
        </w:rPr>
        <w:t>352</w:t>
      </w:r>
      <w:r w:rsidRPr="0027225B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DB33F" w14:textId="77777777" w:rsidR="00C42C8C" w:rsidRDefault="00C42C8C" w:rsidP="00C42C8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943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2E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00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D24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168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2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3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CF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8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8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62279"/>
    <w:multiLevelType w:val="hybridMultilevel"/>
    <w:tmpl w:val="D930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3B28B0"/>
    <w:multiLevelType w:val="hybridMultilevel"/>
    <w:tmpl w:val="41ACEA96"/>
    <w:lvl w:ilvl="0" w:tplc="06A8C010">
      <w:start w:val="1"/>
      <w:numFmt w:val="decimal"/>
      <w:pStyle w:val="TOC3"/>
      <w:lvlText w:val="%1."/>
      <w:lvlJc w:val="left"/>
      <w:pPr>
        <w:ind w:left="1287" w:hanging="360"/>
      </w:pPr>
      <w:rPr>
        <w:rFonts w:cs="David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12"/>
  </w:num>
  <w:num w:numId="7">
    <w:abstractNumId w:val="1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3"/>
    <w:lvlOverride w:ilvl="0">
      <w:startOverride w:val="1"/>
    </w:lvlOverride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C1"/>
    <w:rsid w:val="00027732"/>
    <w:rsid w:val="0009354A"/>
    <w:rsid w:val="000D655F"/>
    <w:rsid w:val="001757AB"/>
    <w:rsid w:val="001D7890"/>
    <w:rsid w:val="00254CDB"/>
    <w:rsid w:val="00312BF0"/>
    <w:rsid w:val="00384535"/>
    <w:rsid w:val="00394AA4"/>
    <w:rsid w:val="00422985"/>
    <w:rsid w:val="00427CCB"/>
    <w:rsid w:val="004352B7"/>
    <w:rsid w:val="00477D0C"/>
    <w:rsid w:val="005C7D55"/>
    <w:rsid w:val="005D73DC"/>
    <w:rsid w:val="007043B0"/>
    <w:rsid w:val="00730D44"/>
    <w:rsid w:val="007B7B31"/>
    <w:rsid w:val="007C6346"/>
    <w:rsid w:val="007D5AAB"/>
    <w:rsid w:val="0082235C"/>
    <w:rsid w:val="00823FBE"/>
    <w:rsid w:val="008F0011"/>
    <w:rsid w:val="008F04EB"/>
    <w:rsid w:val="00902EC1"/>
    <w:rsid w:val="0091476A"/>
    <w:rsid w:val="00961A6D"/>
    <w:rsid w:val="009923FC"/>
    <w:rsid w:val="00A15483"/>
    <w:rsid w:val="00A573C7"/>
    <w:rsid w:val="00A7321D"/>
    <w:rsid w:val="00A7404C"/>
    <w:rsid w:val="00AD5656"/>
    <w:rsid w:val="00B50311"/>
    <w:rsid w:val="00BB7685"/>
    <w:rsid w:val="00C42C8C"/>
    <w:rsid w:val="00C66CED"/>
    <w:rsid w:val="00C770F9"/>
    <w:rsid w:val="00CB5011"/>
    <w:rsid w:val="00CC2245"/>
    <w:rsid w:val="00D6216A"/>
    <w:rsid w:val="00D67701"/>
    <w:rsid w:val="00E20B45"/>
    <w:rsid w:val="00E45127"/>
    <w:rsid w:val="00EE2AEC"/>
    <w:rsid w:val="00F3712F"/>
    <w:rsid w:val="00F8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A47F42"/>
  <w15:chartTrackingRefBased/>
  <w15:docId w15:val="{7EED0923-5040-42A1-B156-A45CADE5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3FC"/>
    <w:pPr>
      <w:widowControl w:val="0"/>
      <w:spacing w:after="0" w:line="360" w:lineRule="auto"/>
      <w:ind w:left="340"/>
      <w:contextualSpacing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9923FC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9923FC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9923FC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9923FC"/>
    <w:pPr>
      <w:numPr>
        <w:numId w:val="2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923FC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הנגשה1"/>
    <w:basedOn w:val="a"/>
    <w:link w:val="1Char"/>
    <w:autoRedefine/>
    <w:rsid w:val="0082235C"/>
    <w:rPr>
      <w:b/>
      <w:bCs/>
      <w:sz w:val="28"/>
      <w:szCs w:val="28"/>
    </w:rPr>
  </w:style>
  <w:style w:type="character" w:customStyle="1" w:styleId="1Char">
    <w:name w:val="הנגשה1 Char"/>
    <w:basedOn w:val="a0"/>
    <w:link w:val="11"/>
    <w:rsid w:val="0082235C"/>
    <w:rPr>
      <w:b/>
      <w:bCs/>
      <w:sz w:val="28"/>
      <w:szCs w:val="28"/>
    </w:rPr>
  </w:style>
  <w:style w:type="paragraph" w:styleId="a3">
    <w:name w:val="header"/>
    <w:basedOn w:val="a"/>
    <w:link w:val="a4"/>
    <w:rsid w:val="009923F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C42C8C"/>
    <w:rPr>
      <w:rFonts w:ascii="David" w:hAnsi="David" w:cs="David"/>
    </w:rPr>
  </w:style>
  <w:style w:type="paragraph" w:styleId="a5">
    <w:name w:val="footer"/>
    <w:basedOn w:val="a"/>
    <w:link w:val="a6"/>
    <w:rsid w:val="009923F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C42C8C"/>
    <w:rPr>
      <w:rFonts w:ascii="David" w:hAnsi="David" w:cs="David"/>
    </w:rPr>
  </w:style>
  <w:style w:type="paragraph" w:styleId="a7">
    <w:name w:val="List Paragraph"/>
    <w:basedOn w:val="a"/>
    <w:uiPriority w:val="34"/>
    <w:qFormat/>
    <w:rsid w:val="009923FC"/>
    <w:pPr>
      <w:widowControl/>
      <w:spacing w:line="259" w:lineRule="auto"/>
    </w:pPr>
    <w:rPr>
      <w:rFonts w:asciiTheme="minorHAnsi" w:hAnsiTheme="minorHAnsi"/>
      <w:sz w:val="22"/>
    </w:rPr>
  </w:style>
  <w:style w:type="paragraph" w:customStyle="1" w:styleId="21">
    <w:name w:val="הנגשה2"/>
    <w:basedOn w:val="11"/>
    <w:autoRedefine/>
    <w:rsid w:val="004352B7"/>
    <w:rPr>
      <w:szCs w:val="24"/>
    </w:rPr>
  </w:style>
  <w:style w:type="character" w:customStyle="1" w:styleId="10">
    <w:name w:val="כותרת 1 תו"/>
    <w:basedOn w:val="a0"/>
    <w:link w:val="1"/>
    <w:uiPriority w:val="9"/>
    <w:rsid w:val="009923FC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20">
    <w:name w:val="כותרת 2 תו"/>
    <w:basedOn w:val="a0"/>
    <w:link w:val="2"/>
    <w:rsid w:val="009923FC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rsid w:val="009923FC"/>
    <w:rPr>
      <w:rFonts w:asciiTheme="majorHAnsi" w:eastAsiaTheme="majorEastAsia" w:hAnsiTheme="majorHAnsi" w:cs="David"/>
      <w:szCs w:val="28"/>
      <w:u w:val="double"/>
    </w:rPr>
  </w:style>
  <w:style w:type="paragraph" w:styleId="a8">
    <w:name w:val="Balloon Text"/>
    <w:basedOn w:val="a"/>
    <w:link w:val="a9"/>
    <w:uiPriority w:val="99"/>
    <w:semiHidden/>
    <w:unhideWhenUsed/>
    <w:rsid w:val="00254C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54CDB"/>
    <w:rPr>
      <w:rFonts w:ascii="Tahoma" w:hAnsi="Tahoma" w:cs="Tahoma"/>
      <w:sz w:val="16"/>
      <w:szCs w:val="16"/>
    </w:rPr>
  </w:style>
  <w:style w:type="character" w:customStyle="1" w:styleId="40">
    <w:name w:val="כותרת 4 תו"/>
    <w:basedOn w:val="a0"/>
    <w:link w:val="4"/>
    <w:uiPriority w:val="9"/>
    <w:rsid w:val="009923FC"/>
    <w:rPr>
      <w:rFonts w:ascii="David" w:hAnsi="David" w:cs="David"/>
      <w:b/>
      <w:bCs/>
      <w:color w:val="000000" w:themeColor="text1"/>
      <w:szCs w:val="28"/>
    </w:rPr>
  </w:style>
  <w:style w:type="paragraph" w:customStyle="1" w:styleId="TableText">
    <w:name w:val="Table Text"/>
    <w:basedOn w:val="a"/>
    <w:rsid w:val="009923FC"/>
    <w:pPr>
      <w:keepLines/>
      <w:tabs>
        <w:tab w:val="left" w:pos="624"/>
        <w:tab w:val="left" w:pos="1247"/>
      </w:tabs>
      <w:snapToGrid w:val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9923FC"/>
    <w:pPr>
      <w:outlineLvl w:val="2"/>
    </w:pPr>
  </w:style>
  <w:style w:type="paragraph" w:customStyle="1" w:styleId="TableBlock">
    <w:name w:val="Table Block"/>
    <w:basedOn w:val="TableText"/>
    <w:rsid w:val="009923FC"/>
    <w:pPr>
      <w:jc w:val="both"/>
    </w:pPr>
  </w:style>
  <w:style w:type="paragraph" w:customStyle="1" w:styleId="TableHead">
    <w:name w:val="Table Head"/>
    <w:basedOn w:val="TableText"/>
    <w:rsid w:val="009923FC"/>
    <w:pPr>
      <w:jc w:val="center"/>
      <w:outlineLvl w:val="1"/>
    </w:pPr>
    <w:rPr>
      <w:b/>
      <w:bCs/>
    </w:rPr>
  </w:style>
  <w:style w:type="paragraph" w:customStyle="1" w:styleId="HeadMitparsemetBaze">
    <w:name w:val="Head MitparsemetBaze"/>
    <w:basedOn w:val="a"/>
    <w:rsid w:val="009923FC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9923FC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sber1st">
    <w:name w:val="Hesber 1st"/>
    <w:basedOn w:val="Hesber"/>
    <w:rsid w:val="009923FC"/>
    <w:pPr>
      <w:tabs>
        <w:tab w:val="left" w:pos="680"/>
        <w:tab w:val="left" w:pos="1020"/>
      </w:tabs>
      <w:ind w:firstLine="0"/>
    </w:pPr>
  </w:style>
  <w:style w:type="paragraph" w:customStyle="1" w:styleId="HeadDivreiHesber">
    <w:name w:val="Head DivreiHesber"/>
    <w:basedOn w:val="a"/>
    <w:rsid w:val="009923FC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character" w:customStyle="1" w:styleId="50">
    <w:name w:val="כותרת 5 תו"/>
    <w:basedOn w:val="a0"/>
    <w:link w:val="5"/>
    <w:uiPriority w:val="9"/>
    <w:rsid w:val="009923FC"/>
    <w:rPr>
      <w:rFonts w:ascii="David" w:hAnsi="David" w:cs="David"/>
      <w:color w:val="000000" w:themeColor="text1"/>
    </w:rPr>
  </w:style>
  <w:style w:type="paragraph" w:customStyle="1" w:styleId="HeadHatzaotHok4Futer">
    <w:name w:val="Head HatzaotHok4Futer"/>
    <w:basedOn w:val="HeadHatzaotHok"/>
    <w:rsid w:val="009923FC"/>
    <w:pPr>
      <w:spacing w:before="120" w:after="120"/>
    </w:pPr>
    <w:rPr>
      <w:color w:val="FF0000"/>
      <w:w w:val="80"/>
    </w:rPr>
  </w:style>
  <w:style w:type="paragraph" w:styleId="aa">
    <w:name w:val="endnote text"/>
    <w:basedOn w:val="a"/>
    <w:link w:val="ab"/>
    <w:semiHidden/>
    <w:rsid w:val="009923FC"/>
    <w:pPr>
      <w:ind w:left="227" w:hanging="227"/>
    </w:pPr>
    <w:rPr>
      <w:sz w:val="14"/>
      <w:szCs w:val="22"/>
    </w:rPr>
  </w:style>
  <w:style w:type="character" w:customStyle="1" w:styleId="ab">
    <w:name w:val="טקסט הערת סיום תו"/>
    <w:basedOn w:val="a0"/>
    <w:link w:val="aa"/>
    <w:semiHidden/>
    <w:rsid w:val="00902EC1"/>
    <w:rPr>
      <w:rFonts w:ascii="David" w:hAnsi="David" w:cs="David"/>
      <w:sz w:val="14"/>
      <w:szCs w:val="22"/>
    </w:rPr>
  </w:style>
  <w:style w:type="paragraph" w:customStyle="1" w:styleId="TableInnerSideHeading">
    <w:name w:val="Table InnerSideHeading"/>
    <w:basedOn w:val="TableSideHeading"/>
    <w:rsid w:val="009923FC"/>
    <w:pPr>
      <w:outlineLvl w:val="9"/>
    </w:pPr>
  </w:style>
  <w:style w:type="paragraph" w:customStyle="1" w:styleId="Hesber">
    <w:name w:val="Hesber"/>
    <w:basedOn w:val="a"/>
    <w:rsid w:val="009923FC"/>
    <w:pPr>
      <w:snapToGrid w:val="0"/>
      <w:ind w:left="0" w:firstLine="340"/>
    </w:pPr>
    <w:rPr>
      <w:rFonts w:ascii="Arial" w:eastAsia="Arial Unicode MS" w:hAnsi="Arial"/>
      <w:snapToGrid w:val="0"/>
      <w:sz w:val="20"/>
      <w:szCs w:val="26"/>
    </w:rPr>
  </w:style>
  <w:style w:type="paragraph" w:styleId="ac">
    <w:name w:val="footnote text"/>
    <w:basedOn w:val="a"/>
    <w:link w:val="ad"/>
    <w:autoRedefine/>
    <w:semiHidden/>
    <w:rsid w:val="009923FC"/>
    <w:pPr>
      <w:snapToGrid w:val="0"/>
      <w:spacing w:line="240" w:lineRule="auto"/>
      <w:ind w:left="0"/>
      <w:jc w:val="left"/>
    </w:pPr>
    <w:rPr>
      <w:rFonts w:ascii="Arial" w:eastAsia="Arial Unicode MS" w:hAnsi="Arial"/>
      <w:snapToGrid w:val="0"/>
      <w:sz w:val="14"/>
      <w:szCs w:val="20"/>
    </w:rPr>
  </w:style>
  <w:style w:type="character" w:customStyle="1" w:styleId="ad">
    <w:name w:val="טקסט הערת שוליים תו"/>
    <w:basedOn w:val="a0"/>
    <w:link w:val="ac"/>
    <w:semiHidden/>
    <w:rsid w:val="00902EC1"/>
    <w:rPr>
      <w:rFonts w:eastAsia="Arial Unicode MS" w:cs="David"/>
      <w:snapToGrid w:val="0"/>
      <w:sz w:val="14"/>
      <w:szCs w:val="20"/>
    </w:rPr>
  </w:style>
  <w:style w:type="character" w:styleId="ae">
    <w:name w:val="footnote reference"/>
    <w:aliases w:val="Footnote Reference"/>
    <w:basedOn w:val="a0"/>
    <w:semiHidden/>
    <w:rsid w:val="009923FC"/>
    <w:rPr>
      <w:vertAlign w:val="superscript"/>
    </w:rPr>
  </w:style>
  <w:style w:type="paragraph" w:customStyle="1" w:styleId="HesberHeading">
    <w:name w:val="Hesber Heading"/>
    <w:basedOn w:val="Hesber"/>
    <w:rsid w:val="009923FC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9923FC"/>
    <w:pPr>
      <w:spacing w:before="120" w:after="120"/>
      <w:ind w:left="1418"/>
      <w:jc w:val="right"/>
    </w:pPr>
    <w:rPr>
      <w:b/>
      <w:bCs/>
    </w:rPr>
  </w:style>
  <w:style w:type="character" w:styleId="af">
    <w:name w:val="endnote reference"/>
    <w:basedOn w:val="a0"/>
    <w:semiHidden/>
    <w:rsid w:val="009923FC"/>
    <w:rPr>
      <w:vertAlign w:val="superscript"/>
    </w:rPr>
  </w:style>
  <w:style w:type="paragraph" w:customStyle="1" w:styleId="TableBlockOutdent">
    <w:name w:val="Table BlockOutdent"/>
    <w:basedOn w:val="TableBlock"/>
    <w:rsid w:val="009923FC"/>
    <w:pPr>
      <w:ind w:left="624" w:hanging="624"/>
    </w:pPr>
  </w:style>
  <w:style w:type="character" w:styleId="af0">
    <w:name w:val="page number"/>
    <w:basedOn w:val="a0"/>
    <w:rsid w:val="009923FC"/>
  </w:style>
  <w:style w:type="paragraph" w:customStyle="1" w:styleId="Cover1-Reshumot">
    <w:name w:val="Cover 1-Reshumot"/>
    <w:basedOn w:val="a"/>
    <w:rsid w:val="009923FC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9923FC"/>
    <w:rPr>
      <w:sz w:val="36"/>
      <w:szCs w:val="52"/>
    </w:rPr>
  </w:style>
  <w:style w:type="paragraph" w:customStyle="1" w:styleId="Cover3-Haknesset">
    <w:name w:val="Cover 3-Haknesset"/>
    <w:basedOn w:val="Cover1-Reshumot"/>
    <w:rsid w:val="009923FC"/>
    <w:rPr>
      <w:b/>
      <w:bCs/>
      <w:spacing w:val="60"/>
    </w:rPr>
  </w:style>
  <w:style w:type="paragraph" w:customStyle="1" w:styleId="Cover4-Date">
    <w:name w:val="Cover 4-Date"/>
    <w:basedOn w:val="a"/>
    <w:rsid w:val="009923FC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Ragil">
    <w:name w:val="Ragil"/>
    <w:basedOn w:val="a"/>
    <w:rsid w:val="009923FC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9923FC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9923FC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9923FC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a0"/>
    <w:uiPriority w:val="99"/>
    <w:unhideWhenUsed/>
    <w:rsid w:val="009923FC"/>
    <w:rPr>
      <w:color w:val="0563C1" w:themeColor="hyperlink"/>
      <w:u w:val="single"/>
    </w:rPr>
  </w:style>
  <w:style w:type="paragraph" w:styleId="TOC3">
    <w:name w:val="toc 3"/>
    <w:basedOn w:val="a"/>
    <w:next w:val="a"/>
    <w:uiPriority w:val="39"/>
    <w:unhideWhenUsed/>
    <w:rsid w:val="009923FC"/>
    <w:pPr>
      <w:numPr>
        <w:numId w:val="20"/>
      </w:numPr>
      <w:tabs>
        <w:tab w:val="num" w:pos="360"/>
        <w:tab w:val="right" w:leader="dot" w:pos="9629"/>
      </w:tabs>
      <w:spacing w:after="100"/>
      <w:ind w:left="811" w:hanging="357"/>
    </w:pPr>
    <w:rPr>
      <w:szCs w:val="22"/>
    </w:rPr>
  </w:style>
  <w:style w:type="paragraph" w:styleId="TOC4">
    <w:name w:val="toc 4"/>
    <w:basedOn w:val="a"/>
    <w:next w:val="a"/>
    <w:autoRedefine/>
    <w:uiPriority w:val="39"/>
    <w:unhideWhenUsed/>
    <w:qFormat/>
    <w:rsid w:val="009923FC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9923FC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9923FC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9923FC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9923FC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9923FC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9923FC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9923FC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9923FC"/>
    <w:rPr>
      <w:rFonts w:eastAsia="Times New Roman"/>
    </w:rPr>
  </w:style>
  <w:style w:type="table" w:styleId="af2">
    <w:name w:val="Table Grid"/>
    <w:basedOn w:val="a1"/>
    <w:rsid w:val="009923FC"/>
    <w:pPr>
      <w:bidi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Plain Table 1"/>
    <w:basedOn w:val="a1"/>
    <w:uiPriority w:val="41"/>
    <w:rsid w:val="009923FC"/>
    <w:pPr>
      <w:bidi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3">
    <w:name w:val="Grid Table 1 Light"/>
    <w:basedOn w:val="a1"/>
    <w:uiPriority w:val="46"/>
    <w:rsid w:val="009923FC"/>
    <w:pPr>
      <w:bidi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3">
    <w:name w:val="טבלת חקיקה"/>
    <w:basedOn w:val="a1"/>
    <w:uiPriority w:val="99"/>
    <w:rsid w:val="009923FC"/>
    <w:pPr>
      <w:bidi w:val="0"/>
      <w:spacing w:after="0" w:line="240" w:lineRule="auto"/>
      <w:jc w:val="center"/>
    </w:pPr>
    <w:rPr>
      <w:rFonts w:ascii="Times New Roman" w:eastAsia="MS Mincho" w:hAnsi="Times New Roman" w:cstheme="minorBidi"/>
      <w:sz w:val="20"/>
      <w:szCs w:val="20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4">
    <w:name w:val="סגנון1"/>
    <w:basedOn w:val="a1"/>
    <w:uiPriority w:val="99"/>
    <w:rsid w:val="009923FC"/>
    <w:pPr>
      <w:bidi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  <w:style w:type="character" w:styleId="af4">
    <w:name w:val="annotation reference"/>
    <w:basedOn w:val="a0"/>
    <w:uiPriority w:val="99"/>
    <w:semiHidden/>
    <w:unhideWhenUsed/>
    <w:rsid w:val="00AD56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D5656"/>
    <w:pPr>
      <w:spacing w:line="240" w:lineRule="auto"/>
    </w:pPr>
    <w:rPr>
      <w:sz w:val="20"/>
      <w:szCs w:val="20"/>
    </w:rPr>
  </w:style>
  <w:style w:type="character" w:customStyle="1" w:styleId="af6">
    <w:name w:val="טקסט הערה תו"/>
    <w:basedOn w:val="a0"/>
    <w:link w:val="af5"/>
    <w:uiPriority w:val="99"/>
    <w:semiHidden/>
    <w:rsid w:val="00AD5656"/>
    <w:rPr>
      <w:rFonts w:ascii="David" w:hAnsi="David" w:cs="David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D5656"/>
    <w:rPr>
      <w:b/>
      <w:bCs/>
    </w:rPr>
  </w:style>
  <w:style w:type="character" w:customStyle="1" w:styleId="af8">
    <w:name w:val="נושא הערה תו"/>
    <w:basedOn w:val="af6"/>
    <w:link w:val="af7"/>
    <w:uiPriority w:val="99"/>
    <w:semiHidden/>
    <w:rsid w:val="00AD5656"/>
    <w:rPr>
      <w:rFonts w:ascii="David" w:hAnsi="David" w:cs="Davi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גלית יעקובוב</dc:creator>
  <cp:keywords/>
  <dc:description/>
  <cp:lastModifiedBy>גלית יעקובוב</cp:lastModifiedBy>
  <cp:revision>2</cp:revision>
  <dcterms:created xsi:type="dcterms:W3CDTF">2024-02-22T11:42:00Z</dcterms:created>
  <dcterms:modified xsi:type="dcterms:W3CDTF">2024-02-22T11:42:00Z</dcterms:modified>
</cp:coreProperties>
</file>