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15E19" w14:textId="77777777" w:rsidR="007378CC" w:rsidRPr="007378CC" w:rsidRDefault="007378CC" w:rsidP="007378CC">
      <w:pPr>
        <w:spacing w:before="240"/>
        <w:jc w:val="center"/>
        <w:outlineLvl w:val="0"/>
        <w:rPr>
          <w:rFonts w:asciiTheme="majorHAnsi" w:eastAsiaTheme="majorEastAsia" w:hAnsiTheme="majorHAnsi"/>
          <w:bCs/>
          <w:sz w:val="32"/>
          <w:szCs w:val="36"/>
        </w:rPr>
      </w:pPr>
      <w:r w:rsidRPr="007378CC">
        <w:rPr>
          <w:rFonts w:asciiTheme="majorHAnsi" w:eastAsiaTheme="majorEastAsia" w:hAnsiTheme="majorHAnsi"/>
          <w:bCs/>
          <w:sz w:val="32"/>
          <w:szCs w:val="36"/>
          <w:rtl/>
        </w:rPr>
        <w:t>טיוטת צו</w:t>
      </w:r>
    </w:p>
    <w:p w14:paraId="78139A5A" w14:textId="77777777" w:rsidR="007378CC" w:rsidRPr="007378CC" w:rsidRDefault="007378CC" w:rsidP="007378CC">
      <w:pPr>
        <w:rPr>
          <w:rtl/>
        </w:rPr>
      </w:pPr>
    </w:p>
    <w:p w14:paraId="23157485" w14:textId="77777777" w:rsidR="007378CC" w:rsidRPr="007378CC" w:rsidRDefault="007378CC" w:rsidP="007378CC">
      <w:pPr>
        <w:numPr>
          <w:ilvl w:val="0"/>
          <w:numId w:val="1"/>
        </w:numPr>
        <w:spacing w:before="40" w:after="120"/>
        <w:outlineLvl w:val="3"/>
        <w:rPr>
          <w:b/>
          <w:bCs/>
          <w:color w:val="000000" w:themeColor="text1"/>
          <w:szCs w:val="28"/>
          <w:rtl/>
        </w:rPr>
      </w:pPr>
      <w:r w:rsidRPr="007378CC">
        <w:rPr>
          <w:rFonts w:hint="cs"/>
          <w:b/>
          <w:bCs/>
          <w:color w:val="000000" w:themeColor="text1"/>
          <w:szCs w:val="28"/>
          <w:rtl/>
        </w:rPr>
        <w:t>שם הצו המוצע</w:t>
      </w:r>
    </w:p>
    <w:p w14:paraId="0923D5AE" w14:textId="77777777" w:rsidR="007378CC" w:rsidRPr="007378CC" w:rsidRDefault="007378CC" w:rsidP="007378CC">
      <w:r w:rsidRPr="007378CC">
        <w:rPr>
          <w:rFonts w:hint="cs"/>
          <w:rtl/>
        </w:rPr>
        <w:t xml:space="preserve">צו </w:t>
      </w:r>
      <w:r w:rsidRPr="007378CC">
        <w:rPr>
          <w:rtl/>
        </w:rPr>
        <w:t xml:space="preserve">הגנה על בריאות הציבור (מזון)(החלת הוראות האיחוד האירופי וקביעת תנאים והחרגות), </w:t>
      </w:r>
      <w:proofErr w:type="spellStart"/>
      <w:r w:rsidRPr="007378CC">
        <w:rPr>
          <w:rtl/>
        </w:rPr>
        <w:t>התשפ"ג</w:t>
      </w:r>
      <w:proofErr w:type="spellEnd"/>
      <w:r w:rsidRPr="007378CC">
        <w:rPr>
          <w:rtl/>
        </w:rPr>
        <w:t xml:space="preserve"> – 2022</w:t>
      </w:r>
    </w:p>
    <w:p w14:paraId="3EC93300" w14:textId="77777777" w:rsidR="007378CC" w:rsidRPr="007378CC" w:rsidRDefault="007378CC" w:rsidP="007378CC">
      <w:pPr>
        <w:rPr>
          <w:rtl/>
        </w:rPr>
      </w:pPr>
    </w:p>
    <w:p w14:paraId="47B66915" w14:textId="77777777" w:rsidR="007378CC" w:rsidRPr="007378CC" w:rsidRDefault="007378CC" w:rsidP="007378CC">
      <w:pPr>
        <w:rPr>
          <w:rtl/>
        </w:rPr>
      </w:pPr>
    </w:p>
    <w:p w14:paraId="3BEA1B8D" w14:textId="77777777" w:rsidR="007378CC" w:rsidRPr="007378CC" w:rsidRDefault="007378CC" w:rsidP="007378CC">
      <w:pPr>
        <w:numPr>
          <w:ilvl w:val="0"/>
          <w:numId w:val="1"/>
        </w:numPr>
        <w:spacing w:before="40" w:after="120"/>
        <w:outlineLvl w:val="3"/>
        <w:rPr>
          <w:b/>
          <w:bCs/>
          <w:color w:val="000000" w:themeColor="text1"/>
          <w:szCs w:val="28"/>
          <w:rtl/>
        </w:rPr>
      </w:pPr>
      <w:r w:rsidRPr="007378CC">
        <w:rPr>
          <w:rFonts w:hint="cs"/>
          <w:b/>
          <w:bCs/>
          <w:color w:val="000000" w:themeColor="text1"/>
          <w:szCs w:val="28"/>
          <w:rtl/>
        </w:rPr>
        <w:t xml:space="preserve">מטרת הצו המוצע והצורך בו </w:t>
      </w:r>
      <w:r w:rsidRPr="007378CC">
        <w:rPr>
          <w:rFonts w:hint="cs"/>
          <w:color w:val="000000" w:themeColor="text1"/>
          <w:rtl/>
        </w:rPr>
        <w:t>[למילוי רק בעת הפצה להערות הציבור]</w:t>
      </w:r>
    </w:p>
    <w:p w14:paraId="1F2FD0A8" w14:textId="3229A151" w:rsidR="007378CC" w:rsidRPr="007378CC" w:rsidRDefault="007378CC" w:rsidP="00682DCF">
      <w:pPr>
        <w:rPr>
          <w:rtl/>
        </w:rPr>
      </w:pPr>
      <w:bookmarkStart w:id="0" w:name="_GoBack"/>
      <w:r w:rsidRPr="007378CC">
        <w:rPr>
          <w:rtl/>
        </w:rPr>
        <w:t xml:space="preserve">ביום י"ד בכסלו </w:t>
      </w:r>
      <w:proofErr w:type="spellStart"/>
      <w:r w:rsidRPr="007378CC">
        <w:rPr>
          <w:rtl/>
        </w:rPr>
        <w:t>התשפ"ב</w:t>
      </w:r>
      <w:proofErr w:type="spellEnd"/>
      <w:r w:rsidRPr="007378CC">
        <w:rPr>
          <w:rtl/>
        </w:rPr>
        <w:t xml:space="preserve"> (18 בנובמבר 2021) פורסם ברשומות, בספר החוקים </w:t>
      </w:r>
      <w:proofErr w:type="spellStart"/>
      <w:r w:rsidRPr="007378CC">
        <w:rPr>
          <w:rtl/>
        </w:rPr>
        <w:t>התשפ"ב</w:t>
      </w:r>
      <w:proofErr w:type="spellEnd"/>
      <w:r w:rsidRPr="007378CC">
        <w:rPr>
          <w:rtl/>
        </w:rPr>
        <w:t xml:space="preserve">, עמ' 427, תיקון מס' 3 לחוק הגנה על בריאות הציבור (מזון), התשע"ו-2015 (להלן, בהתאמה – תיקון מס' 3, וחוק המזון), וזאת במסגרת חוק התכנית הכלכלית </w:t>
      </w:r>
      <w:r w:rsidR="00682DCF">
        <w:rPr>
          <w:rFonts w:hint="cs"/>
          <w:rtl/>
        </w:rPr>
        <w:t>(</w:t>
      </w:r>
      <w:r w:rsidRPr="007378CC">
        <w:rPr>
          <w:rtl/>
        </w:rPr>
        <w:t>תיקוני חקיקה ליישום המדיניות הכלכלית לשנות התקציב 2021 ו-2022), התשפ"ב-2021 (להלן – חוק התכנית הכלכלית 2021).</w:t>
      </w:r>
    </w:p>
    <w:p w14:paraId="08648E1B" w14:textId="03CF66F1" w:rsidR="007378CC" w:rsidRPr="007378CC" w:rsidRDefault="007378CC" w:rsidP="00842FE1">
      <w:pPr>
        <w:rPr>
          <w:rtl/>
        </w:rPr>
      </w:pPr>
      <w:r w:rsidRPr="007378CC">
        <w:rPr>
          <w:rtl/>
        </w:rPr>
        <w:t xml:space="preserve">במסגרת תיקון מס' 3, נערכו שורה של תיקונים בחוק המזון שעניינם, בין השאר, אימוץ של הוראות מסוימות החלות באיחוד האירופי לגבי ייצור, ייבוא או שיווק של מזון, בתנאים ובהחרגות, והכל כפי שקבוע </w:t>
      </w:r>
      <w:r w:rsidRPr="007378CC">
        <w:rPr>
          <w:rFonts w:hint="cs"/>
          <w:rtl/>
        </w:rPr>
        <w:t>ב</w:t>
      </w:r>
      <w:r w:rsidRPr="007378CC">
        <w:rPr>
          <w:rtl/>
        </w:rPr>
        <w:t>תוספת השנייה א' לחוק</w:t>
      </w:r>
      <w:r w:rsidRPr="007378CC">
        <w:rPr>
          <w:rFonts w:hint="cs"/>
          <w:rtl/>
        </w:rPr>
        <w:t xml:space="preserve"> (להלן </w:t>
      </w:r>
      <w:r w:rsidRPr="007378CC">
        <w:rPr>
          <w:rtl/>
        </w:rPr>
        <w:t>–</w:t>
      </w:r>
      <w:r w:rsidRPr="007378CC">
        <w:rPr>
          <w:rFonts w:hint="cs"/>
          <w:rtl/>
        </w:rPr>
        <w:t xml:space="preserve"> ההוראות המאומצות)</w:t>
      </w:r>
      <w:r w:rsidR="00842FE1">
        <w:rPr>
          <w:rFonts w:hint="cs"/>
          <w:rtl/>
        </w:rPr>
        <w:t>.</w:t>
      </w:r>
      <w:r w:rsidRPr="007378CC">
        <w:rPr>
          <w:rtl/>
        </w:rPr>
        <w:t xml:space="preserve"> </w:t>
      </w:r>
      <w:r w:rsidR="00842FE1">
        <w:rPr>
          <w:rFonts w:hint="cs"/>
          <w:rtl/>
        </w:rPr>
        <w:t>את התוספת השנייה א'</w:t>
      </w:r>
      <w:r w:rsidRPr="007378CC">
        <w:rPr>
          <w:rtl/>
        </w:rPr>
        <w:t xml:space="preserve"> ניתן </w:t>
      </w:r>
      <w:r w:rsidR="00842FE1">
        <w:rPr>
          <w:rtl/>
        </w:rPr>
        <w:t>לשנות</w:t>
      </w:r>
      <w:r w:rsidRPr="007378CC">
        <w:rPr>
          <w:rtl/>
        </w:rPr>
        <w:t xml:space="preserve"> בצו, בכפוף להוראות סעיפים 3א ו-313א לחוק המזון, ללא צורך בתיקון חקיקה ראשית</w:t>
      </w:r>
      <w:r w:rsidR="00842FE1">
        <w:rPr>
          <w:rFonts w:hint="cs"/>
          <w:rtl/>
        </w:rPr>
        <w:t>, כמפורט להלן:</w:t>
      </w:r>
    </w:p>
    <w:p w14:paraId="14AC69D1" w14:textId="4C7FBA10" w:rsidR="007378CC" w:rsidRPr="007378CC" w:rsidRDefault="007378CC" w:rsidP="007378CC">
      <w:pPr>
        <w:rPr>
          <w:rtl/>
        </w:rPr>
      </w:pPr>
      <w:r w:rsidRPr="007378CC">
        <w:rPr>
          <w:rtl/>
        </w:rPr>
        <w:t>סעיף 3א(ו) מקנה לשר הבריאות סמכות להוסיף להוראות המאומצות שבתוספת השנ</w:t>
      </w:r>
      <w:r w:rsidR="00CA2CD7">
        <w:rPr>
          <w:rFonts w:hint="cs"/>
          <w:rtl/>
        </w:rPr>
        <w:t>י</w:t>
      </w:r>
      <w:r w:rsidRPr="007378CC">
        <w:rPr>
          <w:rtl/>
        </w:rPr>
        <w:t xml:space="preserve">יה א, הוראה מחייבת החלה באיחוד האירופי בתנאים הקבועים </w:t>
      </w:r>
      <w:r w:rsidRPr="007378CC">
        <w:rPr>
          <w:rFonts w:hint="cs"/>
          <w:rtl/>
        </w:rPr>
        <w:t>ו</w:t>
      </w:r>
      <w:r w:rsidRPr="007378CC">
        <w:rPr>
          <w:rtl/>
        </w:rPr>
        <w:t>לקבוע תנאים והחרגות להוראות המאומצות הקבועות בטור ב' או ג' לתוספת השנ</w:t>
      </w:r>
      <w:r w:rsidR="00CA2CD7">
        <w:rPr>
          <w:rFonts w:hint="cs"/>
          <w:rtl/>
        </w:rPr>
        <w:t>י</w:t>
      </w:r>
      <w:r w:rsidRPr="007378CC">
        <w:rPr>
          <w:rtl/>
        </w:rPr>
        <w:t xml:space="preserve">יה א'.  </w:t>
      </w:r>
    </w:p>
    <w:p w14:paraId="35643FC2" w14:textId="46ACD091" w:rsidR="007378CC" w:rsidRPr="007378CC" w:rsidRDefault="007378CC" w:rsidP="007378CC">
      <w:pPr>
        <w:rPr>
          <w:rtl/>
        </w:rPr>
      </w:pPr>
      <w:r w:rsidRPr="007378CC">
        <w:rPr>
          <w:rtl/>
        </w:rPr>
        <w:t>עם חקיקת חוק התכנית הכלכלית 2021 ולאור מורכבות המהלך החקיקתי של אימוץ הוראות הדין האירופי וחדשנותו, התברר כי יש צורך לבצע שינויים בהוראות התוספת השנ</w:t>
      </w:r>
      <w:r w:rsidR="00842FE1">
        <w:rPr>
          <w:rFonts w:hint="cs"/>
          <w:rtl/>
        </w:rPr>
        <w:t>י</w:t>
      </w:r>
      <w:r w:rsidRPr="007378CC">
        <w:rPr>
          <w:rtl/>
        </w:rPr>
        <w:t xml:space="preserve">יה א', ולחדד ולדייק </w:t>
      </w:r>
      <w:proofErr w:type="spellStart"/>
      <w:r w:rsidRPr="007378CC">
        <w:rPr>
          <w:rtl/>
        </w:rPr>
        <w:t>במינוחים</w:t>
      </w:r>
      <w:proofErr w:type="spellEnd"/>
      <w:r w:rsidRPr="007378CC">
        <w:rPr>
          <w:rtl/>
        </w:rPr>
        <w:t xml:space="preserve"> של ההוראות המאומצות ובתנאים ובהחרגות להן. נדגיש כי לא מדובר בהוספת תנאים מחמירים או בהרחבת ההחרגות אלא בצמצומן דווקא או במתן הבהרות ודיוק לגביהן כפי שיפורט להלן.</w:t>
      </w:r>
    </w:p>
    <w:p w14:paraId="61EEBE3B" w14:textId="73765A8C" w:rsidR="007378CC" w:rsidRPr="007378CC" w:rsidRDefault="007378CC" w:rsidP="00F5634A">
      <w:pPr>
        <w:rPr>
          <w:rtl/>
        </w:rPr>
      </w:pPr>
      <w:r w:rsidRPr="007378CC">
        <w:rPr>
          <w:rtl/>
        </w:rPr>
        <w:t>השינויים המוצעים בצו הינם הכרחיים כדי להבהיר ולחדד מחד - מהן בדיוק ההוראות בתקנות הא</w:t>
      </w:r>
      <w:r w:rsidR="004D1E09">
        <w:rPr>
          <w:rtl/>
        </w:rPr>
        <w:t>יחוד האירופי שאומצו בחו</w:t>
      </w:r>
      <w:r w:rsidR="004D1E09">
        <w:rPr>
          <w:rFonts w:hint="cs"/>
          <w:rtl/>
        </w:rPr>
        <w:t>ק התכנית הכלכלית 2021</w:t>
      </w:r>
      <w:r w:rsidRPr="007378CC">
        <w:rPr>
          <w:rtl/>
        </w:rPr>
        <w:t xml:space="preserve"> לפני שנה ופירוטן, ומאידך  - מהם התנאים וההחרגות להחלתן. לאור חדשנותו וראשוניותו של מהלך חקיקתי זה של אימוץ דין זר, </w:t>
      </w:r>
      <w:proofErr w:type="spellStart"/>
      <w:r w:rsidRPr="007378CC">
        <w:rPr>
          <w:rtl/>
        </w:rPr>
        <w:t>איפשר</w:t>
      </w:r>
      <w:proofErr w:type="spellEnd"/>
      <w:r w:rsidRPr="007378CC">
        <w:rPr>
          <w:rtl/>
        </w:rPr>
        <w:t xml:space="preserve"> המחוקק, במסגרת חוק התכנית הכלכלית, לשר, לתקן את התוספת השני</w:t>
      </w:r>
      <w:r w:rsidR="004D1E09">
        <w:rPr>
          <w:rFonts w:hint="cs"/>
          <w:rtl/>
        </w:rPr>
        <w:t>י</w:t>
      </w:r>
      <w:r w:rsidRPr="007378CC">
        <w:rPr>
          <w:rtl/>
        </w:rPr>
        <w:t xml:space="preserve">ה א </w:t>
      </w:r>
      <w:r w:rsidR="00F5634A">
        <w:rPr>
          <w:rFonts w:hint="cs"/>
          <w:rtl/>
        </w:rPr>
        <w:t>כאמור לעיל</w:t>
      </w:r>
      <w:r w:rsidRPr="007378CC">
        <w:rPr>
          <w:rtl/>
        </w:rPr>
        <w:t xml:space="preserve"> בדרך של צו, להוסיף הוראות אימוץ וכן להוסיף תנאים והחרגות להוראות המאומצות, כאשר היה ברור כבר בחקיקת החוק שהתוספת האמורה אינה שלמה ויידר</w:t>
      </w:r>
      <w:r w:rsidR="004D1E09">
        <w:rPr>
          <w:rtl/>
        </w:rPr>
        <w:t>ש לתקנה ולחדדה ולהוסיף לה בהתאם</w:t>
      </w:r>
      <w:r w:rsidR="004D1E09">
        <w:rPr>
          <w:rFonts w:hint="cs"/>
          <w:rtl/>
        </w:rPr>
        <w:t>.</w:t>
      </w:r>
      <w:r w:rsidRPr="007378CC">
        <w:rPr>
          <w:rtl/>
        </w:rPr>
        <w:t xml:space="preserve"> </w:t>
      </w:r>
      <w:r w:rsidR="00F5634A">
        <w:rPr>
          <w:rFonts w:hint="cs"/>
          <w:rtl/>
        </w:rPr>
        <w:t xml:space="preserve">כמו כן, </w:t>
      </w:r>
      <w:r w:rsidRPr="007378CC">
        <w:rPr>
          <w:rtl/>
        </w:rPr>
        <w:t xml:space="preserve">הוראות </w:t>
      </w:r>
      <w:r w:rsidR="00F5634A">
        <w:rPr>
          <w:rFonts w:hint="cs"/>
          <w:rtl/>
        </w:rPr>
        <w:t>ה</w:t>
      </w:r>
      <w:r w:rsidR="00F5634A">
        <w:rPr>
          <w:rtl/>
        </w:rPr>
        <w:t xml:space="preserve">מעבר </w:t>
      </w:r>
      <w:r w:rsidR="00F5634A">
        <w:rPr>
          <w:rFonts w:hint="cs"/>
          <w:rtl/>
        </w:rPr>
        <w:t xml:space="preserve">המוצעות </w:t>
      </w:r>
      <w:r w:rsidRPr="007378CC">
        <w:rPr>
          <w:rtl/>
        </w:rPr>
        <w:t xml:space="preserve">הכרחיות לצורך היערכות של יצרנים ויבואנים, בפרט אלה שיש </w:t>
      </w:r>
      <w:r w:rsidR="00F5634A">
        <w:rPr>
          <w:rtl/>
        </w:rPr>
        <w:t xml:space="preserve">בידיהם מלאים של מזון וגם חומרי </w:t>
      </w:r>
      <w:r w:rsidRPr="007378CC">
        <w:rPr>
          <w:rtl/>
        </w:rPr>
        <w:t xml:space="preserve">גלם </w:t>
      </w:r>
      <w:r w:rsidR="00F5634A">
        <w:rPr>
          <w:rFonts w:hint="cs"/>
          <w:rtl/>
        </w:rPr>
        <w:t>העומדים בהוראות</w:t>
      </w:r>
      <w:r w:rsidRPr="007378CC">
        <w:rPr>
          <w:rtl/>
        </w:rPr>
        <w:t xml:space="preserve"> החקיקה הקיימת</w:t>
      </w:r>
      <w:r w:rsidR="00F5634A">
        <w:rPr>
          <w:rFonts w:hint="cs"/>
          <w:rtl/>
        </w:rPr>
        <w:t xml:space="preserve"> ולא בהוראות המאומצות</w:t>
      </w:r>
      <w:r w:rsidRPr="007378CC">
        <w:rPr>
          <w:rtl/>
        </w:rPr>
        <w:t xml:space="preserve">. </w:t>
      </w:r>
    </w:p>
    <w:p w14:paraId="1F04C596" w14:textId="77777777" w:rsidR="007378CC" w:rsidRPr="007378CC" w:rsidRDefault="007378CC" w:rsidP="007378CC">
      <w:pPr>
        <w:rPr>
          <w:rtl/>
        </w:rPr>
      </w:pPr>
    </w:p>
    <w:bookmarkEnd w:id="0"/>
    <w:p w14:paraId="151CD167" w14:textId="77777777" w:rsidR="007378CC" w:rsidRPr="007378CC" w:rsidRDefault="007378CC" w:rsidP="007378CC">
      <w:pPr>
        <w:rPr>
          <w:rtl/>
        </w:rPr>
      </w:pPr>
    </w:p>
    <w:p w14:paraId="0D9A21F4" w14:textId="77777777" w:rsidR="007378CC" w:rsidRPr="007378CC" w:rsidRDefault="007378CC" w:rsidP="007378CC">
      <w:pPr>
        <w:numPr>
          <w:ilvl w:val="0"/>
          <w:numId w:val="1"/>
        </w:numPr>
        <w:spacing w:before="40" w:after="120"/>
        <w:outlineLvl w:val="3"/>
        <w:rPr>
          <w:b/>
          <w:bCs/>
          <w:color w:val="000000" w:themeColor="text1"/>
          <w:szCs w:val="28"/>
          <w:rtl/>
        </w:rPr>
      </w:pPr>
      <w:r w:rsidRPr="007378CC">
        <w:rPr>
          <w:rFonts w:hint="cs"/>
          <w:b/>
          <w:bCs/>
          <w:color w:val="000000" w:themeColor="text1"/>
          <w:szCs w:val="28"/>
          <w:rtl/>
        </w:rPr>
        <w:t xml:space="preserve">להלן נוסח טיוטת הצו המוצע: </w:t>
      </w:r>
    </w:p>
    <w:p w14:paraId="6D1556B1" w14:textId="77777777" w:rsidR="007378CC" w:rsidRPr="007378CC" w:rsidRDefault="007378CC" w:rsidP="007378CC">
      <w:pPr>
        <w:bidi w:val="0"/>
        <w:rPr>
          <w:rtl/>
        </w:rPr>
      </w:pPr>
      <w:r w:rsidRPr="007378CC">
        <w:rPr>
          <w:rtl/>
        </w:rPr>
        <w:br w:type="page"/>
      </w:r>
    </w:p>
    <w:p w14:paraId="728B24BE" w14:textId="22AEC2F1" w:rsidR="00B81693" w:rsidRDefault="00B81693" w:rsidP="007378CC">
      <w:pPr>
        <w:pStyle w:val="HeadHatzaotHok"/>
        <w:keepNext w:val="0"/>
        <w:keepLines w:val="0"/>
        <w:jc w:val="both"/>
        <w:rPr>
          <w:sz w:val="26"/>
          <w:rtl/>
        </w:rPr>
      </w:pPr>
    </w:p>
    <w:p w14:paraId="25794B54" w14:textId="394B9CB3" w:rsidR="007378CC" w:rsidRDefault="007378CC" w:rsidP="007378CC">
      <w:pPr>
        <w:pStyle w:val="HeadHatzaotHok"/>
        <w:keepNext w:val="0"/>
        <w:keepLines w:val="0"/>
        <w:jc w:val="both"/>
        <w:rPr>
          <w:sz w:val="26"/>
          <w:rtl/>
        </w:rPr>
      </w:pPr>
    </w:p>
    <w:p w14:paraId="24C747EF" w14:textId="0C1F6B8D" w:rsidR="007378CC" w:rsidRDefault="007378CC" w:rsidP="007378CC">
      <w:pPr>
        <w:pStyle w:val="HeadHatzaotHok"/>
        <w:keepNext w:val="0"/>
        <w:keepLines w:val="0"/>
        <w:jc w:val="both"/>
        <w:rPr>
          <w:sz w:val="26"/>
          <w:rtl/>
        </w:rPr>
      </w:pPr>
    </w:p>
    <w:p w14:paraId="2C6DBDE4" w14:textId="77777777" w:rsidR="007378CC" w:rsidRPr="00BB0E0E" w:rsidRDefault="007378CC" w:rsidP="007378CC">
      <w:pPr>
        <w:pStyle w:val="HeadHatzaotHok"/>
        <w:keepNext w:val="0"/>
        <w:keepLines w:val="0"/>
        <w:jc w:val="both"/>
        <w:rPr>
          <w:sz w:val="26"/>
          <w:rtl/>
        </w:rPr>
      </w:pPr>
    </w:p>
    <w:p w14:paraId="5F0D941E" w14:textId="77777777" w:rsidR="00393B54" w:rsidRPr="00BB0E0E" w:rsidRDefault="00350889" w:rsidP="00B81693">
      <w:pPr>
        <w:pStyle w:val="HeadHatzaotHok"/>
        <w:keepNext w:val="0"/>
        <w:keepLines w:val="0"/>
        <w:rPr>
          <w:b w:val="0"/>
          <w:bCs w:val="0"/>
          <w:sz w:val="26"/>
          <w:rtl/>
        </w:rPr>
      </w:pPr>
      <w:r w:rsidRPr="00BB0E0E">
        <w:rPr>
          <w:sz w:val="26"/>
          <w:u w:val="single"/>
          <w:rtl/>
        </w:rPr>
        <w:t xml:space="preserve">טיוטת צו </w:t>
      </w:r>
      <w:r w:rsidRPr="00BB0E0E">
        <w:rPr>
          <w:rFonts w:hint="cs"/>
          <w:sz w:val="26"/>
          <w:u w:val="single"/>
          <w:rtl/>
        </w:rPr>
        <w:t>הגנה</w:t>
      </w:r>
      <w:r w:rsidRPr="00BB0E0E">
        <w:rPr>
          <w:sz w:val="26"/>
          <w:u w:val="single"/>
          <w:rtl/>
        </w:rPr>
        <w:t xml:space="preserve"> על בריאות הציבור (מזון)(החלת הוראות האיחוד האירופי וקביעת תנאים והחרגות), </w:t>
      </w:r>
      <w:proofErr w:type="spellStart"/>
      <w:r w:rsidRPr="00BB0E0E">
        <w:rPr>
          <w:rFonts w:hint="cs"/>
          <w:sz w:val="26"/>
          <w:u w:val="single"/>
          <w:rtl/>
        </w:rPr>
        <w:t>התשפ</w:t>
      </w:r>
      <w:r w:rsidRPr="00BB0E0E">
        <w:rPr>
          <w:sz w:val="26"/>
          <w:u w:val="single"/>
          <w:rtl/>
        </w:rPr>
        <w:t>"ג</w:t>
      </w:r>
      <w:proofErr w:type="spellEnd"/>
      <w:r w:rsidRPr="00BB0E0E">
        <w:rPr>
          <w:sz w:val="26"/>
          <w:u w:val="single"/>
          <w:rtl/>
        </w:rPr>
        <w:t xml:space="preserve"> – 2022</w:t>
      </w:r>
    </w:p>
    <w:p w14:paraId="26F82FEC" w14:textId="77777777" w:rsidR="00F328FA" w:rsidRPr="00BB0E0E" w:rsidRDefault="00F328FA" w:rsidP="008A1FC0">
      <w:pPr>
        <w:pStyle w:val="HeadHatzaotHok"/>
        <w:keepNext w:val="0"/>
        <w:keepLines w:val="0"/>
        <w:jc w:val="left"/>
        <w:rPr>
          <w:sz w:val="26"/>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207578" w:rsidRPr="00BB0E0E" w14:paraId="5055C839" w14:textId="77777777" w:rsidTr="0055362C">
        <w:trPr>
          <w:cantSplit/>
          <w:trHeight w:val="60"/>
        </w:trPr>
        <w:tc>
          <w:tcPr>
            <w:tcW w:w="1871" w:type="dxa"/>
          </w:tcPr>
          <w:p w14:paraId="1A532F3A" w14:textId="77777777" w:rsidR="00207578" w:rsidRPr="00BB0E0E" w:rsidRDefault="00207578">
            <w:pPr>
              <w:pStyle w:val="TableSideHeading"/>
              <w:rPr>
                <w:sz w:val="26"/>
                <w:rtl/>
              </w:rPr>
            </w:pPr>
          </w:p>
        </w:tc>
        <w:tc>
          <w:tcPr>
            <w:tcW w:w="624" w:type="dxa"/>
          </w:tcPr>
          <w:p w14:paraId="04478A48" w14:textId="77777777" w:rsidR="00207578" w:rsidRPr="00BB0E0E" w:rsidRDefault="00207578">
            <w:pPr>
              <w:pStyle w:val="TableText"/>
              <w:rPr>
                <w:sz w:val="26"/>
              </w:rPr>
            </w:pPr>
          </w:p>
        </w:tc>
        <w:tc>
          <w:tcPr>
            <w:tcW w:w="7146" w:type="dxa"/>
            <w:gridSpan w:val="4"/>
            <w:hideMark/>
          </w:tcPr>
          <w:p w14:paraId="4790A733" w14:textId="77777777" w:rsidR="00207578" w:rsidRPr="00BB0E0E" w:rsidRDefault="00207578" w:rsidP="00FF1172">
            <w:pPr>
              <w:pStyle w:val="TableBlock"/>
              <w:rPr>
                <w:sz w:val="26"/>
              </w:rPr>
            </w:pPr>
            <w:r w:rsidRPr="00BB0E0E">
              <w:rPr>
                <w:sz w:val="26"/>
                <w:rtl/>
              </w:rPr>
              <w:t>בתוקף סמכותי לפי סעיף</w:t>
            </w:r>
            <w:r w:rsidRPr="00BB0E0E">
              <w:rPr>
                <w:rFonts w:hint="cs"/>
                <w:sz w:val="26"/>
                <w:rtl/>
              </w:rPr>
              <w:t xml:space="preserve"> 3א(ו) לחוק הגנה על בריאות הציבור (מזון), </w:t>
            </w:r>
            <w:proofErr w:type="spellStart"/>
            <w:r w:rsidRPr="00BB0E0E">
              <w:rPr>
                <w:rFonts w:hint="cs"/>
                <w:sz w:val="26"/>
                <w:rtl/>
              </w:rPr>
              <w:t>התשע"ו</w:t>
            </w:r>
            <w:proofErr w:type="spellEnd"/>
            <w:r w:rsidRPr="00BB0E0E">
              <w:rPr>
                <w:rFonts w:hint="cs"/>
                <w:sz w:val="26"/>
                <w:rtl/>
              </w:rPr>
              <w:t xml:space="preserve"> -2015</w:t>
            </w:r>
            <w:r w:rsidR="00A94692" w:rsidRPr="00BB0E0E">
              <w:rPr>
                <w:sz w:val="26"/>
                <w:rtl/>
              </w:rPr>
              <w:t xml:space="preserve">, </w:t>
            </w:r>
            <w:r w:rsidR="00185745" w:rsidRPr="00BB0E0E">
              <w:rPr>
                <w:rFonts w:hint="cs"/>
                <w:sz w:val="26"/>
                <w:rtl/>
              </w:rPr>
              <w:t xml:space="preserve">כנוסחו בסעיף </w:t>
            </w:r>
            <w:r w:rsidR="00FF1172" w:rsidRPr="00BB0E0E">
              <w:rPr>
                <w:rFonts w:hint="cs"/>
                <w:sz w:val="26"/>
                <w:rtl/>
              </w:rPr>
              <w:t>106(3)</w:t>
            </w:r>
            <w:r w:rsidR="00185745" w:rsidRPr="00BB0E0E">
              <w:rPr>
                <w:rFonts w:hint="cs"/>
                <w:sz w:val="26"/>
                <w:rtl/>
              </w:rPr>
              <w:t xml:space="preserve"> לחוק התוכנית הכלכלית (תיקוני חקיקה ליישום המ</w:t>
            </w:r>
            <w:r w:rsidR="008A1FC0" w:rsidRPr="00BB0E0E">
              <w:rPr>
                <w:rFonts w:hint="cs"/>
                <w:sz w:val="26"/>
                <w:rtl/>
              </w:rPr>
              <w:t>ד</w:t>
            </w:r>
            <w:r w:rsidR="00185745" w:rsidRPr="00BB0E0E">
              <w:rPr>
                <w:rFonts w:hint="cs"/>
                <w:sz w:val="26"/>
                <w:rtl/>
              </w:rPr>
              <w:t xml:space="preserve">יניות הכלכלית לשנות התקציב 2021 ו-2022), </w:t>
            </w:r>
            <w:proofErr w:type="spellStart"/>
            <w:r w:rsidR="00185745" w:rsidRPr="00BB0E0E">
              <w:rPr>
                <w:rFonts w:hint="cs"/>
                <w:sz w:val="26"/>
                <w:rtl/>
              </w:rPr>
              <w:t>התשפ"ב</w:t>
            </w:r>
            <w:proofErr w:type="spellEnd"/>
            <w:r w:rsidR="00185745" w:rsidRPr="00BB0E0E">
              <w:rPr>
                <w:rFonts w:hint="cs"/>
                <w:sz w:val="26"/>
                <w:rtl/>
              </w:rPr>
              <w:t xml:space="preserve"> </w:t>
            </w:r>
            <w:r w:rsidR="00185745" w:rsidRPr="00BB0E0E">
              <w:rPr>
                <w:sz w:val="26"/>
                <w:rtl/>
              </w:rPr>
              <w:t>–</w:t>
            </w:r>
            <w:r w:rsidR="00185745" w:rsidRPr="00BB0E0E">
              <w:rPr>
                <w:rFonts w:hint="cs"/>
                <w:sz w:val="26"/>
                <w:rtl/>
              </w:rPr>
              <w:t xml:space="preserve"> 2021 </w:t>
            </w:r>
            <w:r w:rsidR="0060712F" w:rsidRPr="00BB0E0E">
              <w:rPr>
                <w:rFonts w:hint="cs"/>
                <w:sz w:val="26"/>
                <w:rtl/>
              </w:rPr>
              <w:t xml:space="preserve">(להלן </w:t>
            </w:r>
            <w:r w:rsidR="0060712F" w:rsidRPr="00BB0E0E">
              <w:rPr>
                <w:sz w:val="26"/>
                <w:rtl/>
              </w:rPr>
              <w:t>–</w:t>
            </w:r>
            <w:r w:rsidR="0060712F" w:rsidRPr="00BB0E0E">
              <w:rPr>
                <w:rFonts w:hint="cs"/>
                <w:sz w:val="26"/>
                <w:rtl/>
              </w:rPr>
              <w:t xml:space="preserve"> החוק</w:t>
            </w:r>
            <w:r w:rsidR="00864D00" w:rsidRPr="00BB0E0E">
              <w:rPr>
                <w:rFonts w:hint="cs"/>
                <w:sz w:val="26"/>
                <w:rtl/>
              </w:rPr>
              <w:t xml:space="preserve"> העיקרי</w:t>
            </w:r>
            <w:r w:rsidR="0060712F" w:rsidRPr="00BB0E0E">
              <w:rPr>
                <w:rFonts w:hint="cs"/>
                <w:sz w:val="26"/>
                <w:rtl/>
              </w:rPr>
              <w:t>)</w:t>
            </w:r>
            <w:r w:rsidR="007F1329" w:rsidRPr="00BB0E0E">
              <w:rPr>
                <w:rStyle w:val="a7"/>
                <w:sz w:val="26"/>
                <w:rtl/>
              </w:rPr>
              <w:t xml:space="preserve"> </w:t>
            </w:r>
            <w:r w:rsidR="007F1329" w:rsidRPr="00BB0E0E">
              <w:rPr>
                <w:rStyle w:val="a7"/>
                <w:sz w:val="26"/>
                <w:rtl/>
              </w:rPr>
              <w:footnoteReference w:id="1"/>
            </w:r>
            <w:r w:rsidRPr="00BB0E0E">
              <w:rPr>
                <w:sz w:val="26"/>
                <w:rtl/>
              </w:rPr>
              <w:t xml:space="preserve">, לאחר </w:t>
            </w:r>
            <w:r w:rsidR="0060712F" w:rsidRPr="00BB0E0E">
              <w:rPr>
                <w:sz w:val="26"/>
                <w:rtl/>
              </w:rPr>
              <w:t>קבלת המלצת ועדת החריגים</w:t>
            </w:r>
            <w:r w:rsidR="007D12CB" w:rsidRPr="00BB0E0E">
              <w:rPr>
                <w:rStyle w:val="a7"/>
                <w:sz w:val="26"/>
                <w:rtl/>
              </w:rPr>
              <w:footnoteReference w:id="2"/>
            </w:r>
            <w:r w:rsidR="0060712F" w:rsidRPr="00BB0E0E">
              <w:rPr>
                <w:sz w:val="26"/>
                <w:rtl/>
              </w:rPr>
              <w:t xml:space="preserve"> </w:t>
            </w:r>
            <w:r w:rsidR="00030FE9" w:rsidRPr="00BB0E0E">
              <w:rPr>
                <w:rFonts w:hint="cs"/>
                <w:sz w:val="26"/>
                <w:rtl/>
              </w:rPr>
              <w:t xml:space="preserve">ובאישור הוועדה המשותפת </w:t>
            </w:r>
            <w:r w:rsidR="0060712F" w:rsidRPr="00BB0E0E">
              <w:rPr>
                <w:sz w:val="26"/>
                <w:rtl/>
              </w:rPr>
              <w:t>לפי סעיף 313</w:t>
            </w:r>
            <w:r w:rsidR="00030FE9" w:rsidRPr="00BB0E0E">
              <w:rPr>
                <w:rFonts w:hint="cs"/>
                <w:sz w:val="26"/>
                <w:rtl/>
              </w:rPr>
              <w:t>(ג)</w:t>
            </w:r>
            <w:r w:rsidR="0060712F" w:rsidRPr="00BB0E0E">
              <w:rPr>
                <w:rFonts w:hint="cs"/>
                <w:sz w:val="26"/>
                <w:rtl/>
              </w:rPr>
              <w:t xml:space="preserve"> לחוק </w:t>
            </w:r>
            <w:r w:rsidR="007F1329" w:rsidRPr="00BB0E0E">
              <w:rPr>
                <w:rFonts w:hint="cs"/>
                <w:sz w:val="26"/>
                <w:rtl/>
              </w:rPr>
              <w:t>העיקרי</w:t>
            </w:r>
            <w:r w:rsidR="0060712F" w:rsidRPr="00BB0E0E">
              <w:rPr>
                <w:rFonts w:hint="cs"/>
                <w:sz w:val="26"/>
                <w:rtl/>
              </w:rPr>
              <w:t xml:space="preserve">, </w:t>
            </w:r>
            <w:r w:rsidRPr="00BB0E0E">
              <w:rPr>
                <w:sz w:val="26"/>
                <w:rtl/>
              </w:rPr>
              <w:t>אני מצווה לאמור:</w:t>
            </w:r>
          </w:p>
        </w:tc>
      </w:tr>
      <w:tr w:rsidR="00207578" w:rsidRPr="00BB0E0E" w14:paraId="30A882E4" w14:textId="77777777" w:rsidTr="0055362C">
        <w:trPr>
          <w:cantSplit/>
          <w:trHeight w:val="60"/>
        </w:trPr>
        <w:tc>
          <w:tcPr>
            <w:tcW w:w="1871" w:type="dxa"/>
          </w:tcPr>
          <w:p w14:paraId="05EF1B89" w14:textId="77777777" w:rsidR="00207578" w:rsidRPr="00BB0E0E" w:rsidRDefault="00207578">
            <w:pPr>
              <w:pStyle w:val="TableSideHeading"/>
              <w:rPr>
                <w:sz w:val="26"/>
              </w:rPr>
            </w:pPr>
          </w:p>
        </w:tc>
        <w:tc>
          <w:tcPr>
            <w:tcW w:w="624" w:type="dxa"/>
          </w:tcPr>
          <w:p w14:paraId="41000EAB" w14:textId="77777777" w:rsidR="00207578" w:rsidRPr="00BB0E0E" w:rsidRDefault="00207578">
            <w:pPr>
              <w:pStyle w:val="TableText"/>
              <w:rPr>
                <w:sz w:val="26"/>
              </w:rPr>
            </w:pPr>
          </w:p>
        </w:tc>
        <w:tc>
          <w:tcPr>
            <w:tcW w:w="7146" w:type="dxa"/>
            <w:gridSpan w:val="4"/>
          </w:tcPr>
          <w:p w14:paraId="3A3F7CEE" w14:textId="77777777" w:rsidR="00207578" w:rsidRPr="00BB0E0E" w:rsidRDefault="00207578">
            <w:pPr>
              <w:pStyle w:val="TableHead"/>
              <w:rPr>
                <w:sz w:val="26"/>
              </w:rPr>
            </w:pPr>
          </w:p>
        </w:tc>
      </w:tr>
      <w:tr w:rsidR="00207578" w:rsidRPr="00BB0E0E" w14:paraId="71AA8182" w14:textId="77777777" w:rsidTr="0055362C">
        <w:trPr>
          <w:cantSplit/>
          <w:trHeight w:val="60"/>
        </w:trPr>
        <w:tc>
          <w:tcPr>
            <w:tcW w:w="1871" w:type="dxa"/>
          </w:tcPr>
          <w:p w14:paraId="4BB222CB" w14:textId="0CC9098B" w:rsidR="00207578" w:rsidRPr="00BB0E0E" w:rsidRDefault="0016213E">
            <w:pPr>
              <w:pStyle w:val="TableSideHeading"/>
              <w:rPr>
                <w:sz w:val="26"/>
              </w:rPr>
            </w:pPr>
            <w:r>
              <w:rPr>
                <w:rFonts w:hint="cs"/>
                <w:sz w:val="26"/>
                <w:rtl/>
              </w:rPr>
              <w:t xml:space="preserve">הוספת </w:t>
            </w:r>
            <w:r w:rsidR="00B64BBD">
              <w:rPr>
                <w:rFonts w:hint="cs"/>
                <w:sz w:val="26"/>
                <w:rtl/>
              </w:rPr>
              <w:t>הגדרות</w:t>
            </w:r>
          </w:p>
        </w:tc>
        <w:tc>
          <w:tcPr>
            <w:tcW w:w="624" w:type="dxa"/>
          </w:tcPr>
          <w:p w14:paraId="0BEDA7E8" w14:textId="77777777" w:rsidR="00207578" w:rsidRPr="00BB0E0E" w:rsidRDefault="00207578" w:rsidP="00207578">
            <w:pPr>
              <w:pStyle w:val="TableText"/>
              <w:numPr>
                <w:ilvl w:val="0"/>
                <w:numId w:val="2"/>
              </w:numPr>
              <w:rPr>
                <w:sz w:val="26"/>
              </w:rPr>
            </w:pPr>
          </w:p>
        </w:tc>
        <w:tc>
          <w:tcPr>
            <w:tcW w:w="7146" w:type="dxa"/>
            <w:gridSpan w:val="4"/>
          </w:tcPr>
          <w:p w14:paraId="374F20CF" w14:textId="77777777" w:rsidR="00207578" w:rsidRPr="00BB0E0E" w:rsidRDefault="00CB1F65" w:rsidP="00000B52">
            <w:pPr>
              <w:pStyle w:val="TableBlock"/>
              <w:rPr>
                <w:sz w:val="26"/>
              </w:rPr>
            </w:pPr>
            <w:r w:rsidRPr="00BB0E0E">
              <w:rPr>
                <w:rFonts w:hint="cs"/>
                <w:sz w:val="26"/>
                <w:rtl/>
              </w:rPr>
              <w:t>ב</w:t>
            </w:r>
            <w:r w:rsidR="00000B52" w:rsidRPr="00BB0E0E">
              <w:rPr>
                <w:rFonts w:hint="cs"/>
                <w:sz w:val="26"/>
                <w:rtl/>
              </w:rPr>
              <w:t>תוספת השנייה א' לחוק העיקרי, לאחר כותרת המשנה "הוראות האיחוד האירופי המאומצות בישראל" יבוא</w:t>
            </w:r>
            <w:r w:rsidRPr="00BB0E0E">
              <w:rPr>
                <w:rFonts w:hint="cs"/>
                <w:sz w:val="26"/>
                <w:rtl/>
              </w:rPr>
              <w:t xml:space="preserve"> - </w:t>
            </w:r>
          </w:p>
        </w:tc>
      </w:tr>
      <w:tr w:rsidR="00CB1F65" w:rsidRPr="00BB0E0E" w14:paraId="08C5D962" w14:textId="77777777">
        <w:trPr>
          <w:cantSplit/>
          <w:trHeight w:val="60"/>
        </w:trPr>
        <w:tc>
          <w:tcPr>
            <w:tcW w:w="1871" w:type="dxa"/>
          </w:tcPr>
          <w:p w14:paraId="3537500A" w14:textId="77777777" w:rsidR="00CB1F65" w:rsidRPr="00BB0E0E" w:rsidRDefault="00CB1F65">
            <w:pPr>
              <w:pStyle w:val="TableSideHeading"/>
              <w:rPr>
                <w:sz w:val="26"/>
              </w:rPr>
            </w:pPr>
          </w:p>
        </w:tc>
        <w:tc>
          <w:tcPr>
            <w:tcW w:w="624" w:type="dxa"/>
          </w:tcPr>
          <w:p w14:paraId="26065432" w14:textId="77777777" w:rsidR="00CB1F65" w:rsidRPr="00BB0E0E" w:rsidRDefault="00CB1F65">
            <w:pPr>
              <w:pStyle w:val="TableText"/>
              <w:rPr>
                <w:sz w:val="26"/>
              </w:rPr>
            </w:pPr>
          </w:p>
        </w:tc>
        <w:tc>
          <w:tcPr>
            <w:tcW w:w="624" w:type="dxa"/>
          </w:tcPr>
          <w:p w14:paraId="5BD8BD5B" w14:textId="77777777" w:rsidR="00CB1F65" w:rsidRPr="00BB0E0E" w:rsidRDefault="00CB1F65">
            <w:pPr>
              <w:pStyle w:val="TableText"/>
              <w:rPr>
                <w:sz w:val="26"/>
              </w:rPr>
            </w:pPr>
          </w:p>
        </w:tc>
        <w:tc>
          <w:tcPr>
            <w:tcW w:w="6522" w:type="dxa"/>
            <w:gridSpan w:val="3"/>
          </w:tcPr>
          <w:p w14:paraId="24E538EE" w14:textId="77777777" w:rsidR="00CB1F65" w:rsidRPr="00BB0E0E" w:rsidRDefault="00000B52" w:rsidP="00000B52">
            <w:pPr>
              <w:pStyle w:val="TableBlockOutdent"/>
              <w:rPr>
                <w:sz w:val="26"/>
              </w:rPr>
            </w:pPr>
            <w:r w:rsidRPr="00BB0E0E">
              <w:rPr>
                <w:rFonts w:hint="cs"/>
                <w:sz w:val="26"/>
                <w:rtl/>
              </w:rPr>
              <w:t xml:space="preserve">"בתוספת זו: </w:t>
            </w:r>
          </w:p>
        </w:tc>
      </w:tr>
      <w:tr w:rsidR="00000B52" w:rsidRPr="00BB0E0E" w14:paraId="0C1342F1" w14:textId="77777777">
        <w:trPr>
          <w:cantSplit/>
          <w:trHeight w:val="60"/>
        </w:trPr>
        <w:tc>
          <w:tcPr>
            <w:tcW w:w="1871" w:type="dxa"/>
          </w:tcPr>
          <w:p w14:paraId="29312CB1" w14:textId="77777777" w:rsidR="00000B52" w:rsidRPr="00BB0E0E" w:rsidRDefault="00000B52">
            <w:pPr>
              <w:pStyle w:val="TableSideHeading"/>
              <w:rPr>
                <w:sz w:val="26"/>
              </w:rPr>
            </w:pPr>
          </w:p>
        </w:tc>
        <w:tc>
          <w:tcPr>
            <w:tcW w:w="624" w:type="dxa"/>
          </w:tcPr>
          <w:p w14:paraId="5E8C3C98" w14:textId="77777777" w:rsidR="00000B52" w:rsidRPr="00BB0E0E" w:rsidRDefault="00000B52">
            <w:pPr>
              <w:pStyle w:val="TableText"/>
              <w:rPr>
                <w:sz w:val="26"/>
              </w:rPr>
            </w:pPr>
          </w:p>
        </w:tc>
        <w:tc>
          <w:tcPr>
            <w:tcW w:w="624" w:type="dxa"/>
          </w:tcPr>
          <w:p w14:paraId="44FD7932" w14:textId="77777777" w:rsidR="00000B52" w:rsidRPr="00BB0E0E" w:rsidRDefault="00000B52">
            <w:pPr>
              <w:pStyle w:val="TableText"/>
              <w:rPr>
                <w:sz w:val="26"/>
                <w:rtl/>
              </w:rPr>
            </w:pPr>
          </w:p>
        </w:tc>
        <w:tc>
          <w:tcPr>
            <w:tcW w:w="6522" w:type="dxa"/>
            <w:gridSpan w:val="3"/>
          </w:tcPr>
          <w:p w14:paraId="4B1F552B" w14:textId="77777777" w:rsidR="00000B52" w:rsidRPr="00BB0E0E" w:rsidRDefault="00000B52" w:rsidP="00DB71B4">
            <w:pPr>
              <w:pStyle w:val="TableBlock"/>
              <w:rPr>
                <w:sz w:val="26"/>
                <w:rtl/>
              </w:rPr>
            </w:pPr>
            <w:r w:rsidRPr="00BB0E0E">
              <w:rPr>
                <w:sz w:val="26"/>
                <w:rtl/>
              </w:rPr>
              <w:t>"מזהם ביולוגי" – אחד מהמפורטים להלן, העלולים להזיק לבריאות האדם:</w:t>
            </w:r>
          </w:p>
        </w:tc>
      </w:tr>
      <w:tr w:rsidR="002C3C67" w:rsidRPr="00BB0E0E" w14:paraId="4B716E1B" w14:textId="77777777">
        <w:trPr>
          <w:cantSplit/>
          <w:trHeight w:val="60"/>
        </w:trPr>
        <w:tc>
          <w:tcPr>
            <w:tcW w:w="1871" w:type="dxa"/>
          </w:tcPr>
          <w:p w14:paraId="59FBD5BD" w14:textId="77777777" w:rsidR="002C3C67" w:rsidRPr="00BB0E0E" w:rsidRDefault="002C3C67">
            <w:pPr>
              <w:pStyle w:val="TableSideHeading"/>
              <w:rPr>
                <w:sz w:val="26"/>
              </w:rPr>
            </w:pPr>
          </w:p>
        </w:tc>
        <w:tc>
          <w:tcPr>
            <w:tcW w:w="624" w:type="dxa"/>
          </w:tcPr>
          <w:p w14:paraId="2D43AAB9" w14:textId="77777777" w:rsidR="002C3C67" w:rsidRPr="00BB0E0E" w:rsidRDefault="002C3C67">
            <w:pPr>
              <w:pStyle w:val="TableText"/>
              <w:rPr>
                <w:sz w:val="26"/>
              </w:rPr>
            </w:pPr>
          </w:p>
        </w:tc>
        <w:tc>
          <w:tcPr>
            <w:tcW w:w="624" w:type="dxa"/>
          </w:tcPr>
          <w:p w14:paraId="17F946BD" w14:textId="77777777" w:rsidR="002C3C67" w:rsidRPr="00BB0E0E" w:rsidRDefault="002C3C67">
            <w:pPr>
              <w:pStyle w:val="TableText"/>
              <w:rPr>
                <w:sz w:val="26"/>
              </w:rPr>
            </w:pPr>
          </w:p>
        </w:tc>
        <w:tc>
          <w:tcPr>
            <w:tcW w:w="624" w:type="dxa"/>
          </w:tcPr>
          <w:p w14:paraId="511B77BB" w14:textId="77777777" w:rsidR="002C3C67" w:rsidRPr="00BB0E0E" w:rsidRDefault="002C3C67">
            <w:pPr>
              <w:pStyle w:val="TableText"/>
              <w:rPr>
                <w:sz w:val="26"/>
              </w:rPr>
            </w:pPr>
          </w:p>
        </w:tc>
        <w:tc>
          <w:tcPr>
            <w:tcW w:w="5898" w:type="dxa"/>
            <w:gridSpan w:val="2"/>
          </w:tcPr>
          <w:p w14:paraId="25CD2E2E" w14:textId="77777777" w:rsidR="002C3C67" w:rsidRPr="00BB0E0E" w:rsidRDefault="002C3C67" w:rsidP="00CD682D">
            <w:pPr>
              <w:pStyle w:val="TableBlock"/>
              <w:tabs>
                <w:tab w:val="clear" w:pos="1247"/>
                <w:tab w:val="left" w:pos="931"/>
              </w:tabs>
              <w:ind w:left="506"/>
              <w:rPr>
                <w:sz w:val="26"/>
              </w:rPr>
            </w:pPr>
            <w:r w:rsidRPr="00BB0E0E">
              <w:rPr>
                <w:sz w:val="26"/>
                <w:rtl/>
              </w:rPr>
              <w:t>(1)</w:t>
            </w:r>
            <w:r w:rsidRPr="00BB0E0E">
              <w:rPr>
                <w:sz w:val="26"/>
                <w:rtl/>
              </w:rPr>
              <w:tab/>
              <w:t xml:space="preserve">מיקרואורגניזם, ובכלל זה חיידק, נגיף, שמר, עובש, אצה, </w:t>
            </w:r>
            <w:proofErr w:type="spellStart"/>
            <w:r w:rsidRPr="00BB0E0E">
              <w:rPr>
                <w:sz w:val="26"/>
                <w:rtl/>
              </w:rPr>
              <w:t>פרוטוזואה</w:t>
            </w:r>
            <w:proofErr w:type="spellEnd"/>
            <w:r w:rsidRPr="00BB0E0E">
              <w:rPr>
                <w:sz w:val="26"/>
                <w:rtl/>
              </w:rPr>
              <w:t xml:space="preserve"> טפילי (</w:t>
            </w:r>
            <w:r w:rsidRPr="00BB0E0E">
              <w:rPr>
                <w:sz w:val="26"/>
              </w:rPr>
              <w:t>parasitic protozoa</w:t>
            </w:r>
            <w:r w:rsidRPr="00BB0E0E">
              <w:rPr>
                <w:sz w:val="26"/>
                <w:rtl/>
              </w:rPr>
              <w:t xml:space="preserve">), תולעים מיקרוסקופיות טפיליות </w:t>
            </w:r>
            <w:r w:rsidRPr="00BB0E0E">
              <w:rPr>
                <w:sz w:val="26"/>
              </w:rPr>
              <w:t>microscopic parasitic</w:t>
            </w:r>
            <w:r w:rsidR="00CD682D">
              <w:rPr>
                <w:sz w:val="26"/>
              </w:rPr>
              <w:t>)</w:t>
            </w:r>
            <w:r w:rsidRPr="00BB0E0E">
              <w:rPr>
                <w:sz w:val="26"/>
              </w:rPr>
              <w:t xml:space="preserve"> helminths</w:t>
            </w:r>
            <w:r w:rsidRPr="00BB0E0E">
              <w:rPr>
                <w:sz w:val="26"/>
                <w:rtl/>
              </w:rPr>
              <w:t>), שלא הוסף באופן מכוון למזון;</w:t>
            </w:r>
          </w:p>
        </w:tc>
      </w:tr>
      <w:tr w:rsidR="002C3C67" w:rsidRPr="00BB0E0E" w14:paraId="256F5785" w14:textId="77777777">
        <w:trPr>
          <w:cantSplit/>
          <w:trHeight w:val="60"/>
        </w:trPr>
        <w:tc>
          <w:tcPr>
            <w:tcW w:w="1871" w:type="dxa"/>
          </w:tcPr>
          <w:p w14:paraId="5999E204" w14:textId="77777777" w:rsidR="002C3C67" w:rsidRPr="00BB0E0E" w:rsidRDefault="002C3C67">
            <w:pPr>
              <w:pStyle w:val="TableSideHeading"/>
              <w:rPr>
                <w:sz w:val="26"/>
              </w:rPr>
            </w:pPr>
          </w:p>
        </w:tc>
        <w:tc>
          <w:tcPr>
            <w:tcW w:w="624" w:type="dxa"/>
          </w:tcPr>
          <w:p w14:paraId="7F8095FB" w14:textId="77777777" w:rsidR="002C3C67" w:rsidRPr="00BB0E0E" w:rsidRDefault="002C3C67" w:rsidP="002C3C67">
            <w:pPr>
              <w:pStyle w:val="TableText"/>
              <w:rPr>
                <w:sz w:val="26"/>
              </w:rPr>
            </w:pPr>
          </w:p>
        </w:tc>
        <w:tc>
          <w:tcPr>
            <w:tcW w:w="624" w:type="dxa"/>
          </w:tcPr>
          <w:p w14:paraId="0306B8EC" w14:textId="77777777" w:rsidR="002C3C67" w:rsidRPr="00BB0E0E" w:rsidRDefault="002C3C67">
            <w:pPr>
              <w:pStyle w:val="TableText"/>
              <w:rPr>
                <w:sz w:val="26"/>
              </w:rPr>
            </w:pPr>
          </w:p>
        </w:tc>
        <w:tc>
          <w:tcPr>
            <w:tcW w:w="624" w:type="dxa"/>
          </w:tcPr>
          <w:p w14:paraId="33F0D73A" w14:textId="77777777" w:rsidR="002C3C67" w:rsidRPr="00BB0E0E" w:rsidRDefault="002C3C67">
            <w:pPr>
              <w:pStyle w:val="TableText"/>
              <w:rPr>
                <w:sz w:val="26"/>
              </w:rPr>
            </w:pPr>
          </w:p>
        </w:tc>
        <w:tc>
          <w:tcPr>
            <w:tcW w:w="5898" w:type="dxa"/>
            <w:gridSpan w:val="2"/>
          </w:tcPr>
          <w:p w14:paraId="397DAD55" w14:textId="77777777" w:rsidR="002C3C67" w:rsidRPr="00BB0E0E" w:rsidRDefault="002C3C67" w:rsidP="002C3C67">
            <w:pPr>
              <w:pStyle w:val="TableBlock"/>
              <w:tabs>
                <w:tab w:val="clear" w:pos="1247"/>
                <w:tab w:val="left" w:pos="931"/>
              </w:tabs>
              <w:ind w:left="506"/>
              <w:rPr>
                <w:sz w:val="26"/>
                <w:rtl/>
              </w:rPr>
            </w:pPr>
            <w:r w:rsidRPr="00BB0E0E">
              <w:rPr>
                <w:sz w:val="26"/>
                <w:rtl/>
              </w:rPr>
              <w:t>(</w:t>
            </w:r>
            <w:r w:rsidRPr="00BB0E0E">
              <w:rPr>
                <w:rFonts w:hint="cs"/>
                <w:sz w:val="26"/>
                <w:rtl/>
              </w:rPr>
              <w:t>2</w:t>
            </w:r>
            <w:r w:rsidRPr="00BB0E0E">
              <w:rPr>
                <w:sz w:val="26"/>
                <w:rtl/>
              </w:rPr>
              <w:t>)</w:t>
            </w:r>
            <w:r w:rsidRPr="00BB0E0E">
              <w:rPr>
                <w:sz w:val="26"/>
                <w:rtl/>
              </w:rPr>
              <w:tab/>
              <w:t>רעלן או תוצר של מיקרואורגניזם כאמור בפסקה (1);</w:t>
            </w:r>
          </w:p>
        </w:tc>
      </w:tr>
      <w:tr w:rsidR="002C3C67" w:rsidRPr="00BB0E0E" w14:paraId="3DE3FF53" w14:textId="77777777">
        <w:trPr>
          <w:cantSplit/>
          <w:trHeight w:val="60"/>
        </w:trPr>
        <w:tc>
          <w:tcPr>
            <w:tcW w:w="1871" w:type="dxa"/>
          </w:tcPr>
          <w:p w14:paraId="3B7D414A" w14:textId="77777777" w:rsidR="002C3C67" w:rsidRPr="00BB0E0E" w:rsidRDefault="002C3C67">
            <w:pPr>
              <w:pStyle w:val="TableSideHeading"/>
              <w:rPr>
                <w:sz w:val="26"/>
              </w:rPr>
            </w:pPr>
          </w:p>
        </w:tc>
        <w:tc>
          <w:tcPr>
            <w:tcW w:w="624" w:type="dxa"/>
          </w:tcPr>
          <w:p w14:paraId="4F3E81A8" w14:textId="77777777" w:rsidR="002C3C67" w:rsidRPr="00BB0E0E" w:rsidRDefault="002C3C67" w:rsidP="002C3C67">
            <w:pPr>
              <w:pStyle w:val="TableText"/>
              <w:rPr>
                <w:sz w:val="26"/>
              </w:rPr>
            </w:pPr>
          </w:p>
        </w:tc>
        <w:tc>
          <w:tcPr>
            <w:tcW w:w="624" w:type="dxa"/>
          </w:tcPr>
          <w:p w14:paraId="2C00F8B4" w14:textId="77777777" w:rsidR="002C3C67" w:rsidRPr="00BB0E0E" w:rsidRDefault="002C3C67">
            <w:pPr>
              <w:pStyle w:val="TableText"/>
              <w:rPr>
                <w:sz w:val="26"/>
              </w:rPr>
            </w:pPr>
          </w:p>
        </w:tc>
        <w:tc>
          <w:tcPr>
            <w:tcW w:w="624" w:type="dxa"/>
          </w:tcPr>
          <w:p w14:paraId="3C51CFBB" w14:textId="77777777" w:rsidR="002C3C67" w:rsidRPr="00BB0E0E" w:rsidRDefault="002C3C67">
            <w:pPr>
              <w:pStyle w:val="TableText"/>
              <w:rPr>
                <w:sz w:val="26"/>
              </w:rPr>
            </w:pPr>
          </w:p>
        </w:tc>
        <w:tc>
          <w:tcPr>
            <w:tcW w:w="5898" w:type="dxa"/>
            <w:gridSpan w:val="2"/>
          </w:tcPr>
          <w:p w14:paraId="299B1792" w14:textId="77777777" w:rsidR="002C3C67" w:rsidRPr="00BB0E0E" w:rsidRDefault="002C3C67" w:rsidP="002C3C67">
            <w:pPr>
              <w:pStyle w:val="TableBlock"/>
              <w:tabs>
                <w:tab w:val="clear" w:pos="1247"/>
                <w:tab w:val="left" w:pos="931"/>
              </w:tabs>
              <w:ind w:left="506"/>
              <w:rPr>
                <w:sz w:val="26"/>
                <w:rtl/>
              </w:rPr>
            </w:pPr>
            <w:r w:rsidRPr="00BB0E0E">
              <w:rPr>
                <w:sz w:val="26"/>
                <w:rtl/>
              </w:rPr>
              <w:t>(</w:t>
            </w:r>
            <w:r w:rsidRPr="00BB0E0E">
              <w:rPr>
                <w:rFonts w:hint="cs"/>
                <w:sz w:val="26"/>
                <w:rtl/>
              </w:rPr>
              <w:t>3</w:t>
            </w:r>
            <w:r w:rsidRPr="00BB0E0E">
              <w:rPr>
                <w:sz w:val="26"/>
                <w:rtl/>
              </w:rPr>
              <w:t>)</w:t>
            </w:r>
            <w:r w:rsidRPr="00BB0E0E">
              <w:rPr>
                <w:sz w:val="26"/>
                <w:rtl/>
              </w:rPr>
              <w:tab/>
              <w:t>פריון (</w:t>
            </w:r>
            <w:r w:rsidRPr="00BB0E0E">
              <w:rPr>
                <w:sz w:val="26"/>
              </w:rPr>
              <w:t>prion</w:t>
            </w:r>
            <w:r w:rsidRPr="00BB0E0E">
              <w:rPr>
                <w:sz w:val="26"/>
                <w:rtl/>
              </w:rPr>
              <w:t>);</w:t>
            </w:r>
          </w:p>
        </w:tc>
      </w:tr>
      <w:tr w:rsidR="002C3C67" w:rsidRPr="00BB0E0E" w14:paraId="0946C79F" w14:textId="77777777" w:rsidTr="001766A3">
        <w:trPr>
          <w:cantSplit/>
          <w:trHeight w:val="60"/>
        </w:trPr>
        <w:tc>
          <w:tcPr>
            <w:tcW w:w="1871" w:type="dxa"/>
          </w:tcPr>
          <w:p w14:paraId="6EC6F156" w14:textId="77777777" w:rsidR="002C3C67" w:rsidRPr="00BB0E0E" w:rsidRDefault="002C3C67">
            <w:pPr>
              <w:pStyle w:val="TableSideHeading"/>
              <w:rPr>
                <w:sz w:val="26"/>
              </w:rPr>
            </w:pPr>
          </w:p>
        </w:tc>
        <w:tc>
          <w:tcPr>
            <w:tcW w:w="624" w:type="dxa"/>
          </w:tcPr>
          <w:p w14:paraId="61255671" w14:textId="77777777" w:rsidR="002C3C67" w:rsidRPr="00BB0E0E" w:rsidRDefault="002C3C67">
            <w:pPr>
              <w:pStyle w:val="TableText"/>
              <w:rPr>
                <w:sz w:val="26"/>
              </w:rPr>
            </w:pPr>
          </w:p>
        </w:tc>
        <w:tc>
          <w:tcPr>
            <w:tcW w:w="624" w:type="dxa"/>
          </w:tcPr>
          <w:p w14:paraId="707223F6" w14:textId="77777777" w:rsidR="002C3C67" w:rsidRPr="00BB0E0E" w:rsidRDefault="002C3C67">
            <w:pPr>
              <w:pStyle w:val="TableText"/>
              <w:rPr>
                <w:sz w:val="26"/>
              </w:rPr>
            </w:pPr>
          </w:p>
        </w:tc>
        <w:tc>
          <w:tcPr>
            <w:tcW w:w="6522" w:type="dxa"/>
            <w:gridSpan w:val="3"/>
          </w:tcPr>
          <w:p w14:paraId="65DA7852" w14:textId="77777777" w:rsidR="002C3C67" w:rsidRPr="00BB0E0E" w:rsidRDefault="002C3C67" w:rsidP="00FF4369">
            <w:pPr>
              <w:pStyle w:val="TableBlockOutdent"/>
              <w:rPr>
                <w:sz w:val="26"/>
              </w:rPr>
            </w:pPr>
            <w:r w:rsidRPr="00BB0E0E">
              <w:rPr>
                <w:sz w:val="26"/>
                <w:rtl/>
              </w:rPr>
              <w:t>"</w:t>
            </w:r>
            <w:r w:rsidRPr="00BB0E0E">
              <w:rPr>
                <w:rFonts w:hint="cs"/>
                <w:sz w:val="26"/>
                <w:rtl/>
              </w:rPr>
              <w:t>מזהם כימי</w:t>
            </w:r>
            <w:r w:rsidRPr="00BB0E0E">
              <w:rPr>
                <w:sz w:val="26"/>
                <w:rtl/>
              </w:rPr>
              <w:t>"</w:t>
            </w:r>
            <w:r w:rsidRPr="00BB0E0E">
              <w:rPr>
                <w:rFonts w:hint="cs"/>
                <w:sz w:val="26"/>
                <w:rtl/>
              </w:rPr>
              <w:t xml:space="preserve"> - </w:t>
            </w:r>
            <w:r w:rsidRPr="00BB0E0E">
              <w:rPr>
                <w:sz w:val="26"/>
                <w:rtl/>
              </w:rPr>
              <w:t>חומר שלא הוסף באופן מכוון למזון ועלול להימצא במזון כתוצאה מהשלבים של ייצורו, אריזתו, הובלתו או החזקתו, או כתוצאה מזיהום סביבתי, ועלול להזיק לבריאות האדם</w:t>
            </w:r>
            <w:r w:rsidR="00FF4369" w:rsidRPr="00BB0E0E">
              <w:rPr>
                <w:rFonts w:hint="cs"/>
                <w:sz w:val="26"/>
                <w:rtl/>
              </w:rPr>
              <w:t>";</w:t>
            </w:r>
          </w:p>
        </w:tc>
      </w:tr>
      <w:tr w:rsidR="00520EA0" w:rsidRPr="00BB0E0E" w14:paraId="7C401FF9" w14:textId="77777777" w:rsidTr="001766A3">
        <w:trPr>
          <w:cantSplit/>
          <w:trHeight w:val="60"/>
        </w:trPr>
        <w:tc>
          <w:tcPr>
            <w:tcW w:w="1871" w:type="dxa"/>
          </w:tcPr>
          <w:p w14:paraId="7B64CC77" w14:textId="77777777" w:rsidR="00520EA0" w:rsidRPr="00BB0E0E" w:rsidRDefault="00520EA0">
            <w:pPr>
              <w:pStyle w:val="TableSideHeading"/>
              <w:rPr>
                <w:sz w:val="26"/>
              </w:rPr>
            </w:pPr>
          </w:p>
        </w:tc>
        <w:tc>
          <w:tcPr>
            <w:tcW w:w="624" w:type="dxa"/>
          </w:tcPr>
          <w:p w14:paraId="6504E9CA" w14:textId="77777777" w:rsidR="00520EA0" w:rsidRPr="00BB0E0E" w:rsidRDefault="00520EA0">
            <w:pPr>
              <w:pStyle w:val="TableText"/>
              <w:rPr>
                <w:sz w:val="26"/>
              </w:rPr>
            </w:pPr>
          </w:p>
        </w:tc>
        <w:tc>
          <w:tcPr>
            <w:tcW w:w="624" w:type="dxa"/>
          </w:tcPr>
          <w:p w14:paraId="0889CE44" w14:textId="77777777" w:rsidR="00520EA0" w:rsidRPr="00BB0E0E" w:rsidRDefault="00520EA0">
            <w:pPr>
              <w:pStyle w:val="TableText"/>
              <w:rPr>
                <w:sz w:val="26"/>
              </w:rPr>
            </w:pPr>
          </w:p>
        </w:tc>
        <w:tc>
          <w:tcPr>
            <w:tcW w:w="6522" w:type="dxa"/>
            <w:gridSpan w:val="3"/>
          </w:tcPr>
          <w:p w14:paraId="29BABF0D" w14:textId="77777777" w:rsidR="00520EA0" w:rsidRPr="00BB0E0E" w:rsidRDefault="00520EA0" w:rsidP="00CD682D">
            <w:pPr>
              <w:pStyle w:val="TableBlockOutdent"/>
              <w:rPr>
                <w:sz w:val="26"/>
                <w:rtl/>
              </w:rPr>
            </w:pPr>
            <w:r>
              <w:rPr>
                <w:rFonts w:hint="cs"/>
                <w:rtl/>
              </w:rPr>
              <w:t xml:space="preserve">"בשר גולמי" - </w:t>
            </w:r>
            <w:r w:rsidRPr="00ED51A9">
              <w:rPr>
                <w:rtl/>
              </w:rPr>
              <w:t xml:space="preserve">בשר כהגדרתו בסעיף 9(א) </w:t>
            </w:r>
            <w:r>
              <w:rPr>
                <w:rFonts w:hint="cs"/>
                <w:rtl/>
              </w:rPr>
              <w:t xml:space="preserve">לחוק </w:t>
            </w:r>
            <w:r w:rsidRPr="00ED51A9">
              <w:rPr>
                <w:rtl/>
              </w:rPr>
              <w:t>שלא עבר עיבוד כהגדרתו באותו סעיף</w:t>
            </w:r>
            <w:r>
              <w:rPr>
                <w:rFonts w:hint="cs"/>
                <w:rtl/>
              </w:rPr>
              <w:t>".</w:t>
            </w:r>
          </w:p>
        </w:tc>
      </w:tr>
      <w:tr w:rsidR="00E4678E" w:rsidRPr="00BB0E0E" w14:paraId="17BBEA71" w14:textId="77777777">
        <w:trPr>
          <w:cantSplit/>
          <w:trHeight w:val="60"/>
        </w:trPr>
        <w:tc>
          <w:tcPr>
            <w:tcW w:w="1871" w:type="dxa"/>
          </w:tcPr>
          <w:p w14:paraId="431793E2" w14:textId="2731E959" w:rsidR="00E4678E" w:rsidRPr="00BB0E0E" w:rsidRDefault="0012518F" w:rsidP="001766A3">
            <w:pPr>
              <w:pStyle w:val="TableSideHeading"/>
              <w:keepLines w:val="0"/>
              <w:rPr>
                <w:sz w:val="26"/>
              </w:rPr>
            </w:pPr>
            <w:r w:rsidRPr="00BB0E0E">
              <w:rPr>
                <w:rFonts w:hint="cs"/>
                <w:sz w:val="26"/>
                <w:rtl/>
              </w:rPr>
              <w:t xml:space="preserve">תנאים והחרגות </w:t>
            </w:r>
            <w:r w:rsidR="00CC325E">
              <w:rPr>
                <w:rFonts w:hint="cs"/>
                <w:sz w:val="26"/>
                <w:rtl/>
              </w:rPr>
              <w:t>-</w:t>
            </w:r>
            <w:r w:rsidR="00CA3C37" w:rsidRPr="00BB0E0E">
              <w:rPr>
                <w:rFonts w:hint="cs"/>
                <w:sz w:val="26"/>
                <w:rtl/>
              </w:rPr>
              <w:t>תיקון</w:t>
            </w:r>
            <w:r w:rsidR="008C0EFF" w:rsidRPr="00BB0E0E">
              <w:rPr>
                <w:rFonts w:hint="cs"/>
                <w:sz w:val="26"/>
                <w:rtl/>
              </w:rPr>
              <w:t xml:space="preserve"> </w:t>
            </w:r>
            <w:r w:rsidR="00B64BBD">
              <w:rPr>
                <w:rFonts w:hint="cs"/>
                <w:sz w:val="26"/>
                <w:rtl/>
              </w:rPr>
              <w:t>ה</w:t>
            </w:r>
            <w:r w:rsidR="008C0EFF" w:rsidRPr="00BB0E0E">
              <w:rPr>
                <w:rFonts w:hint="cs"/>
                <w:sz w:val="26"/>
                <w:rtl/>
              </w:rPr>
              <w:t xml:space="preserve">תוספת השנייה א' </w:t>
            </w:r>
          </w:p>
        </w:tc>
        <w:tc>
          <w:tcPr>
            <w:tcW w:w="624" w:type="dxa"/>
          </w:tcPr>
          <w:p w14:paraId="7A912BD3" w14:textId="77777777" w:rsidR="00E4678E" w:rsidRPr="00BB0E0E" w:rsidRDefault="00E4678E" w:rsidP="00E4678E">
            <w:pPr>
              <w:pStyle w:val="TableText"/>
              <w:keepLines w:val="0"/>
              <w:numPr>
                <w:ilvl w:val="0"/>
                <w:numId w:val="4"/>
              </w:numPr>
              <w:rPr>
                <w:sz w:val="26"/>
              </w:rPr>
            </w:pPr>
          </w:p>
        </w:tc>
        <w:tc>
          <w:tcPr>
            <w:tcW w:w="7146" w:type="dxa"/>
            <w:gridSpan w:val="4"/>
          </w:tcPr>
          <w:p w14:paraId="2E4B3EFB" w14:textId="77777777" w:rsidR="00E4678E" w:rsidRPr="00BB0E0E" w:rsidRDefault="005D00A2" w:rsidP="00EF1BC9">
            <w:pPr>
              <w:pStyle w:val="TableBlock"/>
              <w:numPr>
                <w:ilvl w:val="2"/>
                <w:numId w:val="4"/>
              </w:numPr>
              <w:tabs>
                <w:tab w:val="left" w:pos="624"/>
              </w:tabs>
              <w:rPr>
                <w:sz w:val="26"/>
              </w:rPr>
            </w:pPr>
            <w:r w:rsidRPr="00BB0E0E">
              <w:rPr>
                <w:rFonts w:hint="cs"/>
                <w:sz w:val="26"/>
                <w:rtl/>
              </w:rPr>
              <w:t>ב</w:t>
            </w:r>
            <w:r w:rsidR="00590825" w:rsidRPr="00BB0E0E">
              <w:rPr>
                <w:rFonts w:hint="cs"/>
                <w:sz w:val="26"/>
                <w:rtl/>
              </w:rPr>
              <w:t>טור א' לתוספת השנייה א' לחוק העיקרי</w:t>
            </w:r>
            <w:r w:rsidR="00A3152F" w:rsidRPr="00BB0E0E">
              <w:rPr>
                <w:rFonts w:hint="cs"/>
                <w:sz w:val="26"/>
                <w:rtl/>
              </w:rPr>
              <w:t xml:space="preserve"> -</w:t>
            </w:r>
            <w:r w:rsidR="00590825" w:rsidRPr="00BB0E0E">
              <w:rPr>
                <w:rFonts w:hint="cs"/>
                <w:sz w:val="26"/>
                <w:rtl/>
              </w:rPr>
              <w:t xml:space="preserve"> </w:t>
            </w:r>
          </w:p>
        </w:tc>
      </w:tr>
      <w:tr w:rsidR="00A3152F" w:rsidRPr="00BB0E0E" w14:paraId="4138CAC3" w14:textId="77777777">
        <w:trPr>
          <w:cantSplit/>
          <w:trHeight w:val="60"/>
        </w:trPr>
        <w:tc>
          <w:tcPr>
            <w:tcW w:w="1871" w:type="dxa"/>
          </w:tcPr>
          <w:p w14:paraId="1F1DC0ED" w14:textId="77777777" w:rsidR="00A3152F" w:rsidRPr="00BB0E0E" w:rsidRDefault="00A3152F">
            <w:pPr>
              <w:pStyle w:val="TableSideHeading"/>
              <w:rPr>
                <w:sz w:val="26"/>
              </w:rPr>
            </w:pPr>
          </w:p>
        </w:tc>
        <w:tc>
          <w:tcPr>
            <w:tcW w:w="624" w:type="dxa"/>
          </w:tcPr>
          <w:p w14:paraId="537F0FB3" w14:textId="77777777" w:rsidR="00A3152F" w:rsidRPr="00BB0E0E" w:rsidRDefault="00A3152F">
            <w:pPr>
              <w:pStyle w:val="TableText"/>
              <w:rPr>
                <w:sz w:val="26"/>
              </w:rPr>
            </w:pPr>
          </w:p>
        </w:tc>
        <w:tc>
          <w:tcPr>
            <w:tcW w:w="624" w:type="dxa"/>
          </w:tcPr>
          <w:p w14:paraId="4C8A2A6E" w14:textId="77777777" w:rsidR="00A3152F" w:rsidRPr="00BB0E0E" w:rsidRDefault="00A3152F" w:rsidP="00AF72C7">
            <w:pPr>
              <w:pStyle w:val="TableText"/>
              <w:jc w:val="both"/>
              <w:rPr>
                <w:sz w:val="26"/>
              </w:rPr>
            </w:pPr>
          </w:p>
        </w:tc>
        <w:tc>
          <w:tcPr>
            <w:tcW w:w="6522" w:type="dxa"/>
            <w:gridSpan w:val="3"/>
          </w:tcPr>
          <w:p w14:paraId="6B8AA715" w14:textId="77777777" w:rsidR="00A3152F" w:rsidRPr="00BB0E0E" w:rsidRDefault="00AF72C7" w:rsidP="001C06D6">
            <w:pPr>
              <w:pStyle w:val="TableBlock"/>
              <w:rPr>
                <w:sz w:val="26"/>
              </w:rPr>
            </w:pPr>
            <w:r w:rsidRPr="00BB0E0E">
              <w:rPr>
                <w:rFonts w:hint="cs"/>
                <w:sz w:val="26"/>
                <w:rtl/>
              </w:rPr>
              <w:t xml:space="preserve">(1) </w:t>
            </w:r>
            <w:r w:rsidR="00A3152F" w:rsidRPr="00BB0E0E">
              <w:rPr>
                <w:sz w:val="26"/>
                <w:rtl/>
              </w:rPr>
              <w:t>במקום האמור בפרט (1) יבוא:</w:t>
            </w:r>
          </w:p>
        </w:tc>
      </w:tr>
      <w:tr w:rsidR="00AD45DF" w:rsidRPr="00BB0E0E" w14:paraId="0DF1365A" w14:textId="77777777">
        <w:trPr>
          <w:cantSplit/>
          <w:trHeight w:val="60"/>
        </w:trPr>
        <w:tc>
          <w:tcPr>
            <w:tcW w:w="1871" w:type="dxa"/>
          </w:tcPr>
          <w:p w14:paraId="3AC777AD" w14:textId="77777777" w:rsidR="00AD45DF" w:rsidRPr="00BB0E0E" w:rsidRDefault="00AD45DF">
            <w:pPr>
              <w:pStyle w:val="TableSideHeading"/>
              <w:rPr>
                <w:sz w:val="26"/>
              </w:rPr>
            </w:pPr>
          </w:p>
        </w:tc>
        <w:tc>
          <w:tcPr>
            <w:tcW w:w="624" w:type="dxa"/>
          </w:tcPr>
          <w:p w14:paraId="114703B7" w14:textId="77777777" w:rsidR="00AD45DF" w:rsidRPr="00BB0E0E" w:rsidRDefault="00AD45DF">
            <w:pPr>
              <w:pStyle w:val="TableText"/>
              <w:rPr>
                <w:sz w:val="26"/>
              </w:rPr>
            </w:pPr>
          </w:p>
        </w:tc>
        <w:tc>
          <w:tcPr>
            <w:tcW w:w="624" w:type="dxa"/>
          </w:tcPr>
          <w:p w14:paraId="6C662B1D" w14:textId="77777777" w:rsidR="00AD45DF" w:rsidRPr="00BB0E0E" w:rsidRDefault="00AD45DF">
            <w:pPr>
              <w:pStyle w:val="TableText"/>
              <w:rPr>
                <w:sz w:val="26"/>
              </w:rPr>
            </w:pPr>
          </w:p>
        </w:tc>
        <w:tc>
          <w:tcPr>
            <w:tcW w:w="624" w:type="dxa"/>
          </w:tcPr>
          <w:p w14:paraId="2690FB1C" w14:textId="77777777" w:rsidR="00AD45DF" w:rsidRPr="00BB0E0E" w:rsidRDefault="00AD45DF" w:rsidP="00AD45DF">
            <w:pPr>
              <w:pStyle w:val="TableText"/>
              <w:rPr>
                <w:sz w:val="26"/>
              </w:rPr>
            </w:pPr>
          </w:p>
        </w:tc>
        <w:tc>
          <w:tcPr>
            <w:tcW w:w="5898" w:type="dxa"/>
            <w:gridSpan w:val="2"/>
          </w:tcPr>
          <w:p w14:paraId="22FE3984" w14:textId="77777777" w:rsidR="00AD45DF" w:rsidRPr="00BB0E0E" w:rsidRDefault="00AD45DF">
            <w:pPr>
              <w:pStyle w:val="TableBlock"/>
              <w:rPr>
                <w:sz w:val="26"/>
              </w:rPr>
            </w:pPr>
            <w:r w:rsidRPr="00BB0E0E">
              <w:rPr>
                <w:sz w:val="26"/>
                <w:rtl/>
              </w:rPr>
              <w:t>"תקנת האיחוד האירופי מספר 1881/2006 מיום 19 בדצמבר 2006 בעניין קביעת רמות מרביות של מזהמים מסוימים במוצרי מזון (</w:t>
            </w:r>
            <w:r w:rsidRPr="00BB0E0E">
              <w:rPr>
                <w:sz w:val="26"/>
              </w:rPr>
              <w:t>Commission Regulation (EC) No 1881/2006 of 19 December 2006 setting maximum levels of  certain contaminants in foodstuffs</w:t>
            </w:r>
            <w:r w:rsidRPr="00BB0E0E">
              <w:rPr>
                <w:sz w:val="26"/>
                <w:rtl/>
              </w:rPr>
              <w:t>) (להלן – תקנה 1881/2006)";</w:t>
            </w:r>
          </w:p>
        </w:tc>
      </w:tr>
      <w:tr w:rsidR="00326851" w:rsidRPr="00BB0E0E" w14:paraId="15893874" w14:textId="77777777">
        <w:trPr>
          <w:cantSplit/>
          <w:trHeight w:val="60"/>
        </w:trPr>
        <w:tc>
          <w:tcPr>
            <w:tcW w:w="1871" w:type="dxa"/>
          </w:tcPr>
          <w:p w14:paraId="79BED36A" w14:textId="77777777" w:rsidR="00326851" w:rsidRPr="00BB0E0E" w:rsidRDefault="00326851">
            <w:pPr>
              <w:pStyle w:val="TableSideHeading"/>
              <w:rPr>
                <w:sz w:val="26"/>
              </w:rPr>
            </w:pPr>
          </w:p>
        </w:tc>
        <w:tc>
          <w:tcPr>
            <w:tcW w:w="624" w:type="dxa"/>
          </w:tcPr>
          <w:p w14:paraId="28C1769B" w14:textId="77777777" w:rsidR="00326851" w:rsidRPr="00BB0E0E" w:rsidRDefault="00326851" w:rsidP="00A3152F">
            <w:pPr>
              <w:pStyle w:val="TableText"/>
              <w:rPr>
                <w:sz w:val="26"/>
              </w:rPr>
            </w:pPr>
          </w:p>
        </w:tc>
        <w:tc>
          <w:tcPr>
            <w:tcW w:w="624" w:type="dxa"/>
          </w:tcPr>
          <w:p w14:paraId="20EFDDC5" w14:textId="77777777" w:rsidR="00326851" w:rsidRPr="00BB0E0E" w:rsidRDefault="00326851" w:rsidP="00AF72C7">
            <w:pPr>
              <w:pStyle w:val="TableText"/>
              <w:rPr>
                <w:sz w:val="26"/>
              </w:rPr>
            </w:pPr>
          </w:p>
        </w:tc>
        <w:tc>
          <w:tcPr>
            <w:tcW w:w="6522" w:type="dxa"/>
            <w:gridSpan w:val="3"/>
          </w:tcPr>
          <w:p w14:paraId="2D1B90A8" w14:textId="77777777" w:rsidR="00326851" w:rsidRPr="00BB0E0E" w:rsidRDefault="00B44E4B" w:rsidP="001C06D6">
            <w:pPr>
              <w:pStyle w:val="TableBlock"/>
              <w:rPr>
                <w:sz w:val="26"/>
                <w:rtl/>
              </w:rPr>
            </w:pPr>
            <w:r w:rsidRPr="00BB0E0E">
              <w:rPr>
                <w:rFonts w:hint="cs"/>
                <w:sz w:val="26"/>
                <w:rtl/>
              </w:rPr>
              <w:t>|(2</w:t>
            </w:r>
            <w:r w:rsidR="00326851" w:rsidRPr="00BB0E0E">
              <w:rPr>
                <w:rFonts w:hint="cs"/>
                <w:sz w:val="26"/>
                <w:rtl/>
              </w:rPr>
              <w:t>) פרט (</w:t>
            </w:r>
            <w:r w:rsidRPr="00BB0E0E">
              <w:rPr>
                <w:rFonts w:hint="cs"/>
                <w:sz w:val="26"/>
                <w:rtl/>
              </w:rPr>
              <w:t>2</w:t>
            </w:r>
            <w:r w:rsidR="00326851" w:rsidRPr="00BB0E0E">
              <w:rPr>
                <w:rFonts w:hint="cs"/>
                <w:sz w:val="26"/>
                <w:rtl/>
              </w:rPr>
              <w:t xml:space="preserve">) </w:t>
            </w:r>
            <w:r w:rsidR="00326851" w:rsidRPr="00BB0E0E">
              <w:rPr>
                <w:sz w:val="26"/>
                <w:rtl/>
              </w:rPr>
              <w:t>–</w:t>
            </w:r>
            <w:r w:rsidR="00326851" w:rsidRPr="00BB0E0E">
              <w:rPr>
                <w:rFonts w:hint="cs"/>
                <w:sz w:val="26"/>
                <w:rtl/>
              </w:rPr>
              <w:t xml:space="preserve"> יימחק.</w:t>
            </w:r>
          </w:p>
        </w:tc>
      </w:tr>
      <w:tr w:rsidR="00A3152F" w:rsidRPr="00BB0E0E" w14:paraId="01B6C92F" w14:textId="77777777">
        <w:trPr>
          <w:cantSplit/>
          <w:trHeight w:val="60"/>
        </w:trPr>
        <w:tc>
          <w:tcPr>
            <w:tcW w:w="1871" w:type="dxa"/>
          </w:tcPr>
          <w:p w14:paraId="4C476F30" w14:textId="77777777" w:rsidR="00A3152F" w:rsidRPr="00BB0E0E" w:rsidRDefault="00A3152F">
            <w:pPr>
              <w:pStyle w:val="TableSideHeading"/>
              <w:rPr>
                <w:sz w:val="26"/>
              </w:rPr>
            </w:pPr>
          </w:p>
        </w:tc>
        <w:tc>
          <w:tcPr>
            <w:tcW w:w="624" w:type="dxa"/>
          </w:tcPr>
          <w:p w14:paraId="6B81755A" w14:textId="77777777" w:rsidR="00A3152F" w:rsidRPr="00BB0E0E" w:rsidRDefault="00A3152F" w:rsidP="00A3152F">
            <w:pPr>
              <w:pStyle w:val="TableText"/>
              <w:rPr>
                <w:sz w:val="26"/>
              </w:rPr>
            </w:pPr>
          </w:p>
        </w:tc>
        <w:tc>
          <w:tcPr>
            <w:tcW w:w="624" w:type="dxa"/>
          </w:tcPr>
          <w:p w14:paraId="607FF3A1" w14:textId="77777777" w:rsidR="00A3152F" w:rsidRPr="00BB0E0E" w:rsidRDefault="00A3152F" w:rsidP="00AF72C7">
            <w:pPr>
              <w:pStyle w:val="TableText"/>
              <w:rPr>
                <w:sz w:val="26"/>
              </w:rPr>
            </w:pPr>
          </w:p>
        </w:tc>
        <w:tc>
          <w:tcPr>
            <w:tcW w:w="6522" w:type="dxa"/>
            <w:gridSpan w:val="3"/>
          </w:tcPr>
          <w:p w14:paraId="27B26419" w14:textId="77777777" w:rsidR="00A3152F" w:rsidRPr="00BB0E0E" w:rsidRDefault="00EF1BC9" w:rsidP="001C06D6">
            <w:pPr>
              <w:pStyle w:val="TableBlock"/>
              <w:rPr>
                <w:sz w:val="26"/>
                <w:rtl/>
              </w:rPr>
            </w:pPr>
            <w:r w:rsidRPr="00BB0E0E">
              <w:rPr>
                <w:rFonts w:hint="cs"/>
                <w:sz w:val="26"/>
                <w:rtl/>
              </w:rPr>
              <w:t>(</w:t>
            </w:r>
            <w:r w:rsidR="00B44E4B" w:rsidRPr="00BB0E0E">
              <w:rPr>
                <w:rFonts w:hint="cs"/>
                <w:sz w:val="26"/>
                <w:rtl/>
              </w:rPr>
              <w:t>3</w:t>
            </w:r>
            <w:r w:rsidRPr="00BB0E0E">
              <w:rPr>
                <w:rFonts w:hint="cs"/>
                <w:sz w:val="26"/>
                <w:rtl/>
              </w:rPr>
              <w:t xml:space="preserve">) </w:t>
            </w:r>
            <w:r w:rsidR="00AD45DF" w:rsidRPr="00BB0E0E">
              <w:rPr>
                <w:rFonts w:hint="cs"/>
                <w:sz w:val="26"/>
                <w:rtl/>
              </w:rPr>
              <w:t>במקום האמור ב</w:t>
            </w:r>
            <w:r w:rsidR="00A3152F" w:rsidRPr="00BB0E0E">
              <w:rPr>
                <w:rFonts w:hint="cs"/>
                <w:sz w:val="26"/>
                <w:rtl/>
              </w:rPr>
              <w:t xml:space="preserve">פרט </w:t>
            </w:r>
            <w:r w:rsidR="00AD45DF" w:rsidRPr="00BB0E0E">
              <w:rPr>
                <w:rFonts w:hint="cs"/>
                <w:sz w:val="26"/>
                <w:rtl/>
              </w:rPr>
              <w:t>(</w:t>
            </w:r>
            <w:r w:rsidR="00B44E4B" w:rsidRPr="00BB0E0E">
              <w:rPr>
                <w:rFonts w:hint="cs"/>
                <w:sz w:val="26"/>
                <w:rtl/>
              </w:rPr>
              <w:t>3</w:t>
            </w:r>
            <w:r w:rsidR="00AD45DF" w:rsidRPr="00BB0E0E">
              <w:rPr>
                <w:rFonts w:hint="cs"/>
                <w:sz w:val="26"/>
                <w:rtl/>
              </w:rPr>
              <w:t>) יבוא:</w:t>
            </w:r>
            <w:r w:rsidR="00A3152F" w:rsidRPr="00BB0E0E">
              <w:rPr>
                <w:rFonts w:hint="cs"/>
                <w:sz w:val="26"/>
                <w:rtl/>
              </w:rPr>
              <w:t xml:space="preserve"> </w:t>
            </w:r>
          </w:p>
        </w:tc>
      </w:tr>
      <w:tr w:rsidR="00AD45DF" w:rsidRPr="00BB0E0E" w14:paraId="3CA8EFD0" w14:textId="77777777">
        <w:trPr>
          <w:cantSplit/>
          <w:trHeight w:val="60"/>
        </w:trPr>
        <w:tc>
          <w:tcPr>
            <w:tcW w:w="1871" w:type="dxa"/>
          </w:tcPr>
          <w:p w14:paraId="5C50C918" w14:textId="77777777" w:rsidR="00AD45DF" w:rsidRPr="00BB0E0E" w:rsidRDefault="00AD45DF">
            <w:pPr>
              <w:pStyle w:val="TableSideHeading"/>
              <w:rPr>
                <w:sz w:val="26"/>
              </w:rPr>
            </w:pPr>
          </w:p>
        </w:tc>
        <w:tc>
          <w:tcPr>
            <w:tcW w:w="624" w:type="dxa"/>
          </w:tcPr>
          <w:p w14:paraId="223F8054" w14:textId="77777777" w:rsidR="00AD45DF" w:rsidRPr="00BB0E0E" w:rsidRDefault="00AD45DF">
            <w:pPr>
              <w:pStyle w:val="TableText"/>
              <w:rPr>
                <w:sz w:val="26"/>
              </w:rPr>
            </w:pPr>
          </w:p>
        </w:tc>
        <w:tc>
          <w:tcPr>
            <w:tcW w:w="624" w:type="dxa"/>
          </w:tcPr>
          <w:p w14:paraId="792AE27D" w14:textId="77777777" w:rsidR="00AD45DF" w:rsidRPr="00BB0E0E" w:rsidRDefault="00AD45DF">
            <w:pPr>
              <w:pStyle w:val="TableText"/>
              <w:rPr>
                <w:sz w:val="26"/>
              </w:rPr>
            </w:pPr>
          </w:p>
        </w:tc>
        <w:tc>
          <w:tcPr>
            <w:tcW w:w="624" w:type="dxa"/>
          </w:tcPr>
          <w:p w14:paraId="7D3FDCA7" w14:textId="77777777" w:rsidR="00AD45DF" w:rsidRPr="00BB0E0E" w:rsidRDefault="00AD45DF">
            <w:pPr>
              <w:pStyle w:val="TableText"/>
              <w:rPr>
                <w:sz w:val="26"/>
              </w:rPr>
            </w:pPr>
          </w:p>
        </w:tc>
        <w:tc>
          <w:tcPr>
            <w:tcW w:w="5898" w:type="dxa"/>
            <w:gridSpan w:val="2"/>
          </w:tcPr>
          <w:p w14:paraId="1600EDA1" w14:textId="77777777" w:rsidR="00AD45DF" w:rsidRPr="00BB0E0E" w:rsidRDefault="00007B65" w:rsidP="00007B65">
            <w:pPr>
              <w:pStyle w:val="TableBlock"/>
              <w:rPr>
                <w:sz w:val="26"/>
              </w:rPr>
            </w:pPr>
            <w:r w:rsidRPr="00BB0E0E">
              <w:rPr>
                <w:rFonts w:hint="cs"/>
                <w:sz w:val="26"/>
                <w:rtl/>
              </w:rPr>
              <w:t>"</w:t>
            </w:r>
            <w:r w:rsidRPr="00BB0E0E">
              <w:rPr>
                <w:sz w:val="26"/>
                <w:rtl/>
              </w:rPr>
              <w:t>תקנת האיחוד האירופי מספר 2073/2005 מיום 15 בנובמבר 2005 בעניין קריטריונים מיקרוביולוגיים עבור מוצרי מזון (</w:t>
            </w:r>
            <w:r w:rsidRPr="00BB0E0E">
              <w:rPr>
                <w:sz w:val="26"/>
              </w:rPr>
              <w:t>Commission Regulation (EC) No 2073/2005 of 15 November 2005 on microbiological criteria for foodstuffs</w:t>
            </w:r>
            <w:r w:rsidRPr="00BB0E0E">
              <w:rPr>
                <w:sz w:val="26"/>
                <w:rtl/>
              </w:rPr>
              <w:t>) (להלן – תקנה 2073/2005)</w:t>
            </w:r>
          </w:p>
        </w:tc>
      </w:tr>
      <w:tr w:rsidR="006435C1" w:rsidRPr="00BB0E0E" w14:paraId="19D4A81F" w14:textId="77777777" w:rsidTr="001766A3">
        <w:trPr>
          <w:cantSplit/>
          <w:trHeight w:val="60"/>
        </w:trPr>
        <w:tc>
          <w:tcPr>
            <w:tcW w:w="1871" w:type="dxa"/>
          </w:tcPr>
          <w:p w14:paraId="3804CC7D" w14:textId="77777777" w:rsidR="006435C1" w:rsidRPr="00BB0E0E" w:rsidRDefault="006435C1">
            <w:pPr>
              <w:pStyle w:val="TableSideHeading"/>
              <w:rPr>
                <w:sz w:val="26"/>
              </w:rPr>
            </w:pPr>
          </w:p>
        </w:tc>
        <w:tc>
          <w:tcPr>
            <w:tcW w:w="624" w:type="dxa"/>
          </w:tcPr>
          <w:p w14:paraId="2B25ADA7" w14:textId="77777777" w:rsidR="006435C1" w:rsidRPr="00BB0E0E" w:rsidRDefault="006435C1" w:rsidP="006435C1">
            <w:pPr>
              <w:pStyle w:val="TableText"/>
              <w:rPr>
                <w:sz w:val="26"/>
              </w:rPr>
            </w:pPr>
          </w:p>
        </w:tc>
        <w:tc>
          <w:tcPr>
            <w:tcW w:w="624" w:type="dxa"/>
          </w:tcPr>
          <w:p w14:paraId="5F83BC21" w14:textId="77777777" w:rsidR="006435C1" w:rsidRPr="00BB0E0E" w:rsidRDefault="006435C1" w:rsidP="00AF72C7">
            <w:pPr>
              <w:pStyle w:val="TableText"/>
              <w:rPr>
                <w:sz w:val="26"/>
              </w:rPr>
            </w:pPr>
          </w:p>
        </w:tc>
        <w:tc>
          <w:tcPr>
            <w:tcW w:w="6522" w:type="dxa"/>
            <w:gridSpan w:val="3"/>
          </w:tcPr>
          <w:p w14:paraId="5BD51D5F" w14:textId="77777777" w:rsidR="006435C1" w:rsidRPr="00BB0E0E" w:rsidRDefault="00EF1BC9" w:rsidP="00FF1172">
            <w:pPr>
              <w:pStyle w:val="TableBlock"/>
              <w:rPr>
                <w:sz w:val="26"/>
                <w:rtl/>
              </w:rPr>
            </w:pPr>
            <w:r w:rsidRPr="00BB0E0E">
              <w:rPr>
                <w:rFonts w:hint="cs"/>
                <w:sz w:val="26"/>
                <w:rtl/>
              </w:rPr>
              <w:t>(</w:t>
            </w:r>
            <w:r w:rsidR="00FF1172" w:rsidRPr="00BB0E0E">
              <w:rPr>
                <w:rFonts w:hint="cs"/>
                <w:sz w:val="26"/>
                <w:rtl/>
              </w:rPr>
              <w:t>4</w:t>
            </w:r>
            <w:r w:rsidRPr="00BB0E0E">
              <w:rPr>
                <w:rFonts w:hint="cs"/>
                <w:sz w:val="26"/>
                <w:rtl/>
              </w:rPr>
              <w:t xml:space="preserve">) </w:t>
            </w:r>
            <w:r w:rsidR="006435C1" w:rsidRPr="00BB0E0E">
              <w:rPr>
                <w:rFonts w:hint="cs"/>
                <w:sz w:val="26"/>
                <w:rtl/>
              </w:rPr>
              <w:t>במקום האמור בפרט (</w:t>
            </w:r>
            <w:r w:rsidR="001C06D6" w:rsidRPr="00BB0E0E">
              <w:rPr>
                <w:rFonts w:hint="cs"/>
                <w:sz w:val="26"/>
                <w:rtl/>
              </w:rPr>
              <w:t>4</w:t>
            </w:r>
            <w:r w:rsidR="006435C1" w:rsidRPr="00BB0E0E">
              <w:rPr>
                <w:rFonts w:hint="cs"/>
                <w:sz w:val="26"/>
                <w:rtl/>
              </w:rPr>
              <w:t>) יבוא:</w:t>
            </w:r>
          </w:p>
        </w:tc>
      </w:tr>
      <w:tr w:rsidR="006435C1" w:rsidRPr="00BB0E0E" w14:paraId="7AB80DCA" w14:textId="77777777">
        <w:trPr>
          <w:cantSplit/>
          <w:trHeight w:val="60"/>
        </w:trPr>
        <w:tc>
          <w:tcPr>
            <w:tcW w:w="1871" w:type="dxa"/>
          </w:tcPr>
          <w:p w14:paraId="0E42623D" w14:textId="77777777" w:rsidR="006435C1" w:rsidRPr="00BB0E0E" w:rsidRDefault="006435C1">
            <w:pPr>
              <w:pStyle w:val="TableSideHeading"/>
              <w:rPr>
                <w:sz w:val="26"/>
              </w:rPr>
            </w:pPr>
          </w:p>
        </w:tc>
        <w:tc>
          <w:tcPr>
            <w:tcW w:w="624" w:type="dxa"/>
          </w:tcPr>
          <w:p w14:paraId="23BF81BF" w14:textId="77777777" w:rsidR="006435C1" w:rsidRPr="00BB0E0E" w:rsidRDefault="006435C1">
            <w:pPr>
              <w:pStyle w:val="TableText"/>
              <w:rPr>
                <w:sz w:val="26"/>
              </w:rPr>
            </w:pPr>
          </w:p>
        </w:tc>
        <w:tc>
          <w:tcPr>
            <w:tcW w:w="624" w:type="dxa"/>
          </w:tcPr>
          <w:p w14:paraId="04E15016" w14:textId="77777777" w:rsidR="006435C1" w:rsidRPr="00BB0E0E" w:rsidRDefault="006435C1">
            <w:pPr>
              <w:pStyle w:val="TableText"/>
              <w:rPr>
                <w:sz w:val="26"/>
              </w:rPr>
            </w:pPr>
          </w:p>
        </w:tc>
        <w:tc>
          <w:tcPr>
            <w:tcW w:w="624" w:type="dxa"/>
          </w:tcPr>
          <w:p w14:paraId="52CA0B59" w14:textId="77777777" w:rsidR="006435C1" w:rsidRPr="00BB0E0E" w:rsidRDefault="006435C1">
            <w:pPr>
              <w:pStyle w:val="TableText"/>
              <w:rPr>
                <w:sz w:val="26"/>
              </w:rPr>
            </w:pPr>
          </w:p>
        </w:tc>
        <w:tc>
          <w:tcPr>
            <w:tcW w:w="5898" w:type="dxa"/>
            <w:gridSpan w:val="2"/>
          </w:tcPr>
          <w:p w14:paraId="2C222761" w14:textId="77777777" w:rsidR="006435C1" w:rsidRPr="00BB0E0E" w:rsidRDefault="006435C1" w:rsidP="00FE2748">
            <w:pPr>
              <w:pStyle w:val="TableBlock"/>
              <w:rPr>
                <w:sz w:val="26"/>
              </w:rPr>
            </w:pPr>
            <w:r w:rsidRPr="00BB0E0E">
              <w:rPr>
                <w:rFonts w:hint="cs"/>
                <w:sz w:val="26"/>
                <w:rtl/>
              </w:rPr>
              <w:t>"</w:t>
            </w:r>
            <w:r w:rsidRPr="00BB0E0E">
              <w:rPr>
                <w:sz w:val="26"/>
                <w:rtl/>
              </w:rPr>
              <w:t>תקנת האיחוד האירופי מספר 396/2005 מיום 23 בפברואר 2005 בעניין רמות מרביות של שאריות חומרי הדברה במזון או במספוא, מן הצומח או מן החי, או עליהם, המתקנת את דירקטיבת המועצה 91/414/</w:t>
            </w:r>
            <w:r w:rsidRPr="00BB0E0E">
              <w:rPr>
                <w:sz w:val="26"/>
              </w:rPr>
              <w:t>EEC</w:t>
            </w:r>
            <w:r w:rsidR="00FE2748" w:rsidRPr="00BB0E0E">
              <w:rPr>
                <w:rFonts w:hint="cs"/>
                <w:sz w:val="26"/>
                <w:rtl/>
              </w:rPr>
              <w:t>;</w:t>
            </w:r>
            <w:r w:rsidRPr="00BB0E0E">
              <w:rPr>
                <w:sz w:val="26"/>
                <w:rtl/>
              </w:rPr>
              <w:t xml:space="preserve"> </w:t>
            </w:r>
          </w:p>
          <w:p w14:paraId="354D8A1B" w14:textId="77777777" w:rsidR="006435C1" w:rsidRPr="00BB0E0E" w:rsidRDefault="006435C1" w:rsidP="006435C1">
            <w:pPr>
              <w:pStyle w:val="TableBlock"/>
              <w:rPr>
                <w:sz w:val="26"/>
              </w:rPr>
            </w:pPr>
            <w:r w:rsidRPr="00BB0E0E">
              <w:rPr>
                <w:sz w:val="26"/>
                <w:rtl/>
              </w:rPr>
              <w:t>(</w:t>
            </w:r>
            <w:r w:rsidRPr="00BB0E0E">
              <w:rPr>
                <w:sz w:val="26"/>
              </w:rPr>
              <w:t>Regulation (EC) 396/2005 of the European Parliament and of the Council of 23 February 2005 on maximum residue levels of pesticides in or on food and feed of plant and animal origin and amending Council Directive 91/414/EEC</w:t>
            </w:r>
            <w:r w:rsidRPr="00BB0E0E">
              <w:rPr>
                <w:sz w:val="26"/>
                <w:rtl/>
              </w:rPr>
              <w:t xml:space="preserve">) (להלן – תקנה 396/2005) – סעיפים  1, 2, 3, 5, 18, 19 ו-20, וכן תוספת </w:t>
            </w:r>
            <w:r w:rsidRPr="00BB0E0E">
              <w:rPr>
                <w:sz w:val="26"/>
              </w:rPr>
              <w:t>I</w:t>
            </w:r>
            <w:r w:rsidRPr="00BB0E0E">
              <w:rPr>
                <w:sz w:val="26"/>
                <w:rtl/>
              </w:rPr>
              <w:t xml:space="preserve">, תוספת </w:t>
            </w:r>
            <w:r w:rsidRPr="00BB0E0E">
              <w:rPr>
                <w:sz w:val="26"/>
              </w:rPr>
              <w:t>II</w:t>
            </w:r>
            <w:r w:rsidRPr="00BB0E0E">
              <w:rPr>
                <w:sz w:val="26"/>
                <w:rtl/>
              </w:rPr>
              <w:t xml:space="preserve">, תוספת </w:t>
            </w:r>
            <w:r w:rsidRPr="00BB0E0E">
              <w:rPr>
                <w:sz w:val="26"/>
              </w:rPr>
              <w:t>III</w:t>
            </w:r>
            <w:r w:rsidRPr="00BB0E0E">
              <w:rPr>
                <w:sz w:val="26"/>
                <w:rtl/>
              </w:rPr>
              <w:t xml:space="preserve">, תוספת </w:t>
            </w:r>
            <w:r w:rsidRPr="00BB0E0E">
              <w:rPr>
                <w:sz w:val="26"/>
              </w:rPr>
              <w:t>IV</w:t>
            </w:r>
            <w:r w:rsidRPr="00BB0E0E">
              <w:rPr>
                <w:sz w:val="26"/>
                <w:rtl/>
              </w:rPr>
              <w:t xml:space="preserve"> ותוספת </w:t>
            </w:r>
            <w:r w:rsidRPr="00BB0E0E">
              <w:rPr>
                <w:sz w:val="26"/>
              </w:rPr>
              <w:t>V</w:t>
            </w:r>
            <w:r w:rsidR="00AB35D3" w:rsidRPr="00BB0E0E">
              <w:rPr>
                <w:rFonts w:hint="cs"/>
                <w:sz w:val="26"/>
                <w:rtl/>
              </w:rPr>
              <w:t>";</w:t>
            </w:r>
          </w:p>
        </w:tc>
      </w:tr>
      <w:tr w:rsidR="00A3152F" w:rsidRPr="00BB0E0E" w14:paraId="52EB6A7B" w14:textId="77777777">
        <w:trPr>
          <w:cantSplit/>
          <w:trHeight w:val="60"/>
        </w:trPr>
        <w:tc>
          <w:tcPr>
            <w:tcW w:w="1871" w:type="dxa"/>
          </w:tcPr>
          <w:p w14:paraId="01F5F260" w14:textId="77777777" w:rsidR="00A3152F" w:rsidRPr="00BB0E0E" w:rsidRDefault="00A3152F">
            <w:pPr>
              <w:pStyle w:val="TableSideHeading"/>
              <w:rPr>
                <w:sz w:val="26"/>
              </w:rPr>
            </w:pPr>
          </w:p>
        </w:tc>
        <w:tc>
          <w:tcPr>
            <w:tcW w:w="624" w:type="dxa"/>
          </w:tcPr>
          <w:p w14:paraId="5360073E" w14:textId="77777777" w:rsidR="00A3152F" w:rsidRPr="00BB0E0E" w:rsidRDefault="00A3152F">
            <w:pPr>
              <w:pStyle w:val="TableText"/>
              <w:rPr>
                <w:sz w:val="26"/>
              </w:rPr>
            </w:pPr>
          </w:p>
        </w:tc>
        <w:tc>
          <w:tcPr>
            <w:tcW w:w="7146" w:type="dxa"/>
            <w:gridSpan w:val="4"/>
          </w:tcPr>
          <w:p w14:paraId="2602C279" w14:textId="77777777" w:rsidR="00A3152F" w:rsidRPr="00BB0E0E" w:rsidRDefault="00DF719F" w:rsidP="00AF72C7">
            <w:pPr>
              <w:pStyle w:val="TableBlock"/>
              <w:numPr>
                <w:ilvl w:val="2"/>
                <w:numId w:val="4"/>
              </w:numPr>
              <w:rPr>
                <w:sz w:val="26"/>
              </w:rPr>
            </w:pPr>
            <w:r w:rsidRPr="00BB0E0E">
              <w:rPr>
                <w:rFonts w:hint="cs"/>
                <w:sz w:val="26"/>
                <w:rtl/>
              </w:rPr>
              <w:t xml:space="preserve">בטור ב' לתוספת השנייה א' לחוק העיקרי - </w:t>
            </w:r>
          </w:p>
        </w:tc>
      </w:tr>
      <w:tr w:rsidR="00F60053" w:rsidRPr="00BB0E0E" w14:paraId="34305BFE" w14:textId="77777777">
        <w:trPr>
          <w:cantSplit/>
          <w:trHeight w:val="60"/>
        </w:trPr>
        <w:tc>
          <w:tcPr>
            <w:tcW w:w="1871" w:type="dxa"/>
          </w:tcPr>
          <w:p w14:paraId="2C60D850" w14:textId="77777777" w:rsidR="00F60053" w:rsidRPr="00BB0E0E" w:rsidRDefault="00F60053">
            <w:pPr>
              <w:pStyle w:val="TableSideHeading"/>
              <w:rPr>
                <w:sz w:val="26"/>
              </w:rPr>
            </w:pPr>
          </w:p>
        </w:tc>
        <w:tc>
          <w:tcPr>
            <w:tcW w:w="624" w:type="dxa"/>
          </w:tcPr>
          <w:p w14:paraId="1A57308F" w14:textId="77777777" w:rsidR="00F60053" w:rsidRPr="00BB0E0E" w:rsidRDefault="00F60053">
            <w:pPr>
              <w:pStyle w:val="TableText"/>
              <w:rPr>
                <w:sz w:val="26"/>
              </w:rPr>
            </w:pPr>
          </w:p>
        </w:tc>
        <w:tc>
          <w:tcPr>
            <w:tcW w:w="624" w:type="dxa"/>
          </w:tcPr>
          <w:p w14:paraId="1DEE99F8" w14:textId="77777777" w:rsidR="00F60053" w:rsidRPr="00BB0E0E" w:rsidRDefault="00F60053" w:rsidP="00EF1BC9">
            <w:pPr>
              <w:pStyle w:val="TableText"/>
              <w:rPr>
                <w:sz w:val="26"/>
              </w:rPr>
            </w:pPr>
          </w:p>
        </w:tc>
        <w:tc>
          <w:tcPr>
            <w:tcW w:w="6522" w:type="dxa"/>
            <w:gridSpan w:val="3"/>
          </w:tcPr>
          <w:p w14:paraId="65958586" w14:textId="77777777" w:rsidR="00F60053" w:rsidRPr="00BB0E0E" w:rsidRDefault="00EF1BC9" w:rsidP="001C06D6">
            <w:pPr>
              <w:pStyle w:val="TableBlock"/>
              <w:rPr>
                <w:sz w:val="26"/>
              </w:rPr>
            </w:pPr>
            <w:r w:rsidRPr="00BB0E0E">
              <w:rPr>
                <w:rFonts w:hint="cs"/>
                <w:sz w:val="26"/>
                <w:rtl/>
              </w:rPr>
              <w:t xml:space="preserve">(1) </w:t>
            </w:r>
            <w:r w:rsidR="00F60053" w:rsidRPr="00BB0E0E">
              <w:rPr>
                <w:sz w:val="26"/>
                <w:rtl/>
              </w:rPr>
              <w:t>בפרט (1), במקום המילים "תקנות האיחוד האירופי" יבוא: "תקנה";</w:t>
            </w:r>
          </w:p>
        </w:tc>
      </w:tr>
      <w:tr w:rsidR="00AB32BA" w:rsidRPr="00BB0E0E" w14:paraId="05DDBF96" w14:textId="77777777">
        <w:trPr>
          <w:cantSplit/>
          <w:trHeight w:val="60"/>
        </w:trPr>
        <w:tc>
          <w:tcPr>
            <w:tcW w:w="1871" w:type="dxa"/>
          </w:tcPr>
          <w:p w14:paraId="3E45F1D8" w14:textId="77777777" w:rsidR="00AB32BA" w:rsidRPr="00BB0E0E" w:rsidRDefault="00AB32BA">
            <w:pPr>
              <w:pStyle w:val="TableSideHeading"/>
              <w:rPr>
                <w:sz w:val="26"/>
              </w:rPr>
            </w:pPr>
          </w:p>
        </w:tc>
        <w:tc>
          <w:tcPr>
            <w:tcW w:w="624" w:type="dxa"/>
          </w:tcPr>
          <w:p w14:paraId="1C5BCBC1" w14:textId="77777777" w:rsidR="00AB32BA" w:rsidRPr="00BB0E0E" w:rsidRDefault="00AB32BA">
            <w:pPr>
              <w:pStyle w:val="TableText"/>
              <w:rPr>
                <w:sz w:val="26"/>
              </w:rPr>
            </w:pPr>
          </w:p>
        </w:tc>
        <w:tc>
          <w:tcPr>
            <w:tcW w:w="624" w:type="dxa"/>
          </w:tcPr>
          <w:p w14:paraId="08A46E41" w14:textId="77777777" w:rsidR="00AB32BA" w:rsidRPr="00BB0E0E" w:rsidRDefault="00AB32BA" w:rsidP="00EF1BC9">
            <w:pPr>
              <w:pStyle w:val="TableText"/>
              <w:rPr>
                <w:sz w:val="26"/>
              </w:rPr>
            </w:pPr>
          </w:p>
        </w:tc>
        <w:tc>
          <w:tcPr>
            <w:tcW w:w="6522" w:type="dxa"/>
            <w:gridSpan w:val="3"/>
          </w:tcPr>
          <w:p w14:paraId="27265D80" w14:textId="77777777" w:rsidR="00AB32BA" w:rsidRPr="00BB0E0E" w:rsidRDefault="00AB32BA" w:rsidP="001C06D6">
            <w:pPr>
              <w:pStyle w:val="TableBlock"/>
              <w:rPr>
                <w:sz w:val="26"/>
                <w:rtl/>
              </w:rPr>
            </w:pPr>
            <w:r w:rsidRPr="00BB0E0E">
              <w:rPr>
                <w:rFonts w:hint="cs"/>
                <w:sz w:val="26"/>
                <w:rtl/>
              </w:rPr>
              <w:t xml:space="preserve">(2) פרט (2) </w:t>
            </w:r>
            <w:r w:rsidRPr="00BB0E0E">
              <w:rPr>
                <w:sz w:val="26"/>
                <w:rtl/>
              </w:rPr>
              <w:t>–</w:t>
            </w:r>
            <w:r w:rsidRPr="00BB0E0E">
              <w:rPr>
                <w:rFonts w:hint="cs"/>
                <w:sz w:val="26"/>
                <w:rtl/>
              </w:rPr>
              <w:t xml:space="preserve"> יימחק.</w:t>
            </w:r>
          </w:p>
        </w:tc>
      </w:tr>
      <w:tr w:rsidR="00F60053" w:rsidRPr="00BB0E0E" w14:paraId="0AE8C41C" w14:textId="77777777">
        <w:trPr>
          <w:cantSplit/>
          <w:trHeight w:val="60"/>
        </w:trPr>
        <w:tc>
          <w:tcPr>
            <w:tcW w:w="1871" w:type="dxa"/>
          </w:tcPr>
          <w:p w14:paraId="270B86EE" w14:textId="77777777" w:rsidR="00F60053" w:rsidRPr="00BB0E0E" w:rsidRDefault="00F60053">
            <w:pPr>
              <w:pStyle w:val="TableSideHeading"/>
              <w:rPr>
                <w:sz w:val="26"/>
              </w:rPr>
            </w:pPr>
          </w:p>
        </w:tc>
        <w:tc>
          <w:tcPr>
            <w:tcW w:w="624" w:type="dxa"/>
          </w:tcPr>
          <w:p w14:paraId="00441D19" w14:textId="77777777" w:rsidR="00F60053" w:rsidRPr="00BB0E0E" w:rsidRDefault="00F60053">
            <w:pPr>
              <w:pStyle w:val="TableText"/>
              <w:rPr>
                <w:sz w:val="26"/>
              </w:rPr>
            </w:pPr>
          </w:p>
        </w:tc>
        <w:tc>
          <w:tcPr>
            <w:tcW w:w="624" w:type="dxa"/>
          </w:tcPr>
          <w:p w14:paraId="501D0A3E" w14:textId="77777777" w:rsidR="00F60053" w:rsidRPr="00BB0E0E" w:rsidRDefault="00F60053" w:rsidP="00AF72C7">
            <w:pPr>
              <w:pStyle w:val="TableText"/>
              <w:rPr>
                <w:sz w:val="26"/>
              </w:rPr>
            </w:pPr>
          </w:p>
        </w:tc>
        <w:tc>
          <w:tcPr>
            <w:tcW w:w="6522" w:type="dxa"/>
            <w:gridSpan w:val="3"/>
          </w:tcPr>
          <w:p w14:paraId="051ED547" w14:textId="77777777" w:rsidR="00F60053" w:rsidRPr="00BB0E0E" w:rsidRDefault="00EF1BC9" w:rsidP="00AB32BA">
            <w:pPr>
              <w:pStyle w:val="TableBlock"/>
              <w:rPr>
                <w:sz w:val="26"/>
              </w:rPr>
            </w:pPr>
            <w:r w:rsidRPr="00BB0E0E">
              <w:rPr>
                <w:rFonts w:hint="cs"/>
                <w:sz w:val="26"/>
                <w:rtl/>
              </w:rPr>
              <w:t>(</w:t>
            </w:r>
            <w:r w:rsidR="00AB32BA" w:rsidRPr="00BB0E0E">
              <w:rPr>
                <w:rFonts w:hint="cs"/>
                <w:sz w:val="26"/>
                <w:rtl/>
              </w:rPr>
              <w:t>3</w:t>
            </w:r>
            <w:r w:rsidRPr="00BB0E0E">
              <w:rPr>
                <w:rFonts w:hint="cs"/>
                <w:sz w:val="26"/>
                <w:rtl/>
              </w:rPr>
              <w:t xml:space="preserve">) </w:t>
            </w:r>
            <w:r w:rsidR="00AB32BA" w:rsidRPr="00BB0E0E">
              <w:rPr>
                <w:rFonts w:hint="cs"/>
                <w:sz w:val="26"/>
                <w:rtl/>
              </w:rPr>
              <w:t xml:space="preserve">בפרט (3), </w:t>
            </w:r>
            <w:r w:rsidR="00F60053" w:rsidRPr="00BB0E0E">
              <w:rPr>
                <w:rFonts w:hint="cs"/>
                <w:sz w:val="26"/>
                <w:rtl/>
              </w:rPr>
              <w:t xml:space="preserve">במקום האמור </w:t>
            </w:r>
            <w:r w:rsidR="00AB32BA" w:rsidRPr="00BB0E0E">
              <w:rPr>
                <w:rFonts w:hint="cs"/>
                <w:sz w:val="26"/>
                <w:rtl/>
              </w:rPr>
              <w:t>בו</w:t>
            </w:r>
            <w:r w:rsidR="00F60053" w:rsidRPr="00BB0E0E">
              <w:rPr>
                <w:rFonts w:hint="cs"/>
                <w:sz w:val="26"/>
                <w:rtl/>
              </w:rPr>
              <w:t xml:space="preserve">, יבוא: </w:t>
            </w:r>
          </w:p>
        </w:tc>
      </w:tr>
      <w:tr w:rsidR="00F60053" w:rsidRPr="00BB0E0E" w14:paraId="00ECC665" w14:textId="77777777">
        <w:trPr>
          <w:cantSplit/>
          <w:trHeight w:val="60"/>
        </w:trPr>
        <w:tc>
          <w:tcPr>
            <w:tcW w:w="1871" w:type="dxa"/>
          </w:tcPr>
          <w:p w14:paraId="1EB82C4F" w14:textId="77777777" w:rsidR="00F60053" w:rsidRPr="00BB0E0E" w:rsidRDefault="00F60053">
            <w:pPr>
              <w:pStyle w:val="TableSideHeading"/>
              <w:rPr>
                <w:sz w:val="26"/>
              </w:rPr>
            </w:pPr>
          </w:p>
        </w:tc>
        <w:tc>
          <w:tcPr>
            <w:tcW w:w="624" w:type="dxa"/>
          </w:tcPr>
          <w:p w14:paraId="1A8886C7" w14:textId="77777777" w:rsidR="00F60053" w:rsidRPr="00BB0E0E" w:rsidRDefault="00F60053">
            <w:pPr>
              <w:pStyle w:val="TableText"/>
              <w:rPr>
                <w:sz w:val="26"/>
              </w:rPr>
            </w:pPr>
          </w:p>
        </w:tc>
        <w:tc>
          <w:tcPr>
            <w:tcW w:w="624" w:type="dxa"/>
          </w:tcPr>
          <w:p w14:paraId="02A73CFD" w14:textId="77777777" w:rsidR="00F60053" w:rsidRPr="00BB0E0E" w:rsidRDefault="00F60053">
            <w:pPr>
              <w:pStyle w:val="TableText"/>
              <w:rPr>
                <w:sz w:val="26"/>
              </w:rPr>
            </w:pPr>
          </w:p>
        </w:tc>
        <w:tc>
          <w:tcPr>
            <w:tcW w:w="624" w:type="dxa"/>
          </w:tcPr>
          <w:p w14:paraId="64DB6E54" w14:textId="77777777" w:rsidR="00F60053" w:rsidRPr="00BB0E0E" w:rsidRDefault="00F60053">
            <w:pPr>
              <w:pStyle w:val="TableText"/>
              <w:rPr>
                <w:sz w:val="26"/>
              </w:rPr>
            </w:pPr>
          </w:p>
        </w:tc>
        <w:tc>
          <w:tcPr>
            <w:tcW w:w="5898" w:type="dxa"/>
            <w:gridSpan w:val="2"/>
          </w:tcPr>
          <w:p w14:paraId="5124841A" w14:textId="77777777" w:rsidR="00F60053" w:rsidRPr="00BB0E0E" w:rsidRDefault="00F60053" w:rsidP="00F60053">
            <w:pPr>
              <w:pStyle w:val="TableBlock"/>
              <w:rPr>
                <w:sz w:val="26"/>
              </w:rPr>
            </w:pPr>
            <w:r w:rsidRPr="00BB0E0E">
              <w:rPr>
                <w:sz w:val="26"/>
                <w:rtl/>
              </w:rPr>
              <w:t>" תקנה 2073/2005 תחול בתנאים והחרגות כמפורט להלן:</w:t>
            </w:r>
          </w:p>
        </w:tc>
      </w:tr>
      <w:tr w:rsidR="00F60053" w:rsidRPr="00BB0E0E" w14:paraId="4DE2F407" w14:textId="77777777">
        <w:trPr>
          <w:cantSplit/>
          <w:trHeight w:val="60"/>
        </w:trPr>
        <w:tc>
          <w:tcPr>
            <w:tcW w:w="1871" w:type="dxa"/>
          </w:tcPr>
          <w:p w14:paraId="1683C837" w14:textId="77777777" w:rsidR="00F60053" w:rsidRPr="00BB0E0E" w:rsidRDefault="00F60053">
            <w:pPr>
              <w:pStyle w:val="TableSideHeading"/>
              <w:rPr>
                <w:sz w:val="26"/>
              </w:rPr>
            </w:pPr>
          </w:p>
        </w:tc>
        <w:tc>
          <w:tcPr>
            <w:tcW w:w="624" w:type="dxa"/>
          </w:tcPr>
          <w:p w14:paraId="58A4B04F" w14:textId="77777777" w:rsidR="00F60053" w:rsidRPr="00BB0E0E" w:rsidRDefault="00F60053">
            <w:pPr>
              <w:pStyle w:val="TableText"/>
              <w:rPr>
                <w:sz w:val="26"/>
              </w:rPr>
            </w:pPr>
          </w:p>
        </w:tc>
        <w:tc>
          <w:tcPr>
            <w:tcW w:w="624" w:type="dxa"/>
          </w:tcPr>
          <w:p w14:paraId="410CB33C" w14:textId="77777777" w:rsidR="00F60053" w:rsidRPr="00BB0E0E" w:rsidRDefault="00F60053">
            <w:pPr>
              <w:pStyle w:val="TableText"/>
              <w:rPr>
                <w:sz w:val="26"/>
              </w:rPr>
            </w:pPr>
          </w:p>
        </w:tc>
        <w:tc>
          <w:tcPr>
            <w:tcW w:w="624" w:type="dxa"/>
          </w:tcPr>
          <w:p w14:paraId="1F44CF94" w14:textId="77777777" w:rsidR="00F60053" w:rsidRPr="00BB0E0E" w:rsidRDefault="00F60053">
            <w:pPr>
              <w:pStyle w:val="TableText"/>
              <w:rPr>
                <w:sz w:val="26"/>
              </w:rPr>
            </w:pPr>
          </w:p>
        </w:tc>
        <w:tc>
          <w:tcPr>
            <w:tcW w:w="624" w:type="dxa"/>
          </w:tcPr>
          <w:p w14:paraId="2DDC1EE2" w14:textId="77777777" w:rsidR="00F60053" w:rsidRPr="00BB0E0E" w:rsidRDefault="00F60053" w:rsidP="00F60053">
            <w:pPr>
              <w:pStyle w:val="TableText"/>
              <w:spacing w:before="240"/>
              <w:rPr>
                <w:sz w:val="26"/>
              </w:rPr>
            </w:pPr>
          </w:p>
        </w:tc>
        <w:tc>
          <w:tcPr>
            <w:tcW w:w="5274" w:type="dxa"/>
          </w:tcPr>
          <w:p w14:paraId="70998DD4" w14:textId="77777777" w:rsidR="00F60053" w:rsidRPr="00BB0E0E" w:rsidRDefault="007D052E">
            <w:pPr>
              <w:pStyle w:val="TableBlock"/>
              <w:rPr>
                <w:sz w:val="26"/>
              </w:rPr>
            </w:pPr>
            <w:r w:rsidRPr="00BB0E0E">
              <w:rPr>
                <w:rFonts w:hint="cs"/>
                <w:sz w:val="26"/>
                <w:rtl/>
              </w:rPr>
              <w:t>(</w:t>
            </w:r>
            <w:r w:rsidRPr="00BB0E0E">
              <w:rPr>
                <w:sz w:val="26"/>
                <w:rtl/>
              </w:rPr>
              <w:t>א)</w:t>
            </w:r>
            <w:r w:rsidRPr="00BB0E0E">
              <w:rPr>
                <w:sz w:val="26"/>
                <w:rtl/>
              </w:rPr>
              <w:tab/>
              <w:t>הוראות סעיף 6 לתקנה לא יחולו;</w:t>
            </w:r>
          </w:p>
        </w:tc>
      </w:tr>
      <w:tr w:rsidR="007D052E" w:rsidRPr="00BB0E0E" w14:paraId="78C3329C" w14:textId="77777777">
        <w:trPr>
          <w:cantSplit/>
          <w:trHeight w:val="60"/>
        </w:trPr>
        <w:tc>
          <w:tcPr>
            <w:tcW w:w="1871" w:type="dxa"/>
          </w:tcPr>
          <w:p w14:paraId="16B88DAF" w14:textId="77777777" w:rsidR="007D052E" w:rsidRPr="00BB0E0E" w:rsidRDefault="007D052E">
            <w:pPr>
              <w:pStyle w:val="TableSideHeading"/>
              <w:rPr>
                <w:sz w:val="26"/>
              </w:rPr>
            </w:pPr>
          </w:p>
        </w:tc>
        <w:tc>
          <w:tcPr>
            <w:tcW w:w="624" w:type="dxa"/>
          </w:tcPr>
          <w:p w14:paraId="41201D95" w14:textId="77777777" w:rsidR="007D052E" w:rsidRPr="00BB0E0E" w:rsidRDefault="007D052E" w:rsidP="007D052E">
            <w:pPr>
              <w:pStyle w:val="TableText"/>
              <w:rPr>
                <w:sz w:val="26"/>
              </w:rPr>
            </w:pPr>
          </w:p>
        </w:tc>
        <w:tc>
          <w:tcPr>
            <w:tcW w:w="624" w:type="dxa"/>
          </w:tcPr>
          <w:p w14:paraId="081BC103" w14:textId="77777777" w:rsidR="007D052E" w:rsidRPr="00BB0E0E" w:rsidRDefault="007D052E">
            <w:pPr>
              <w:pStyle w:val="TableText"/>
              <w:rPr>
                <w:sz w:val="26"/>
              </w:rPr>
            </w:pPr>
          </w:p>
        </w:tc>
        <w:tc>
          <w:tcPr>
            <w:tcW w:w="624" w:type="dxa"/>
          </w:tcPr>
          <w:p w14:paraId="2BC84870" w14:textId="77777777" w:rsidR="007D052E" w:rsidRPr="00BB0E0E" w:rsidRDefault="007D052E">
            <w:pPr>
              <w:pStyle w:val="TableText"/>
              <w:rPr>
                <w:sz w:val="26"/>
              </w:rPr>
            </w:pPr>
          </w:p>
        </w:tc>
        <w:tc>
          <w:tcPr>
            <w:tcW w:w="624" w:type="dxa"/>
          </w:tcPr>
          <w:p w14:paraId="3D8FBAF1" w14:textId="77777777" w:rsidR="007D052E" w:rsidRPr="00BB0E0E" w:rsidRDefault="007D052E" w:rsidP="00F60053">
            <w:pPr>
              <w:pStyle w:val="TableText"/>
              <w:spacing w:before="240"/>
              <w:rPr>
                <w:sz w:val="26"/>
              </w:rPr>
            </w:pPr>
          </w:p>
        </w:tc>
        <w:tc>
          <w:tcPr>
            <w:tcW w:w="5274" w:type="dxa"/>
          </w:tcPr>
          <w:p w14:paraId="4E03899D" w14:textId="77777777" w:rsidR="007D052E" w:rsidRPr="00BB0E0E" w:rsidRDefault="007D052E" w:rsidP="007D052E">
            <w:pPr>
              <w:pStyle w:val="TableBlock"/>
              <w:rPr>
                <w:sz w:val="26"/>
                <w:rtl/>
              </w:rPr>
            </w:pPr>
            <w:r w:rsidRPr="00BB0E0E">
              <w:rPr>
                <w:rFonts w:hint="cs"/>
                <w:sz w:val="26"/>
                <w:rtl/>
              </w:rPr>
              <w:t>(ב)</w:t>
            </w:r>
            <w:r w:rsidRPr="00BB0E0E">
              <w:rPr>
                <w:sz w:val="26"/>
                <w:rtl/>
              </w:rPr>
              <w:t xml:space="preserve"> </w:t>
            </w:r>
            <w:r w:rsidRPr="00BB0E0E">
              <w:rPr>
                <w:sz w:val="26"/>
                <w:rtl/>
              </w:rPr>
              <w:tab/>
              <w:t>בסעיף 7, תת סעיף 2, לתקנה, במקום "</w:t>
            </w:r>
            <w:r w:rsidRPr="00BB0E0E">
              <w:rPr>
                <w:sz w:val="26"/>
              </w:rPr>
              <w:t>Article 19 of Regulation (EC) No 178/2002</w:t>
            </w:r>
            <w:r w:rsidRPr="00BB0E0E">
              <w:rPr>
                <w:sz w:val="26"/>
                <w:rtl/>
              </w:rPr>
              <w:t>" יקראו "סעיף 164 לחוק בריאות הציבור (מזון), התשע"ו-2015";</w:t>
            </w:r>
          </w:p>
        </w:tc>
      </w:tr>
      <w:tr w:rsidR="007D052E" w:rsidRPr="00BB0E0E" w14:paraId="29AC1514" w14:textId="77777777">
        <w:trPr>
          <w:cantSplit/>
          <w:trHeight w:val="60"/>
        </w:trPr>
        <w:tc>
          <w:tcPr>
            <w:tcW w:w="1871" w:type="dxa"/>
          </w:tcPr>
          <w:p w14:paraId="73797E0F" w14:textId="77777777" w:rsidR="007D052E" w:rsidRPr="00BB0E0E" w:rsidRDefault="007D052E">
            <w:pPr>
              <w:pStyle w:val="TableSideHeading"/>
              <w:rPr>
                <w:sz w:val="26"/>
              </w:rPr>
            </w:pPr>
          </w:p>
        </w:tc>
        <w:tc>
          <w:tcPr>
            <w:tcW w:w="624" w:type="dxa"/>
          </w:tcPr>
          <w:p w14:paraId="16E5FB2A" w14:textId="77777777" w:rsidR="007D052E" w:rsidRPr="00BB0E0E" w:rsidRDefault="007D052E" w:rsidP="007D052E">
            <w:pPr>
              <w:pStyle w:val="TableText"/>
              <w:rPr>
                <w:sz w:val="26"/>
              </w:rPr>
            </w:pPr>
          </w:p>
        </w:tc>
        <w:tc>
          <w:tcPr>
            <w:tcW w:w="624" w:type="dxa"/>
          </w:tcPr>
          <w:p w14:paraId="0FE13B86" w14:textId="77777777" w:rsidR="007D052E" w:rsidRPr="00BB0E0E" w:rsidRDefault="007D052E">
            <w:pPr>
              <w:pStyle w:val="TableText"/>
              <w:rPr>
                <w:sz w:val="26"/>
              </w:rPr>
            </w:pPr>
          </w:p>
        </w:tc>
        <w:tc>
          <w:tcPr>
            <w:tcW w:w="624" w:type="dxa"/>
          </w:tcPr>
          <w:p w14:paraId="4EB53F2C" w14:textId="77777777" w:rsidR="007D052E" w:rsidRPr="00BB0E0E" w:rsidRDefault="007D052E">
            <w:pPr>
              <w:pStyle w:val="TableText"/>
              <w:rPr>
                <w:sz w:val="26"/>
              </w:rPr>
            </w:pPr>
          </w:p>
        </w:tc>
        <w:tc>
          <w:tcPr>
            <w:tcW w:w="624" w:type="dxa"/>
          </w:tcPr>
          <w:p w14:paraId="1A455D5E" w14:textId="77777777" w:rsidR="007D052E" w:rsidRPr="00BB0E0E" w:rsidRDefault="007D052E" w:rsidP="00F60053">
            <w:pPr>
              <w:pStyle w:val="TableText"/>
              <w:spacing w:before="240"/>
              <w:rPr>
                <w:sz w:val="26"/>
              </w:rPr>
            </w:pPr>
          </w:p>
        </w:tc>
        <w:tc>
          <w:tcPr>
            <w:tcW w:w="5274" w:type="dxa"/>
          </w:tcPr>
          <w:p w14:paraId="721BA594" w14:textId="77777777" w:rsidR="007D052E" w:rsidRPr="00BB0E0E" w:rsidRDefault="007D052E" w:rsidP="00D76B67">
            <w:pPr>
              <w:pStyle w:val="TableBlock"/>
              <w:rPr>
                <w:sz w:val="26"/>
                <w:rtl/>
              </w:rPr>
            </w:pPr>
            <w:r w:rsidRPr="00BB0E0E">
              <w:rPr>
                <w:rFonts w:hint="cs"/>
                <w:sz w:val="26"/>
                <w:rtl/>
              </w:rPr>
              <w:t>(ג)</w:t>
            </w:r>
            <w:r w:rsidRPr="00BB0E0E">
              <w:rPr>
                <w:sz w:val="26"/>
                <w:rtl/>
              </w:rPr>
              <w:tab/>
              <w:t xml:space="preserve">בפרק 1 של נספח </w:t>
            </w:r>
            <w:r w:rsidRPr="00BB0E0E">
              <w:rPr>
                <w:sz w:val="26"/>
              </w:rPr>
              <w:t>I</w:t>
            </w:r>
            <w:r w:rsidRPr="00BB0E0E">
              <w:rPr>
                <w:sz w:val="26"/>
                <w:rtl/>
              </w:rPr>
              <w:t xml:space="preserve"> לתקנה, בפרטים 1.2 ו-1.3, בטור "</w:t>
            </w:r>
            <w:r w:rsidRPr="00BB0E0E">
              <w:rPr>
                <w:sz w:val="26"/>
              </w:rPr>
              <w:t>Limits</w:t>
            </w:r>
            <w:r w:rsidRPr="00BB0E0E">
              <w:rPr>
                <w:sz w:val="26"/>
                <w:rtl/>
              </w:rPr>
              <w:t>", במקום "</w:t>
            </w:r>
            <w:r w:rsidR="00D76B67" w:rsidRPr="00BB0E0E">
              <w:rPr>
                <w:sz w:val="26"/>
              </w:rPr>
              <w:t xml:space="preserve"> </w:t>
            </w:r>
            <w:proofErr w:type="spellStart"/>
            <w:r w:rsidR="00D76B67" w:rsidRPr="00BB0E0E">
              <w:rPr>
                <w:sz w:val="26"/>
              </w:rPr>
              <w:t>cfu</w:t>
            </w:r>
            <w:proofErr w:type="spellEnd"/>
            <w:r w:rsidR="00D76B67" w:rsidRPr="00BB0E0E">
              <w:rPr>
                <w:sz w:val="26"/>
              </w:rPr>
              <w:t>/g</w:t>
            </w:r>
            <w:r w:rsidR="00D76B67" w:rsidRPr="00BB0E0E">
              <w:rPr>
                <w:sz w:val="26"/>
                <w:rtl/>
              </w:rPr>
              <w:t xml:space="preserve"> </w:t>
            </w:r>
            <w:r w:rsidRPr="00BB0E0E">
              <w:rPr>
                <w:sz w:val="26"/>
                <w:rtl/>
              </w:rPr>
              <w:t xml:space="preserve">100 " יקראו </w:t>
            </w:r>
            <w:r w:rsidR="00ED51A9" w:rsidRPr="00BB0E0E">
              <w:rPr>
                <w:sz w:val="26"/>
              </w:rPr>
              <w:t>"</w:t>
            </w:r>
            <w:r w:rsidRPr="00BB0E0E">
              <w:rPr>
                <w:sz w:val="26"/>
              </w:rPr>
              <w:t>not detected in 25</w:t>
            </w:r>
            <w:r w:rsidR="00ED51A9" w:rsidRPr="00BB0E0E">
              <w:rPr>
                <w:sz w:val="26"/>
              </w:rPr>
              <w:t xml:space="preserve">g" </w:t>
            </w:r>
            <w:r w:rsidRPr="00BB0E0E">
              <w:rPr>
                <w:sz w:val="26"/>
                <w:rtl/>
              </w:rPr>
              <w:t>;</w:t>
            </w:r>
          </w:p>
        </w:tc>
      </w:tr>
      <w:tr w:rsidR="007D052E" w:rsidRPr="00BB0E0E" w14:paraId="5FA8B67C" w14:textId="77777777">
        <w:trPr>
          <w:cantSplit/>
          <w:trHeight w:val="60"/>
        </w:trPr>
        <w:tc>
          <w:tcPr>
            <w:tcW w:w="1871" w:type="dxa"/>
          </w:tcPr>
          <w:p w14:paraId="49B172E9" w14:textId="77777777" w:rsidR="007D052E" w:rsidRPr="00BB0E0E" w:rsidRDefault="007D052E">
            <w:pPr>
              <w:pStyle w:val="TableSideHeading"/>
              <w:rPr>
                <w:sz w:val="26"/>
              </w:rPr>
            </w:pPr>
          </w:p>
        </w:tc>
        <w:tc>
          <w:tcPr>
            <w:tcW w:w="624" w:type="dxa"/>
          </w:tcPr>
          <w:p w14:paraId="37923BE6" w14:textId="77777777" w:rsidR="007D052E" w:rsidRPr="00BB0E0E" w:rsidRDefault="007D052E" w:rsidP="007D052E">
            <w:pPr>
              <w:pStyle w:val="TableText"/>
              <w:rPr>
                <w:sz w:val="26"/>
              </w:rPr>
            </w:pPr>
          </w:p>
        </w:tc>
        <w:tc>
          <w:tcPr>
            <w:tcW w:w="624" w:type="dxa"/>
          </w:tcPr>
          <w:p w14:paraId="0010A593" w14:textId="77777777" w:rsidR="007D052E" w:rsidRPr="00BB0E0E" w:rsidRDefault="007D052E">
            <w:pPr>
              <w:pStyle w:val="TableText"/>
              <w:rPr>
                <w:sz w:val="26"/>
              </w:rPr>
            </w:pPr>
          </w:p>
        </w:tc>
        <w:tc>
          <w:tcPr>
            <w:tcW w:w="624" w:type="dxa"/>
          </w:tcPr>
          <w:p w14:paraId="19ACA2AA" w14:textId="77777777" w:rsidR="007D052E" w:rsidRPr="00BB0E0E" w:rsidRDefault="007D052E">
            <w:pPr>
              <w:pStyle w:val="TableText"/>
              <w:rPr>
                <w:sz w:val="26"/>
              </w:rPr>
            </w:pPr>
          </w:p>
        </w:tc>
        <w:tc>
          <w:tcPr>
            <w:tcW w:w="624" w:type="dxa"/>
          </w:tcPr>
          <w:p w14:paraId="0EE91852" w14:textId="77777777" w:rsidR="007D052E" w:rsidRPr="00BB0E0E" w:rsidRDefault="007D052E" w:rsidP="00F60053">
            <w:pPr>
              <w:pStyle w:val="TableText"/>
              <w:spacing w:before="240"/>
              <w:rPr>
                <w:sz w:val="26"/>
              </w:rPr>
            </w:pPr>
          </w:p>
        </w:tc>
        <w:tc>
          <w:tcPr>
            <w:tcW w:w="5274" w:type="dxa"/>
          </w:tcPr>
          <w:p w14:paraId="1F56CAA4" w14:textId="77777777" w:rsidR="007D052E" w:rsidRPr="00BB0E0E" w:rsidRDefault="00102E93" w:rsidP="00FF4369">
            <w:pPr>
              <w:pStyle w:val="TableBlock"/>
              <w:rPr>
                <w:sz w:val="26"/>
                <w:rtl/>
              </w:rPr>
            </w:pPr>
            <w:r w:rsidRPr="00BB0E0E">
              <w:rPr>
                <w:rFonts w:hint="cs"/>
                <w:sz w:val="26"/>
                <w:rtl/>
              </w:rPr>
              <w:t>(</w:t>
            </w:r>
            <w:r w:rsidR="007D052E" w:rsidRPr="00BB0E0E">
              <w:rPr>
                <w:sz w:val="26"/>
                <w:rtl/>
              </w:rPr>
              <w:t>ד)</w:t>
            </w:r>
            <w:r w:rsidR="007D052E" w:rsidRPr="00BB0E0E">
              <w:rPr>
                <w:sz w:val="26"/>
                <w:rtl/>
              </w:rPr>
              <w:tab/>
              <w:t>הוראות התקנה בעניין תנאי תברואה בתהליך ייצור (</w:t>
            </w:r>
            <w:r w:rsidR="007D052E" w:rsidRPr="00BB0E0E">
              <w:rPr>
                <w:sz w:val="26"/>
              </w:rPr>
              <w:t>process hygiene criteria</w:t>
            </w:r>
            <w:r w:rsidR="007D052E" w:rsidRPr="00BB0E0E">
              <w:rPr>
                <w:sz w:val="26"/>
                <w:rtl/>
              </w:rPr>
              <w:t xml:space="preserve">) ובכלל זה פרק 2 בנספח </w:t>
            </w:r>
            <w:r w:rsidR="007D052E" w:rsidRPr="00BB0E0E">
              <w:rPr>
                <w:sz w:val="26"/>
              </w:rPr>
              <w:t>I</w:t>
            </w:r>
            <w:r w:rsidR="007D052E" w:rsidRPr="00BB0E0E">
              <w:rPr>
                <w:sz w:val="26"/>
                <w:rtl/>
              </w:rPr>
              <w:t xml:space="preserve"> לתקנה יחולו לעניין </w:t>
            </w:r>
            <w:r w:rsidR="00FF4369" w:rsidRPr="00BB0E0E">
              <w:rPr>
                <w:rFonts w:hint="cs"/>
                <w:sz w:val="26"/>
                <w:rtl/>
              </w:rPr>
              <w:t xml:space="preserve">ייצורו בלבד של </w:t>
            </w:r>
            <w:r w:rsidR="007D052E" w:rsidRPr="00BB0E0E">
              <w:rPr>
                <w:sz w:val="26"/>
                <w:rtl/>
              </w:rPr>
              <w:t xml:space="preserve">מזון </w:t>
            </w:r>
            <w:r w:rsidR="00FF4369" w:rsidRPr="00BB0E0E">
              <w:rPr>
                <w:rFonts w:hint="cs"/>
                <w:sz w:val="26"/>
                <w:rtl/>
              </w:rPr>
              <w:t>ואשר</w:t>
            </w:r>
            <w:r w:rsidR="00FF4369" w:rsidRPr="00BB0E0E">
              <w:rPr>
                <w:sz w:val="26"/>
                <w:rtl/>
              </w:rPr>
              <w:t xml:space="preserve"> </w:t>
            </w:r>
            <w:r w:rsidR="007D052E" w:rsidRPr="00BB0E0E">
              <w:rPr>
                <w:sz w:val="26"/>
                <w:rtl/>
              </w:rPr>
              <w:t>טעון קבלת רישיון ייצור  או אישור פעילות יצרנית באתר המכירה לצרכן, לפי פרק ג' לחוק;</w:t>
            </w:r>
          </w:p>
        </w:tc>
      </w:tr>
      <w:tr w:rsidR="00102E93" w:rsidRPr="00BB0E0E" w14:paraId="53E6020E" w14:textId="77777777">
        <w:trPr>
          <w:cantSplit/>
          <w:trHeight w:val="60"/>
        </w:trPr>
        <w:tc>
          <w:tcPr>
            <w:tcW w:w="1871" w:type="dxa"/>
          </w:tcPr>
          <w:p w14:paraId="666D908E" w14:textId="77777777" w:rsidR="00102E93" w:rsidRPr="00BB0E0E" w:rsidRDefault="00102E93">
            <w:pPr>
              <w:pStyle w:val="TableSideHeading"/>
              <w:rPr>
                <w:sz w:val="26"/>
              </w:rPr>
            </w:pPr>
          </w:p>
        </w:tc>
        <w:tc>
          <w:tcPr>
            <w:tcW w:w="624" w:type="dxa"/>
          </w:tcPr>
          <w:p w14:paraId="144F8BCD" w14:textId="77777777" w:rsidR="00102E93" w:rsidRPr="00BB0E0E" w:rsidRDefault="00102E93" w:rsidP="00102E93">
            <w:pPr>
              <w:pStyle w:val="TableText"/>
              <w:rPr>
                <w:sz w:val="26"/>
              </w:rPr>
            </w:pPr>
          </w:p>
        </w:tc>
        <w:tc>
          <w:tcPr>
            <w:tcW w:w="624" w:type="dxa"/>
          </w:tcPr>
          <w:p w14:paraId="4AB306BF" w14:textId="77777777" w:rsidR="00102E93" w:rsidRPr="00BB0E0E" w:rsidRDefault="00102E93">
            <w:pPr>
              <w:pStyle w:val="TableText"/>
              <w:rPr>
                <w:sz w:val="26"/>
              </w:rPr>
            </w:pPr>
          </w:p>
        </w:tc>
        <w:tc>
          <w:tcPr>
            <w:tcW w:w="624" w:type="dxa"/>
          </w:tcPr>
          <w:p w14:paraId="5116ADF8" w14:textId="77777777" w:rsidR="00102E93" w:rsidRPr="00BB0E0E" w:rsidRDefault="00102E93">
            <w:pPr>
              <w:pStyle w:val="TableText"/>
              <w:rPr>
                <w:sz w:val="26"/>
              </w:rPr>
            </w:pPr>
          </w:p>
        </w:tc>
        <w:tc>
          <w:tcPr>
            <w:tcW w:w="624" w:type="dxa"/>
          </w:tcPr>
          <w:p w14:paraId="6E1CE21A" w14:textId="77777777" w:rsidR="00102E93" w:rsidRPr="00BB0E0E" w:rsidRDefault="00102E93" w:rsidP="00F60053">
            <w:pPr>
              <w:pStyle w:val="TableText"/>
              <w:spacing w:before="240"/>
              <w:rPr>
                <w:sz w:val="26"/>
              </w:rPr>
            </w:pPr>
          </w:p>
        </w:tc>
        <w:tc>
          <w:tcPr>
            <w:tcW w:w="5274" w:type="dxa"/>
          </w:tcPr>
          <w:p w14:paraId="651AE592" w14:textId="77777777" w:rsidR="00102E93" w:rsidRPr="00BB0E0E" w:rsidRDefault="00102E93" w:rsidP="006F3188">
            <w:pPr>
              <w:pStyle w:val="TableBlock"/>
              <w:rPr>
                <w:sz w:val="26"/>
                <w:rtl/>
              </w:rPr>
            </w:pPr>
            <w:r w:rsidRPr="00BB0E0E">
              <w:rPr>
                <w:rFonts w:hint="cs"/>
                <w:sz w:val="26"/>
                <w:rtl/>
              </w:rPr>
              <w:t xml:space="preserve"> (ה</w:t>
            </w:r>
            <w:r w:rsidRPr="00BB0E0E">
              <w:rPr>
                <w:sz w:val="26"/>
                <w:rtl/>
              </w:rPr>
              <w:t xml:space="preserve">) </w:t>
            </w:r>
            <w:r w:rsidR="00BB0E0E" w:rsidRPr="00BB0E0E">
              <w:rPr>
                <w:sz w:val="26"/>
                <w:rtl/>
              </w:rPr>
              <w:t xml:space="preserve">בפרק 1 של נספח </w:t>
            </w:r>
            <w:r w:rsidR="00BB0E0E" w:rsidRPr="00BB0E0E">
              <w:rPr>
                <w:sz w:val="26"/>
              </w:rPr>
              <w:t>I</w:t>
            </w:r>
            <w:r w:rsidR="00BB0E0E" w:rsidRPr="00BB0E0E">
              <w:rPr>
                <w:sz w:val="26"/>
                <w:rtl/>
              </w:rPr>
              <w:t xml:space="preserve"> לתקנה, בפרט</w:t>
            </w:r>
            <w:r w:rsidR="00BB0E0E">
              <w:rPr>
                <w:rFonts w:hint="cs"/>
                <w:sz w:val="26"/>
                <w:rtl/>
              </w:rPr>
              <w:t xml:space="preserve"> 1.18, יראו אותו כאילו חל גם </w:t>
            </w:r>
            <w:r w:rsidRPr="00BB0E0E">
              <w:rPr>
                <w:sz w:val="26"/>
                <w:rtl/>
              </w:rPr>
              <w:t xml:space="preserve">לגבי מזונות מסוג טחינה, אגוזים </w:t>
            </w:r>
            <w:r w:rsidR="006E56EA" w:rsidRPr="00BB0E0E">
              <w:rPr>
                <w:rFonts w:hint="cs"/>
                <w:sz w:val="26"/>
                <w:rtl/>
              </w:rPr>
              <w:t>ו</w:t>
            </w:r>
            <w:r w:rsidRPr="00BB0E0E">
              <w:rPr>
                <w:sz w:val="26"/>
                <w:rtl/>
              </w:rPr>
              <w:t>תבלינים</w:t>
            </w:r>
            <w:r w:rsidR="00D31949" w:rsidRPr="00BB0E0E">
              <w:rPr>
                <w:rFonts w:hint="cs"/>
                <w:sz w:val="26"/>
                <w:rtl/>
              </w:rPr>
              <w:t xml:space="preserve"> </w:t>
            </w:r>
            <w:r w:rsidR="00BB0E0E">
              <w:rPr>
                <w:rFonts w:hint="cs"/>
                <w:sz w:val="26"/>
                <w:rtl/>
              </w:rPr>
              <w:t xml:space="preserve">ואולם בטור </w:t>
            </w:r>
            <w:r w:rsidR="00BB0E0E" w:rsidRPr="00BB0E0E">
              <w:rPr>
                <w:sz w:val="26"/>
                <w:rtl/>
              </w:rPr>
              <w:t>"</w:t>
            </w:r>
            <w:r w:rsidR="00BB0E0E">
              <w:rPr>
                <w:sz w:val="26"/>
              </w:rPr>
              <w:t>Sampling-plan</w:t>
            </w:r>
            <w:r w:rsidR="00BB0E0E" w:rsidRPr="00BB0E0E">
              <w:rPr>
                <w:sz w:val="26"/>
                <w:rtl/>
              </w:rPr>
              <w:t>"</w:t>
            </w:r>
            <w:r w:rsidR="00BB0E0E">
              <w:rPr>
                <w:rFonts w:hint="cs"/>
                <w:sz w:val="26"/>
                <w:rtl/>
              </w:rPr>
              <w:t xml:space="preserve"> , </w:t>
            </w:r>
            <w:r w:rsidR="006F3188">
              <w:rPr>
                <w:rFonts w:hint="cs"/>
                <w:sz w:val="26"/>
                <w:rtl/>
              </w:rPr>
              <w:t>בעמודה "</w:t>
            </w:r>
            <w:r w:rsidR="006F3188">
              <w:rPr>
                <w:sz w:val="26"/>
              </w:rPr>
              <w:t>"n</w:t>
            </w:r>
            <w:r w:rsidR="00BB0E0E">
              <w:rPr>
                <w:rFonts w:hint="cs"/>
                <w:sz w:val="26"/>
                <w:rtl/>
              </w:rPr>
              <w:t xml:space="preserve"> </w:t>
            </w:r>
            <w:r w:rsidR="006F3188">
              <w:rPr>
                <w:rFonts w:hint="cs"/>
                <w:sz w:val="26"/>
                <w:rtl/>
              </w:rPr>
              <w:t>(מספר מנות הדגימה במדגם), במקום "5" יקראו לגביהם ""30"</w:t>
            </w:r>
            <w:r w:rsidRPr="00BB0E0E">
              <w:rPr>
                <w:sz w:val="26"/>
                <w:rtl/>
              </w:rPr>
              <w:t>;</w:t>
            </w:r>
          </w:p>
        </w:tc>
      </w:tr>
      <w:tr w:rsidR="00020D99" w:rsidRPr="00BB0E0E" w14:paraId="7336E719" w14:textId="77777777">
        <w:trPr>
          <w:cantSplit/>
          <w:trHeight w:val="60"/>
        </w:trPr>
        <w:tc>
          <w:tcPr>
            <w:tcW w:w="1871" w:type="dxa"/>
          </w:tcPr>
          <w:p w14:paraId="39E9C221" w14:textId="77777777" w:rsidR="00020D99" w:rsidRPr="00BB0E0E" w:rsidRDefault="00020D99">
            <w:pPr>
              <w:pStyle w:val="TableSideHeading"/>
              <w:rPr>
                <w:sz w:val="26"/>
              </w:rPr>
            </w:pPr>
          </w:p>
        </w:tc>
        <w:tc>
          <w:tcPr>
            <w:tcW w:w="624" w:type="dxa"/>
          </w:tcPr>
          <w:p w14:paraId="57C94D2B" w14:textId="77777777" w:rsidR="00020D99" w:rsidRPr="00BB0E0E" w:rsidRDefault="00020D99" w:rsidP="00020D99">
            <w:pPr>
              <w:pStyle w:val="TableText"/>
              <w:rPr>
                <w:sz w:val="26"/>
              </w:rPr>
            </w:pPr>
          </w:p>
        </w:tc>
        <w:tc>
          <w:tcPr>
            <w:tcW w:w="624" w:type="dxa"/>
          </w:tcPr>
          <w:p w14:paraId="60A25B03" w14:textId="77777777" w:rsidR="00020D99" w:rsidRPr="00BB0E0E" w:rsidRDefault="00020D99">
            <w:pPr>
              <w:pStyle w:val="TableText"/>
              <w:rPr>
                <w:sz w:val="26"/>
              </w:rPr>
            </w:pPr>
          </w:p>
        </w:tc>
        <w:tc>
          <w:tcPr>
            <w:tcW w:w="624" w:type="dxa"/>
          </w:tcPr>
          <w:p w14:paraId="4F8A6D9C" w14:textId="77777777" w:rsidR="00020D99" w:rsidRPr="00BB0E0E" w:rsidRDefault="00020D99">
            <w:pPr>
              <w:pStyle w:val="TableText"/>
              <w:rPr>
                <w:sz w:val="26"/>
              </w:rPr>
            </w:pPr>
          </w:p>
        </w:tc>
        <w:tc>
          <w:tcPr>
            <w:tcW w:w="624" w:type="dxa"/>
          </w:tcPr>
          <w:p w14:paraId="0C9BEC9E" w14:textId="77777777" w:rsidR="00020D99" w:rsidRPr="00BB0E0E" w:rsidRDefault="00020D99" w:rsidP="00F60053">
            <w:pPr>
              <w:pStyle w:val="TableText"/>
              <w:spacing w:before="240"/>
              <w:rPr>
                <w:sz w:val="26"/>
              </w:rPr>
            </w:pPr>
          </w:p>
        </w:tc>
        <w:tc>
          <w:tcPr>
            <w:tcW w:w="5274" w:type="dxa"/>
          </w:tcPr>
          <w:p w14:paraId="54D10EF0" w14:textId="77777777" w:rsidR="00020D99" w:rsidRPr="00BB0E0E" w:rsidRDefault="00ED51A9" w:rsidP="00020D99">
            <w:pPr>
              <w:pStyle w:val="TableBlock"/>
              <w:rPr>
                <w:sz w:val="26"/>
                <w:rtl/>
              </w:rPr>
            </w:pPr>
            <w:r w:rsidRPr="00BB0E0E">
              <w:rPr>
                <w:rFonts w:hint="cs"/>
                <w:sz w:val="26"/>
                <w:rtl/>
              </w:rPr>
              <w:t>(</w:t>
            </w:r>
            <w:r w:rsidR="00020D99" w:rsidRPr="00BB0E0E">
              <w:rPr>
                <w:sz w:val="26"/>
                <w:rtl/>
              </w:rPr>
              <w:t xml:space="preserve">ו) אין בהוראות התקנה כדי לגרוע מחובות שנקבעו לפי כל דין בעניין </w:t>
            </w:r>
            <w:proofErr w:type="spellStart"/>
            <w:r w:rsidR="00020D99" w:rsidRPr="00BB0E0E">
              <w:rPr>
                <w:sz w:val="26"/>
                <w:rtl/>
              </w:rPr>
              <w:t>פיסטור</w:t>
            </w:r>
            <w:proofErr w:type="spellEnd"/>
            <w:r w:rsidR="00020D99" w:rsidRPr="00BB0E0E">
              <w:rPr>
                <w:sz w:val="26"/>
                <w:rtl/>
              </w:rPr>
              <w:t xml:space="preserve"> </w:t>
            </w:r>
            <w:r w:rsidR="00240482" w:rsidRPr="00BB0E0E">
              <w:rPr>
                <w:rFonts w:hint="cs"/>
                <w:sz w:val="26"/>
                <w:rtl/>
              </w:rPr>
              <w:t xml:space="preserve">ועיקור </w:t>
            </w:r>
            <w:r w:rsidR="00020D99" w:rsidRPr="00BB0E0E">
              <w:rPr>
                <w:sz w:val="26"/>
                <w:rtl/>
              </w:rPr>
              <w:t>מזון, ובכלל זה חלב, מוצרי חלב, מיצי פירות או ירקות, ומוצרי ביצים</w:t>
            </w:r>
            <w:r w:rsidR="00020D99" w:rsidRPr="00BB0E0E">
              <w:rPr>
                <w:rFonts w:hint="cs"/>
                <w:sz w:val="26"/>
                <w:rtl/>
              </w:rPr>
              <w:t>".</w:t>
            </w:r>
          </w:p>
        </w:tc>
      </w:tr>
      <w:tr w:rsidR="00ED51A9" w:rsidRPr="00BB0E0E" w14:paraId="4861FDAC" w14:textId="77777777" w:rsidTr="001766A3">
        <w:trPr>
          <w:cantSplit/>
          <w:trHeight w:val="60"/>
        </w:trPr>
        <w:tc>
          <w:tcPr>
            <w:tcW w:w="1871" w:type="dxa"/>
          </w:tcPr>
          <w:p w14:paraId="1C4CA917" w14:textId="77777777" w:rsidR="00ED51A9" w:rsidRPr="00BB0E0E" w:rsidRDefault="00ED51A9">
            <w:pPr>
              <w:pStyle w:val="TableSideHeading"/>
              <w:rPr>
                <w:sz w:val="26"/>
              </w:rPr>
            </w:pPr>
          </w:p>
        </w:tc>
        <w:tc>
          <w:tcPr>
            <w:tcW w:w="624" w:type="dxa"/>
          </w:tcPr>
          <w:p w14:paraId="43FF8656" w14:textId="77777777" w:rsidR="00ED51A9" w:rsidRPr="00BB0E0E" w:rsidRDefault="00ED51A9" w:rsidP="00ED51A9">
            <w:pPr>
              <w:pStyle w:val="TableText"/>
              <w:rPr>
                <w:sz w:val="26"/>
              </w:rPr>
            </w:pPr>
          </w:p>
        </w:tc>
        <w:tc>
          <w:tcPr>
            <w:tcW w:w="7146" w:type="dxa"/>
            <w:gridSpan w:val="4"/>
          </w:tcPr>
          <w:p w14:paraId="3CD166D0" w14:textId="77777777" w:rsidR="00ED51A9" w:rsidRPr="00BB0E0E" w:rsidRDefault="00EF1BC9" w:rsidP="00ED51A9">
            <w:pPr>
              <w:pStyle w:val="TableBlock"/>
              <w:rPr>
                <w:sz w:val="26"/>
                <w:rtl/>
              </w:rPr>
            </w:pPr>
            <w:r w:rsidRPr="00BB0E0E">
              <w:rPr>
                <w:rFonts w:hint="cs"/>
                <w:sz w:val="26"/>
                <w:rtl/>
              </w:rPr>
              <w:t xml:space="preserve">(ג)  </w:t>
            </w:r>
            <w:r w:rsidR="00ED51A9" w:rsidRPr="00BB0E0E">
              <w:rPr>
                <w:sz w:val="26"/>
                <w:rtl/>
              </w:rPr>
              <w:t xml:space="preserve">בטור </w:t>
            </w:r>
            <w:r w:rsidR="00ED51A9" w:rsidRPr="00BB0E0E">
              <w:rPr>
                <w:rFonts w:hint="cs"/>
                <w:sz w:val="26"/>
                <w:rtl/>
              </w:rPr>
              <w:t>ג</w:t>
            </w:r>
            <w:r w:rsidR="00ED51A9" w:rsidRPr="00BB0E0E">
              <w:rPr>
                <w:sz w:val="26"/>
                <w:rtl/>
              </w:rPr>
              <w:t>' לתוספת השנייה א' לחוק העיקרי -</w:t>
            </w:r>
          </w:p>
        </w:tc>
      </w:tr>
      <w:tr w:rsidR="00ED51A9" w:rsidRPr="00BB0E0E" w14:paraId="27D82E89" w14:textId="77777777">
        <w:trPr>
          <w:cantSplit/>
          <w:trHeight w:val="60"/>
        </w:trPr>
        <w:tc>
          <w:tcPr>
            <w:tcW w:w="1871" w:type="dxa"/>
          </w:tcPr>
          <w:p w14:paraId="724D8D97" w14:textId="77777777" w:rsidR="00ED51A9" w:rsidRPr="00BB0E0E" w:rsidRDefault="00ED51A9">
            <w:pPr>
              <w:pStyle w:val="TableSideHeading"/>
              <w:rPr>
                <w:sz w:val="26"/>
              </w:rPr>
            </w:pPr>
          </w:p>
        </w:tc>
        <w:tc>
          <w:tcPr>
            <w:tcW w:w="624" w:type="dxa"/>
          </w:tcPr>
          <w:p w14:paraId="243DDF74" w14:textId="77777777" w:rsidR="00ED51A9" w:rsidRPr="00BB0E0E" w:rsidRDefault="00ED51A9">
            <w:pPr>
              <w:pStyle w:val="TableText"/>
              <w:rPr>
                <w:sz w:val="26"/>
              </w:rPr>
            </w:pPr>
          </w:p>
        </w:tc>
        <w:tc>
          <w:tcPr>
            <w:tcW w:w="624" w:type="dxa"/>
          </w:tcPr>
          <w:p w14:paraId="74B239E2" w14:textId="77777777" w:rsidR="00ED51A9" w:rsidRPr="00BB0E0E" w:rsidRDefault="00ED51A9">
            <w:pPr>
              <w:pStyle w:val="TableText"/>
              <w:rPr>
                <w:sz w:val="26"/>
              </w:rPr>
            </w:pPr>
          </w:p>
        </w:tc>
        <w:tc>
          <w:tcPr>
            <w:tcW w:w="6522" w:type="dxa"/>
            <w:gridSpan w:val="3"/>
          </w:tcPr>
          <w:p w14:paraId="74637DA6" w14:textId="77777777" w:rsidR="00393B54" w:rsidRPr="00BB0E0E" w:rsidRDefault="00A95919" w:rsidP="00A95919">
            <w:pPr>
              <w:pStyle w:val="TableBlock"/>
              <w:tabs>
                <w:tab w:val="clear" w:pos="624"/>
              </w:tabs>
              <w:rPr>
                <w:sz w:val="26"/>
              </w:rPr>
            </w:pPr>
            <w:r w:rsidRPr="00BB0E0E">
              <w:rPr>
                <w:rFonts w:hint="cs"/>
                <w:sz w:val="26"/>
                <w:rtl/>
              </w:rPr>
              <w:t xml:space="preserve">(1) </w:t>
            </w:r>
            <w:r w:rsidR="00AB32BA" w:rsidRPr="00BB0E0E">
              <w:rPr>
                <w:rFonts w:hint="cs"/>
                <w:sz w:val="26"/>
                <w:rtl/>
              </w:rPr>
              <w:t xml:space="preserve">בפרט (1), במקום </w:t>
            </w:r>
            <w:r w:rsidR="00531A86" w:rsidRPr="00BB0E0E">
              <w:rPr>
                <w:rFonts w:hint="cs"/>
                <w:sz w:val="26"/>
                <w:rtl/>
              </w:rPr>
              <w:t>המילה "התקנות", יבוא: "</w:t>
            </w:r>
            <w:r w:rsidR="00531A86" w:rsidRPr="00BB0E0E">
              <w:rPr>
                <w:sz w:val="26"/>
                <w:rtl/>
              </w:rPr>
              <w:t>תקנה 1881/2006</w:t>
            </w:r>
            <w:r w:rsidR="00531A86" w:rsidRPr="00BB0E0E">
              <w:rPr>
                <w:rFonts w:hint="cs"/>
                <w:sz w:val="26"/>
                <w:rtl/>
              </w:rPr>
              <w:t>";</w:t>
            </w:r>
          </w:p>
        </w:tc>
      </w:tr>
      <w:tr w:rsidR="00AB32BA" w:rsidRPr="00BB0E0E" w14:paraId="45C23B68" w14:textId="77777777" w:rsidTr="001766A3">
        <w:trPr>
          <w:cantSplit/>
          <w:trHeight w:val="60"/>
        </w:trPr>
        <w:tc>
          <w:tcPr>
            <w:tcW w:w="1871" w:type="dxa"/>
          </w:tcPr>
          <w:p w14:paraId="2B7E0088" w14:textId="77777777" w:rsidR="00AB32BA" w:rsidRPr="00BB0E0E" w:rsidRDefault="00AB32BA">
            <w:pPr>
              <w:pStyle w:val="TableSideHeading"/>
              <w:rPr>
                <w:sz w:val="26"/>
              </w:rPr>
            </w:pPr>
          </w:p>
        </w:tc>
        <w:tc>
          <w:tcPr>
            <w:tcW w:w="624" w:type="dxa"/>
          </w:tcPr>
          <w:p w14:paraId="1BE7352E" w14:textId="77777777" w:rsidR="00AB32BA" w:rsidRPr="00BB0E0E" w:rsidRDefault="00AB32BA" w:rsidP="00B02203">
            <w:pPr>
              <w:pStyle w:val="TableText"/>
              <w:rPr>
                <w:sz w:val="26"/>
              </w:rPr>
            </w:pPr>
          </w:p>
        </w:tc>
        <w:tc>
          <w:tcPr>
            <w:tcW w:w="624" w:type="dxa"/>
          </w:tcPr>
          <w:p w14:paraId="0FEFDC0A" w14:textId="77777777" w:rsidR="00AB32BA" w:rsidRPr="00BB0E0E" w:rsidRDefault="00AB32BA" w:rsidP="00EF1BC9">
            <w:pPr>
              <w:pStyle w:val="TableText"/>
              <w:rPr>
                <w:sz w:val="26"/>
              </w:rPr>
            </w:pPr>
          </w:p>
        </w:tc>
        <w:tc>
          <w:tcPr>
            <w:tcW w:w="6522" w:type="dxa"/>
            <w:gridSpan w:val="3"/>
          </w:tcPr>
          <w:p w14:paraId="7FD91331" w14:textId="77777777" w:rsidR="00393B54" w:rsidRPr="00BB0E0E" w:rsidRDefault="00A95919" w:rsidP="00A95919">
            <w:pPr>
              <w:pStyle w:val="TableBlock"/>
              <w:tabs>
                <w:tab w:val="clear" w:pos="624"/>
              </w:tabs>
              <w:rPr>
                <w:sz w:val="26"/>
                <w:rtl/>
              </w:rPr>
            </w:pPr>
            <w:r w:rsidRPr="00BB0E0E">
              <w:rPr>
                <w:rFonts w:hint="cs"/>
                <w:sz w:val="26"/>
                <w:rtl/>
              </w:rPr>
              <w:t xml:space="preserve">(2) </w:t>
            </w:r>
            <w:r w:rsidR="003A7249" w:rsidRPr="00BB0E0E">
              <w:rPr>
                <w:rFonts w:hint="cs"/>
                <w:sz w:val="26"/>
                <w:rtl/>
              </w:rPr>
              <w:t xml:space="preserve">פרט (2) </w:t>
            </w:r>
            <w:r w:rsidR="003A7249" w:rsidRPr="00BB0E0E">
              <w:rPr>
                <w:sz w:val="26"/>
                <w:rtl/>
              </w:rPr>
              <w:t>–</w:t>
            </w:r>
            <w:r w:rsidR="003A7249" w:rsidRPr="00BB0E0E">
              <w:rPr>
                <w:rFonts w:hint="cs"/>
                <w:sz w:val="26"/>
                <w:rtl/>
              </w:rPr>
              <w:t xml:space="preserve"> יימחק.</w:t>
            </w:r>
          </w:p>
        </w:tc>
      </w:tr>
      <w:tr w:rsidR="00B02203" w:rsidRPr="00BB0E0E" w14:paraId="1F9750CB" w14:textId="77777777" w:rsidTr="001766A3">
        <w:trPr>
          <w:cantSplit/>
          <w:trHeight w:val="60"/>
        </w:trPr>
        <w:tc>
          <w:tcPr>
            <w:tcW w:w="1871" w:type="dxa"/>
          </w:tcPr>
          <w:p w14:paraId="476DE151" w14:textId="77777777" w:rsidR="00B02203" w:rsidRPr="00BB0E0E" w:rsidRDefault="00B02203">
            <w:pPr>
              <w:pStyle w:val="TableSideHeading"/>
              <w:rPr>
                <w:sz w:val="26"/>
              </w:rPr>
            </w:pPr>
          </w:p>
        </w:tc>
        <w:tc>
          <w:tcPr>
            <w:tcW w:w="624" w:type="dxa"/>
          </w:tcPr>
          <w:p w14:paraId="5D69C6C7" w14:textId="77777777" w:rsidR="00B02203" w:rsidRPr="00BB0E0E" w:rsidRDefault="00B02203" w:rsidP="00B02203">
            <w:pPr>
              <w:pStyle w:val="TableText"/>
              <w:rPr>
                <w:sz w:val="26"/>
              </w:rPr>
            </w:pPr>
          </w:p>
        </w:tc>
        <w:tc>
          <w:tcPr>
            <w:tcW w:w="624" w:type="dxa"/>
          </w:tcPr>
          <w:p w14:paraId="3DFB9EC7" w14:textId="77777777" w:rsidR="00B02203" w:rsidRPr="00BB0E0E" w:rsidRDefault="00B02203" w:rsidP="00EF1BC9">
            <w:pPr>
              <w:pStyle w:val="TableText"/>
              <w:rPr>
                <w:sz w:val="26"/>
              </w:rPr>
            </w:pPr>
          </w:p>
        </w:tc>
        <w:tc>
          <w:tcPr>
            <w:tcW w:w="6522" w:type="dxa"/>
            <w:gridSpan w:val="3"/>
          </w:tcPr>
          <w:p w14:paraId="79071401" w14:textId="77777777" w:rsidR="00393B54" w:rsidRPr="00BB0E0E" w:rsidRDefault="00A95919" w:rsidP="00A95919">
            <w:pPr>
              <w:pStyle w:val="TableBlock"/>
              <w:tabs>
                <w:tab w:val="clear" w:pos="624"/>
              </w:tabs>
              <w:rPr>
                <w:sz w:val="26"/>
                <w:rtl/>
              </w:rPr>
            </w:pPr>
            <w:r w:rsidRPr="00BB0E0E">
              <w:rPr>
                <w:rFonts w:hint="cs"/>
                <w:sz w:val="26"/>
                <w:rtl/>
              </w:rPr>
              <w:t xml:space="preserve">(3) </w:t>
            </w:r>
            <w:r w:rsidR="00B02203" w:rsidRPr="00BB0E0E">
              <w:rPr>
                <w:rFonts w:hint="cs"/>
                <w:sz w:val="26"/>
                <w:rtl/>
              </w:rPr>
              <w:t>בפרט (</w:t>
            </w:r>
            <w:r w:rsidR="003A7249" w:rsidRPr="00BB0E0E">
              <w:rPr>
                <w:sz w:val="26"/>
              </w:rPr>
              <w:t>3</w:t>
            </w:r>
            <w:r w:rsidR="00B02203" w:rsidRPr="00BB0E0E">
              <w:rPr>
                <w:rFonts w:hint="cs"/>
                <w:sz w:val="26"/>
                <w:rtl/>
              </w:rPr>
              <w:t xml:space="preserve">), </w:t>
            </w:r>
            <w:r w:rsidR="00531A86" w:rsidRPr="00BB0E0E">
              <w:rPr>
                <w:rFonts w:hint="cs"/>
                <w:sz w:val="26"/>
                <w:rtl/>
              </w:rPr>
              <w:t>במקום המילה "התקנות", יבוא: "</w:t>
            </w:r>
            <w:r w:rsidR="00531A86" w:rsidRPr="00BB0E0E">
              <w:rPr>
                <w:sz w:val="26"/>
                <w:rtl/>
              </w:rPr>
              <w:t>תקנה 2073/2005</w:t>
            </w:r>
            <w:r w:rsidR="00531A86" w:rsidRPr="00BB0E0E">
              <w:rPr>
                <w:rFonts w:hint="cs"/>
                <w:sz w:val="26"/>
                <w:rtl/>
              </w:rPr>
              <w:t>";</w:t>
            </w:r>
          </w:p>
        </w:tc>
      </w:tr>
      <w:tr w:rsidR="00AF72C7" w:rsidRPr="00BB0E0E" w14:paraId="4B9108CC" w14:textId="77777777" w:rsidTr="001766A3">
        <w:trPr>
          <w:cantSplit/>
          <w:trHeight w:val="60"/>
        </w:trPr>
        <w:tc>
          <w:tcPr>
            <w:tcW w:w="1871" w:type="dxa"/>
          </w:tcPr>
          <w:p w14:paraId="0B033AEA" w14:textId="77777777" w:rsidR="00AF72C7" w:rsidRPr="00BB0E0E" w:rsidRDefault="00AF72C7">
            <w:pPr>
              <w:pStyle w:val="TableSideHeading"/>
              <w:rPr>
                <w:sz w:val="26"/>
              </w:rPr>
            </w:pPr>
          </w:p>
        </w:tc>
        <w:tc>
          <w:tcPr>
            <w:tcW w:w="624" w:type="dxa"/>
          </w:tcPr>
          <w:p w14:paraId="15F7DB35" w14:textId="77777777" w:rsidR="00AF72C7" w:rsidRPr="00BB0E0E" w:rsidRDefault="00AF72C7" w:rsidP="00AF72C7">
            <w:pPr>
              <w:pStyle w:val="TableText"/>
              <w:rPr>
                <w:sz w:val="26"/>
              </w:rPr>
            </w:pPr>
          </w:p>
        </w:tc>
        <w:tc>
          <w:tcPr>
            <w:tcW w:w="624" w:type="dxa"/>
          </w:tcPr>
          <w:p w14:paraId="60A13C92" w14:textId="77777777" w:rsidR="00AF72C7" w:rsidRPr="00BB0E0E" w:rsidRDefault="00AF72C7">
            <w:pPr>
              <w:pStyle w:val="TableText"/>
              <w:rPr>
                <w:sz w:val="26"/>
                <w:rtl/>
              </w:rPr>
            </w:pPr>
          </w:p>
        </w:tc>
        <w:tc>
          <w:tcPr>
            <w:tcW w:w="6522" w:type="dxa"/>
            <w:gridSpan w:val="3"/>
          </w:tcPr>
          <w:p w14:paraId="249D8F59" w14:textId="77777777" w:rsidR="00393B54" w:rsidRPr="00BB0E0E" w:rsidRDefault="00A95919" w:rsidP="00A95919">
            <w:pPr>
              <w:pStyle w:val="TableBlock"/>
              <w:tabs>
                <w:tab w:val="clear" w:pos="624"/>
              </w:tabs>
              <w:rPr>
                <w:sz w:val="26"/>
                <w:rtl/>
              </w:rPr>
            </w:pPr>
            <w:r w:rsidRPr="00BB0E0E">
              <w:rPr>
                <w:rFonts w:hint="cs"/>
                <w:sz w:val="26"/>
                <w:rtl/>
              </w:rPr>
              <w:t xml:space="preserve">(4) </w:t>
            </w:r>
            <w:r w:rsidR="00AF72C7" w:rsidRPr="00BB0E0E">
              <w:rPr>
                <w:rFonts w:hint="cs"/>
                <w:sz w:val="26"/>
                <w:rtl/>
              </w:rPr>
              <w:t>בפריט (</w:t>
            </w:r>
            <w:r w:rsidR="003A7249" w:rsidRPr="00BB0E0E">
              <w:rPr>
                <w:rFonts w:hint="cs"/>
                <w:sz w:val="26"/>
                <w:rtl/>
              </w:rPr>
              <w:t>4</w:t>
            </w:r>
            <w:r w:rsidR="00AF72C7" w:rsidRPr="00BB0E0E">
              <w:rPr>
                <w:rFonts w:hint="cs"/>
                <w:sz w:val="26"/>
                <w:rtl/>
              </w:rPr>
              <w:t>), במקום המילה "התקנות", יבוא: "</w:t>
            </w:r>
            <w:r w:rsidR="00AF72C7" w:rsidRPr="00BB0E0E">
              <w:rPr>
                <w:sz w:val="26"/>
                <w:rtl/>
              </w:rPr>
              <w:t>תקנה 396/2005</w:t>
            </w:r>
            <w:r w:rsidR="00AF72C7" w:rsidRPr="00BB0E0E">
              <w:rPr>
                <w:rFonts w:hint="cs"/>
                <w:sz w:val="26"/>
                <w:rtl/>
              </w:rPr>
              <w:t>";</w:t>
            </w:r>
          </w:p>
        </w:tc>
      </w:tr>
      <w:tr w:rsidR="00AF72C7" w:rsidRPr="00BB0E0E" w14:paraId="6FD9D5AB" w14:textId="77777777" w:rsidTr="001766A3">
        <w:trPr>
          <w:cantSplit/>
          <w:trHeight w:val="60"/>
        </w:trPr>
        <w:tc>
          <w:tcPr>
            <w:tcW w:w="1871" w:type="dxa"/>
          </w:tcPr>
          <w:p w14:paraId="160B4E2F" w14:textId="77777777" w:rsidR="00AF72C7" w:rsidRPr="00BB0E0E" w:rsidRDefault="00AF72C7">
            <w:pPr>
              <w:pStyle w:val="TableSideHeading"/>
              <w:rPr>
                <w:sz w:val="26"/>
              </w:rPr>
            </w:pPr>
          </w:p>
        </w:tc>
        <w:tc>
          <w:tcPr>
            <w:tcW w:w="624" w:type="dxa"/>
          </w:tcPr>
          <w:p w14:paraId="4AC30CE8" w14:textId="77777777" w:rsidR="00AF72C7" w:rsidRPr="00BB0E0E" w:rsidRDefault="00AF72C7" w:rsidP="00AF72C7">
            <w:pPr>
              <w:pStyle w:val="TableText"/>
              <w:rPr>
                <w:sz w:val="26"/>
              </w:rPr>
            </w:pPr>
          </w:p>
        </w:tc>
        <w:tc>
          <w:tcPr>
            <w:tcW w:w="624" w:type="dxa"/>
          </w:tcPr>
          <w:p w14:paraId="37D30416" w14:textId="77777777" w:rsidR="00AF72C7" w:rsidRPr="00BB0E0E" w:rsidRDefault="00EF1BC9">
            <w:pPr>
              <w:pStyle w:val="TableText"/>
              <w:rPr>
                <w:sz w:val="26"/>
                <w:rtl/>
              </w:rPr>
            </w:pPr>
            <w:r w:rsidRPr="00BB0E0E">
              <w:rPr>
                <w:rFonts w:hint="cs"/>
                <w:sz w:val="26"/>
                <w:rtl/>
              </w:rPr>
              <w:t xml:space="preserve">(ד) </w:t>
            </w:r>
          </w:p>
        </w:tc>
        <w:tc>
          <w:tcPr>
            <w:tcW w:w="6522" w:type="dxa"/>
            <w:gridSpan w:val="3"/>
          </w:tcPr>
          <w:p w14:paraId="355097BC" w14:textId="77777777" w:rsidR="00AF72C7" w:rsidRPr="00BB0E0E" w:rsidRDefault="00D4674A" w:rsidP="00971146">
            <w:pPr>
              <w:pStyle w:val="TableBlock"/>
              <w:rPr>
                <w:sz w:val="26"/>
                <w:rtl/>
              </w:rPr>
            </w:pPr>
            <w:r w:rsidRPr="00BB0E0E">
              <w:rPr>
                <w:rFonts w:hint="cs"/>
                <w:sz w:val="26"/>
                <w:rtl/>
              </w:rPr>
              <w:t>לצד טור ג', יוסף טור ד' וכותרתו: "</w:t>
            </w:r>
            <w:r w:rsidRPr="00BB0E0E">
              <w:rPr>
                <w:sz w:val="26"/>
                <w:rtl/>
              </w:rPr>
              <w:t>סעיפי חוק זה המקנים סמכות לשר</w:t>
            </w:r>
            <w:r w:rsidR="00586A8D">
              <w:rPr>
                <w:rFonts w:hint="cs"/>
                <w:sz w:val="26"/>
                <w:rtl/>
              </w:rPr>
              <w:t xml:space="preserve"> המוגבלת  לפי האימוץ</w:t>
            </w:r>
            <w:r w:rsidRPr="00BB0E0E">
              <w:rPr>
                <w:rFonts w:hint="cs"/>
                <w:sz w:val="26"/>
                <w:rtl/>
              </w:rPr>
              <w:t>"</w:t>
            </w:r>
            <w:r w:rsidR="00971146" w:rsidRPr="00BB0E0E">
              <w:rPr>
                <w:rFonts w:hint="cs"/>
                <w:sz w:val="26"/>
                <w:rtl/>
              </w:rPr>
              <w:t xml:space="preserve"> וייכתבו בו:</w:t>
            </w:r>
            <w:r w:rsidRPr="00BB0E0E">
              <w:rPr>
                <w:rFonts w:hint="cs"/>
                <w:sz w:val="26"/>
                <w:rtl/>
              </w:rPr>
              <w:t xml:space="preserve">  </w:t>
            </w:r>
          </w:p>
        </w:tc>
      </w:tr>
      <w:tr w:rsidR="00D4674A" w:rsidRPr="00BB0E0E" w14:paraId="71725445" w14:textId="77777777">
        <w:trPr>
          <w:cantSplit/>
          <w:trHeight w:val="60"/>
        </w:trPr>
        <w:tc>
          <w:tcPr>
            <w:tcW w:w="1871" w:type="dxa"/>
          </w:tcPr>
          <w:p w14:paraId="12E7012D" w14:textId="77777777" w:rsidR="00D4674A" w:rsidRPr="00BB0E0E" w:rsidRDefault="00D4674A">
            <w:pPr>
              <w:pStyle w:val="TableSideHeading"/>
              <w:rPr>
                <w:sz w:val="26"/>
              </w:rPr>
            </w:pPr>
          </w:p>
        </w:tc>
        <w:tc>
          <w:tcPr>
            <w:tcW w:w="624" w:type="dxa"/>
          </w:tcPr>
          <w:p w14:paraId="4324DF28" w14:textId="77777777" w:rsidR="00D4674A" w:rsidRPr="00BB0E0E" w:rsidRDefault="00D4674A">
            <w:pPr>
              <w:pStyle w:val="TableText"/>
              <w:rPr>
                <w:sz w:val="26"/>
              </w:rPr>
            </w:pPr>
          </w:p>
        </w:tc>
        <w:tc>
          <w:tcPr>
            <w:tcW w:w="624" w:type="dxa"/>
          </w:tcPr>
          <w:p w14:paraId="7891EA21" w14:textId="77777777" w:rsidR="00D4674A" w:rsidRPr="00BB0E0E" w:rsidRDefault="00D4674A">
            <w:pPr>
              <w:pStyle w:val="TableText"/>
              <w:rPr>
                <w:sz w:val="26"/>
              </w:rPr>
            </w:pPr>
          </w:p>
        </w:tc>
        <w:tc>
          <w:tcPr>
            <w:tcW w:w="624" w:type="dxa"/>
          </w:tcPr>
          <w:p w14:paraId="10CFE3B6" w14:textId="77777777" w:rsidR="00D4674A" w:rsidRPr="00BB0E0E" w:rsidRDefault="00D4674A">
            <w:pPr>
              <w:pStyle w:val="TableText"/>
              <w:rPr>
                <w:sz w:val="26"/>
              </w:rPr>
            </w:pPr>
            <w:r w:rsidRPr="00BB0E0E">
              <w:rPr>
                <w:rFonts w:hint="cs"/>
                <w:sz w:val="26"/>
                <w:rtl/>
              </w:rPr>
              <w:t>(1)</w:t>
            </w:r>
          </w:p>
        </w:tc>
        <w:tc>
          <w:tcPr>
            <w:tcW w:w="5898" w:type="dxa"/>
            <w:gridSpan w:val="2"/>
          </w:tcPr>
          <w:p w14:paraId="125F6A01" w14:textId="77777777" w:rsidR="00D4674A" w:rsidRPr="00BB0E0E" w:rsidRDefault="00971146" w:rsidP="00B71575">
            <w:pPr>
              <w:pStyle w:val="TableBlock"/>
              <w:ind w:left="360"/>
              <w:rPr>
                <w:sz w:val="26"/>
              </w:rPr>
            </w:pPr>
            <w:r w:rsidRPr="00BB0E0E">
              <w:rPr>
                <w:rFonts w:hint="cs"/>
                <w:sz w:val="26"/>
                <w:rtl/>
              </w:rPr>
              <w:t xml:space="preserve">לעניין פרט </w:t>
            </w:r>
            <w:r w:rsidR="00D4674A" w:rsidRPr="00BB0E0E">
              <w:rPr>
                <w:rFonts w:hint="cs"/>
                <w:sz w:val="26"/>
                <w:rtl/>
              </w:rPr>
              <w:t xml:space="preserve"> (1): "</w:t>
            </w:r>
            <w:r w:rsidR="00D4674A" w:rsidRPr="00BB0E0E">
              <w:rPr>
                <w:sz w:val="26"/>
                <w:rtl/>
              </w:rPr>
              <w:t>סעיף</w:t>
            </w:r>
            <w:r w:rsidR="00C2675C" w:rsidRPr="00BB0E0E">
              <w:rPr>
                <w:rFonts w:hint="cs"/>
                <w:sz w:val="26"/>
                <w:rtl/>
              </w:rPr>
              <w:t xml:space="preserve"> 3</w:t>
            </w:r>
            <w:r w:rsidR="00B71575">
              <w:rPr>
                <w:rFonts w:hint="cs"/>
                <w:sz w:val="26"/>
                <w:rtl/>
              </w:rPr>
              <w:t>"</w:t>
            </w:r>
            <w:r w:rsidR="00D4674A" w:rsidRPr="00BB0E0E">
              <w:rPr>
                <w:rFonts w:hint="cs"/>
                <w:sz w:val="26"/>
                <w:rtl/>
              </w:rPr>
              <w:t>;</w:t>
            </w:r>
          </w:p>
        </w:tc>
      </w:tr>
      <w:tr w:rsidR="00D4674A" w:rsidRPr="00BB0E0E" w14:paraId="2CC0B803" w14:textId="77777777">
        <w:trPr>
          <w:cantSplit/>
          <w:trHeight w:val="60"/>
        </w:trPr>
        <w:tc>
          <w:tcPr>
            <w:tcW w:w="1871" w:type="dxa"/>
          </w:tcPr>
          <w:p w14:paraId="4A17C5D7" w14:textId="77777777" w:rsidR="00D4674A" w:rsidRPr="00BB0E0E" w:rsidRDefault="00D4674A">
            <w:pPr>
              <w:pStyle w:val="TableSideHeading"/>
              <w:rPr>
                <w:sz w:val="26"/>
              </w:rPr>
            </w:pPr>
          </w:p>
        </w:tc>
        <w:tc>
          <w:tcPr>
            <w:tcW w:w="624" w:type="dxa"/>
          </w:tcPr>
          <w:p w14:paraId="0D0D9CCE" w14:textId="77777777" w:rsidR="00D4674A" w:rsidRPr="00BB0E0E" w:rsidRDefault="00D4674A" w:rsidP="00D4674A">
            <w:pPr>
              <w:pStyle w:val="TableText"/>
              <w:rPr>
                <w:sz w:val="26"/>
              </w:rPr>
            </w:pPr>
          </w:p>
        </w:tc>
        <w:tc>
          <w:tcPr>
            <w:tcW w:w="624" w:type="dxa"/>
          </w:tcPr>
          <w:p w14:paraId="5E453A30" w14:textId="77777777" w:rsidR="00D4674A" w:rsidRPr="00BB0E0E" w:rsidRDefault="00D4674A">
            <w:pPr>
              <w:pStyle w:val="TableText"/>
              <w:rPr>
                <w:sz w:val="26"/>
              </w:rPr>
            </w:pPr>
          </w:p>
        </w:tc>
        <w:tc>
          <w:tcPr>
            <w:tcW w:w="624" w:type="dxa"/>
          </w:tcPr>
          <w:p w14:paraId="20D63BD9" w14:textId="77777777" w:rsidR="00D4674A" w:rsidRPr="00BB0E0E" w:rsidRDefault="00D4674A">
            <w:pPr>
              <w:pStyle w:val="TableText"/>
              <w:rPr>
                <w:sz w:val="26"/>
              </w:rPr>
            </w:pPr>
            <w:r w:rsidRPr="00BB0E0E">
              <w:rPr>
                <w:rFonts w:hint="cs"/>
                <w:sz w:val="26"/>
                <w:rtl/>
              </w:rPr>
              <w:t>(2)</w:t>
            </w:r>
          </w:p>
        </w:tc>
        <w:tc>
          <w:tcPr>
            <w:tcW w:w="5898" w:type="dxa"/>
            <w:gridSpan w:val="2"/>
          </w:tcPr>
          <w:p w14:paraId="55C2C9B3" w14:textId="77777777" w:rsidR="00D4674A" w:rsidRPr="00BB0E0E" w:rsidRDefault="00971146" w:rsidP="00B71575">
            <w:pPr>
              <w:pStyle w:val="TableBlock"/>
              <w:ind w:left="360"/>
              <w:rPr>
                <w:sz w:val="26"/>
                <w:rtl/>
              </w:rPr>
            </w:pPr>
            <w:r w:rsidRPr="00BB0E0E">
              <w:rPr>
                <w:rFonts w:hint="cs"/>
                <w:sz w:val="26"/>
                <w:rtl/>
              </w:rPr>
              <w:t xml:space="preserve">לעניין </w:t>
            </w:r>
            <w:r w:rsidR="00D4674A" w:rsidRPr="00BB0E0E">
              <w:rPr>
                <w:rFonts w:hint="cs"/>
                <w:sz w:val="26"/>
                <w:rtl/>
              </w:rPr>
              <w:t>פרט (</w:t>
            </w:r>
            <w:r w:rsidR="00531A86" w:rsidRPr="00BB0E0E">
              <w:rPr>
                <w:rFonts w:hint="cs"/>
                <w:sz w:val="26"/>
                <w:rtl/>
              </w:rPr>
              <w:t>3</w:t>
            </w:r>
            <w:r w:rsidR="00D4674A" w:rsidRPr="00BB0E0E">
              <w:rPr>
                <w:rFonts w:hint="cs"/>
                <w:sz w:val="26"/>
                <w:rtl/>
              </w:rPr>
              <w:t>)</w:t>
            </w:r>
            <w:r w:rsidR="000B357A" w:rsidRPr="00BB0E0E">
              <w:rPr>
                <w:rFonts w:hint="cs"/>
                <w:sz w:val="26"/>
                <w:rtl/>
              </w:rPr>
              <w:t>:</w:t>
            </w:r>
            <w:r w:rsidR="00D4674A" w:rsidRPr="00BB0E0E">
              <w:rPr>
                <w:rFonts w:hint="cs"/>
                <w:sz w:val="26"/>
                <w:rtl/>
              </w:rPr>
              <w:t xml:space="preserve"> "</w:t>
            </w:r>
            <w:r w:rsidR="00D4674A" w:rsidRPr="00BB0E0E">
              <w:rPr>
                <w:sz w:val="26"/>
                <w:rtl/>
              </w:rPr>
              <w:t>סעיף</w:t>
            </w:r>
            <w:r w:rsidR="00C2675C" w:rsidRPr="00BB0E0E">
              <w:rPr>
                <w:rFonts w:hint="cs"/>
                <w:sz w:val="26"/>
                <w:rtl/>
              </w:rPr>
              <w:t xml:space="preserve"> 3</w:t>
            </w:r>
            <w:r w:rsidR="00B71575">
              <w:rPr>
                <w:rFonts w:hint="cs"/>
                <w:sz w:val="26"/>
                <w:rtl/>
              </w:rPr>
              <w:t>"</w:t>
            </w:r>
            <w:r w:rsidR="00D4674A" w:rsidRPr="00BB0E0E">
              <w:rPr>
                <w:rFonts w:hint="cs"/>
                <w:sz w:val="26"/>
                <w:rtl/>
              </w:rPr>
              <w:t>;</w:t>
            </w:r>
          </w:p>
        </w:tc>
      </w:tr>
      <w:tr w:rsidR="00D4674A" w:rsidRPr="00BB0E0E" w14:paraId="5B70A3CB" w14:textId="77777777">
        <w:trPr>
          <w:cantSplit/>
          <w:trHeight w:val="60"/>
        </w:trPr>
        <w:tc>
          <w:tcPr>
            <w:tcW w:w="1871" w:type="dxa"/>
          </w:tcPr>
          <w:p w14:paraId="786018B6" w14:textId="77777777" w:rsidR="00D4674A" w:rsidRPr="00BB0E0E" w:rsidRDefault="00D4674A">
            <w:pPr>
              <w:pStyle w:val="TableSideHeading"/>
              <w:rPr>
                <w:sz w:val="26"/>
              </w:rPr>
            </w:pPr>
          </w:p>
        </w:tc>
        <w:tc>
          <w:tcPr>
            <w:tcW w:w="624" w:type="dxa"/>
          </w:tcPr>
          <w:p w14:paraId="19A10537" w14:textId="77777777" w:rsidR="00D4674A" w:rsidRPr="00BB0E0E" w:rsidRDefault="00D4674A" w:rsidP="00D4674A">
            <w:pPr>
              <w:pStyle w:val="TableText"/>
              <w:rPr>
                <w:sz w:val="26"/>
              </w:rPr>
            </w:pPr>
          </w:p>
        </w:tc>
        <w:tc>
          <w:tcPr>
            <w:tcW w:w="624" w:type="dxa"/>
          </w:tcPr>
          <w:p w14:paraId="5151D5A3" w14:textId="77777777" w:rsidR="00D4674A" w:rsidRPr="00BB0E0E" w:rsidRDefault="00D4674A">
            <w:pPr>
              <w:pStyle w:val="TableText"/>
              <w:rPr>
                <w:sz w:val="26"/>
              </w:rPr>
            </w:pPr>
          </w:p>
        </w:tc>
        <w:tc>
          <w:tcPr>
            <w:tcW w:w="624" w:type="dxa"/>
          </w:tcPr>
          <w:p w14:paraId="4B7DB311" w14:textId="77777777" w:rsidR="00D4674A" w:rsidRPr="00BB0E0E" w:rsidRDefault="00D4674A">
            <w:pPr>
              <w:pStyle w:val="TableText"/>
              <w:rPr>
                <w:sz w:val="26"/>
                <w:rtl/>
              </w:rPr>
            </w:pPr>
            <w:r w:rsidRPr="00BB0E0E">
              <w:rPr>
                <w:rFonts w:hint="cs"/>
                <w:sz w:val="26"/>
                <w:rtl/>
              </w:rPr>
              <w:t>(3)</w:t>
            </w:r>
          </w:p>
        </w:tc>
        <w:tc>
          <w:tcPr>
            <w:tcW w:w="5898" w:type="dxa"/>
            <w:gridSpan w:val="2"/>
          </w:tcPr>
          <w:p w14:paraId="304B7FC0" w14:textId="77777777" w:rsidR="00D4674A" w:rsidRPr="00BB0E0E" w:rsidRDefault="00971146" w:rsidP="00B71575">
            <w:pPr>
              <w:pStyle w:val="TableBlock"/>
              <w:ind w:left="360"/>
              <w:rPr>
                <w:sz w:val="26"/>
                <w:rtl/>
              </w:rPr>
            </w:pPr>
            <w:r w:rsidRPr="00BB0E0E">
              <w:rPr>
                <w:rFonts w:hint="cs"/>
                <w:sz w:val="26"/>
                <w:rtl/>
              </w:rPr>
              <w:t xml:space="preserve">לעניין </w:t>
            </w:r>
            <w:r w:rsidR="007E2755" w:rsidRPr="00BB0E0E">
              <w:rPr>
                <w:rFonts w:hint="cs"/>
                <w:sz w:val="26"/>
                <w:rtl/>
              </w:rPr>
              <w:t>פרט (</w:t>
            </w:r>
            <w:r w:rsidR="00531A86" w:rsidRPr="00BB0E0E">
              <w:rPr>
                <w:rFonts w:hint="cs"/>
                <w:sz w:val="26"/>
                <w:rtl/>
              </w:rPr>
              <w:t>4</w:t>
            </w:r>
            <w:r w:rsidR="007E2755" w:rsidRPr="00BB0E0E">
              <w:rPr>
                <w:rFonts w:hint="cs"/>
                <w:sz w:val="26"/>
                <w:rtl/>
              </w:rPr>
              <w:t>): "</w:t>
            </w:r>
            <w:r w:rsidR="007E2755" w:rsidRPr="00BB0E0E">
              <w:rPr>
                <w:sz w:val="26"/>
                <w:rtl/>
              </w:rPr>
              <w:t>סעיף</w:t>
            </w:r>
            <w:r w:rsidR="00C2675C" w:rsidRPr="00BB0E0E">
              <w:rPr>
                <w:rFonts w:hint="cs"/>
                <w:sz w:val="26"/>
                <w:rtl/>
              </w:rPr>
              <w:t xml:space="preserve"> 3</w:t>
            </w:r>
            <w:r w:rsidR="007E2755" w:rsidRPr="00BB0E0E">
              <w:rPr>
                <w:rFonts w:hint="cs"/>
                <w:sz w:val="26"/>
                <w:rtl/>
              </w:rPr>
              <w:t>".</w:t>
            </w:r>
          </w:p>
        </w:tc>
      </w:tr>
      <w:tr w:rsidR="00433DA8" w:rsidRPr="00BB0E0E" w14:paraId="47D42865" w14:textId="77777777" w:rsidTr="00034922">
        <w:trPr>
          <w:cantSplit/>
          <w:trHeight w:val="60"/>
        </w:trPr>
        <w:tc>
          <w:tcPr>
            <w:tcW w:w="1871" w:type="dxa"/>
          </w:tcPr>
          <w:p w14:paraId="0B4881AF" w14:textId="77777777" w:rsidR="00433DA8" w:rsidRPr="00BB0E0E" w:rsidRDefault="00433DA8" w:rsidP="00433DA8">
            <w:pPr>
              <w:pStyle w:val="TableSideHeading"/>
              <w:rPr>
                <w:sz w:val="26"/>
              </w:rPr>
            </w:pPr>
            <w:r w:rsidRPr="00BB0E0E">
              <w:rPr>
                <w:rFonts w:hint="cs"/>
                <w:sz w:val="26"/>
                <w:rtl/>
              </w:rPr>
              <w:t xml:space="preserve">תחילה </w:t>
            </w:r>
          </w:p>
        </w:tc>
        <w:tc>
          <w:tcPr>
            <w:tcW w:w="624" w:type="dxa"/>
          </w:tcPr>
          <w:p w14:paraId="77A3CF5E" w14:textId="77777777" w:rsidR="00433DA8" w:rsidRPr="00BB0E0E" w:rsidRDefault="00433DA8" w:rsidP="000B357A">
            <w:pPr>
              <w:pStyle w:val="TableText"/>
              <w:numPr>
                <w:ilvl w:val="0"/>
                <w:numId w:val="4"/>
              </w:numPr>
              <w:rPr>
                <w:sz w:val="26"/>
              </w:rPr>
            </w:pPr>
          </w:p>
        </w:tc>
        <w:tc>
          <w:tcPr>
            <w:tcW w:w="7146" w:type="dxa"/>
            <w:gridSpan w:val="4"/>
          </w:tcPr>
          <w:p w14:paraId="62573D36" w14:textId="389147AC" w:rsidR="00393B54" w:rsidRPr="00BB0E0E" w:rsidRDefault="00433DA8" w:rsidP="00CA4579">
            <w:pPr>
              <w:pStyle w:val="TableText"/>
              <w:rPr>
                <w:sz w:val="26"/>
                <w:rtl/>
              </w:rPr>
            </w:pPr>
            <w:r w:rsidRPr="00BB0E0E">
              <w:rPr>
                <w:rFonts w:hint="cs"/>
                <w:sz w:val="26"/>
                <w:rtl/>
              </w:rPr>
              <w:t xml:space="preserve">תחילתו של צו זה  </w:t>
            </w:r>
            <w:r w:rsidRPr="00BB0E0E">
              <w:rPr>
                <w:sz w:val="26"/>
                <w:rtl/>
              </w:rPr>
              <w:t xml:space="preserve">ביום ח' בטבת </w:t>
            </w:r>
            <w:proofErr w:type="spellStart"/>
            <w:r w:rsidRPr="00BB0E0E">
              <w:rPr>
                <w:sz w:val="26"/>
                <w:rtl/>
              </w:rPr>
              <w:t>התשפ"ג</w:t>
            </w:r>
            <w:proofErr w:type="spellEnd"/>
            <w:r w:rsidRPr="00BB0E0E">
              <w:rPr>
                <w:sz w:val="26"/>
                <w:rtl/>
              </w:rPr>
              <w:t xml:space="preserve"> </w:t>
            </w:r>
            <w:r w:rsidRPr="00BB0E0E">
              <w:rPr>
                <w:rFonts w:hint="cs"/>
                <w:sz w:val="26"/>
                <w:rtl/>
              </w:rPr>
              <w:t>(</w:t>
            </w:r>
            <w:r w:rsidRPr="00BB0E0E">
              <w:rPr>
                <w:sz w:val="26"/>
                <w:rtl/>
              </w:rPr>
              <w:t>1 בינואר 2023</w:t>
            </w:r>
            <w:r w:rsidR="00CA4579">
              <w:rPr>
                <w:rFonts w:hint="cs"/>
                <w:sz w:val="26"/>
                <w:rtl/>
              </w:rPr>
              <w:t>)</w:t>
            </w:r>
            <w:r w:rsidRPr="00BB0E0E">
              <w:rPr>
                <w:rFonts w:hint="cs"/>
                <w:sz w:val="26"/>
                <w:rtl/>
              </w:rPr>
              <w:t xml:space="preserve"> (בסעיף זה </w:t>
            </w:r>
            <w:r w:rsidRPr="00BB0E0E">
              <w:rPr>
                <w:sz w:val="26"/>
                <w:rtl/>
              </w:rPr>
              <w:t>–</w:t>
            </w:r>
            <w:r w:rsidRPr="00BB0E0E">
              <w:rPr>
                <w:rFonts w:hint="cs"/>
                <w:sz w:val="26"/>
                <w:rtl/>
              </w:rPr>
              <w:t xml:space="preserve"> יום התחילה).</w:t>
            </w:r>
          </w:p>
        </w:tc>
      </w:tr>
      <w:tr w:rsidR="00433DA8" w:rsidRPr="00BB0E0E" w14:paraId="6D1F75FF" w14:textId="77777777" w:rsidTr="002D65EC">
        <w:trPr>
          <w:cantSplit/>
          <w:trHeight w:val="60"/>
        </w:trPr>
        <w:tc>
          <w:tcPr>
            <w:tcW w:w="1871" w:type="dxa"/>
          </w:tcPr>
          <w:p w14:paraId="311E741F" w14:textId="77777777" w:rsidR="00433DA8" w:rsidRPr="00BB0E0E" w:rsidRDefault="00433DA8">
            <w:pPr>
              <w:pStyle w:val="TableSideHeading"/>
              <w:rPr>
                <w:sz w:val="26"/>
                <w:rtl/>
              </w:rPr>
            </w:pPr>
            <w:r w:rsidRPr="00BB0E0E">
              <w:rPr>
                <w:rFonts w:hint="cs"/>
                <w:sz w:val="26"/>
                <w:rtl/>
              </w:rPr>
              <w:t>הוראות מעבר</w:t>
            </w:r>
          </w:p>
        </w:tc>
        <w:tc>
          <w:tcPr>
            <w:tcW w:w="624" w:type="dxa"/>
          </w:tcPr>
          <w:p w14:paraId="7859A366" w14:textId="77777777" w:rsidR="00433DA8" w:rsidRPr="00BB0E0E" w:rsidRDefault="00433DA8" w:rsidP="000B357A">
            <w:pPr>
              <w:pStyle w:val="TableText"/>
              <w:numPr>
                <w:ilvl w:val="0"/>
                <w:numId w:val="4"/>
              </w:numPr>
              <w:rPr>
                <w:sz w:val="26"/>
              </w:rPr>
            </w:pPr>
          </w:p>
        </w:tc>
        <w:tc>
          <w:tcPr>
            <w:tcW w:w="7146" w:type="dxa"/>
            <w:gridSpan w:val="4"/>
          </w:tcPr>
          <w:p w14:paraId="21DE6D9A" w14:textId="3F8195D6" w:rsidR="00433DA8" w:rsidRPr="00BB0E0E" w:rsidRDefault="00433DA8" w:rsidP="00495FAF">
            <w:pPr>
              <w:pStyle w:val="TableBlock"/>
              <w:rPr>
                <w:sz w:val="26"/>
                <w:rtl/>
              </w:rPr>
            </w:pPr>
            <w:r w:rsidRPr="00BB0E0E">
              <w:rPr>
                <w:rFonts w:hint="cs"/>
                <w:sz w:val="26"/>
                <w:rtl/>
              </w:rPr>
              <w:t>על אף האמור בסעיף</w:t>
            </w:r>
            <w:r w:rsidR="00495FAF" w:rsidRPr="00BB0E0E">
              <w:rPr>
                <w:rFonts w:hint="cs"/>
                <w:sz w:val="26"/>
                <w:rtl/>
              </w:rPr>
              <w:t xml:space="preserve"> </w:t>
            </w:r>
            <w:r w:rsidR="00362628">
              <w:rPr>
                <w:rFonts w:hint="cs"/>
                <w:sz w:val="26"/>
                <w:rtl/>
              </w:rPr>
              <w:t xml:space="preserve"> </w:t>
            </w:r>
            <w:r w:rsidR="00FF4369" w:rsidRPr="00BB0E0E">
              <w:rPr>
                <w:rFonts w:hint="cs"/>
                <w:sz w:val="26"/>
                <w:rtl/>
              </w:rPr>
              <w:t>3</w:t>
            </w:r>
            <w:r w:rsidRPr="00BB0E0E">
              <w:rPr>
                <w:rFonts w:hint="cs"/>
                <w:sz w:val="26"/>
                <w:rtl/>
              </w:rPr>
              <w:t xml:space="preserve"> </w:t>
            </w:r>
            <w:r w:rsidR="00362628">
              <w:rPr>
                <w:rFonts w:hint="cs"/>
                <w:sz w:val="26"/>
                <w:rtl/>
              </w:rPr>
              <w:t xml:space="preserve">- </w:t>
            </w:r>
          </w:p>
        </w:tc>
      </w:tr>
      <w:tr w:rsidR="00374EAF" w:rsidRPr="00BB0E0E" w14:paraId="4B89D857" w14:textId="77777777">
        <w:trPr>
          <w:cantSplit/>
          <w:trHeight w:val="60"/>
        </w:trPr>
        <w:tc>
          <w:tcPr>
            <w:tcW w:w="1871" w:type="dxa"/>
          </w:tcPr>
          <w:p w14:paraId="6AFEBBA8" w14:textId="77777777" w:rsidR="00374EAF" w:rsidRPr="00BB0E0E" w:rsidRDefault="00374EAF">
            <w:pPr>
              <w:pStyle w:val="TableSideHeading"/>
              <w:rPr>
                <w:sz w:val="26"/>
                <w:rtl/>
              </w:rPr>
            </w:pPr>
          </w:p>
        </w:tc>
        <w:tc>
          <w:tcPr>
            <w:tcW w:w="624" w:type="dxa"/>
          </w:tcPr>
          <w:p w14:paraId="49721E55" w14:textId="77777777" w:rsidR="00374EAF" w:rsidRPr="00BB0E0E" w:rsidRDefault="00374EAF">
            <w:pPr>
              <w:pStyle w:val="TableText"/>
              <w:rPr>
                <w:sz w:val="26"/>
              </w:rPr>
            </w:pPr>
          </w:p>
        </w:tc>
        <w:tc>
          <w:tcPr>
            <w:tcW w:w="624" w:type="dxa"/>
          </w:tcPr>
          <w:p w14:paraId="3A0277EC" w14:textId="77777777" w:rsidR="00374EAF" w:rsidRPr="00BB0E0E" w:rsidRDefault="00433DA8">
            <w:pPr>
              <w:pStyle w:val="TableText"/>
              <w:rPr>
                <w:sz w:val="26"/>
              </w:rPr>
            </w:pPr>
            <w:r w:rsidRPr="00BB0E0E">
              <w:rPr>
                <w:rFonts w:hint="cs"/>
                <w:sz w:val="26"/>
                <w:rtl/>
              </w:rPr>
              <w:t>(א)</w:t>
            </w:r>
          </w:p>
        </w:tc>
        <w:tc>
          <w:tcPr>
            <w:tcW w:w="6522" w:type="dxa"/>
            <w:gridSpan w:val="3"/>
          </w:tcPr>
          <w:p w14:paraId="0BBF78CC" w14:textId="77777777" w:rsidR="00374EAF" w:rsidRPr="00BB0E0E" w:rsidRDefault="00374EAF" w:rsidP="00240482">
            <w:pPr>
              <w:pStyle w:val="TableBlock"/>
              <w:rPr>
                <w:sz w:val="26"/>
                <w:rtl/>
              </w:rPr>
            </w:pPr>
            <w:r w:rsidRPr="00BB0E0E">
              <w:rPr>
                <w:sz w:val="26"/>
                <w:rtl/>
              </w:rPr>
              <w:t xml:space="preserve">לגבי מי שמייצר מזון שייצורו טעון קבלת רישיון ייצור או אישור פעילות יצרנית באתר המכירה לצרכן, לפי פרק ג' לחוק </w:t>
            </w:r>
            <w:r w:rsidRPr="00BB0E0E">
              <w:rPr>
                <w:rFonts w:hint="cs"/>
                <w:sz w:val="26"/>
                <w:rtl/>
              </w:rPr>
              <w:t>העיקרי</w:t>
            </w:r>
            <w:r w:rsidRPr="00BB0E0E">
              <w:rPr>
                <w:sz w:val="26"/>
                <w:rtl/>
              </w:rPr>
              <w:t>, ואין לו אישור ייצור נאות בתוקף – תחילת החלתה</w:t>
            </w:r>
            <w:r w:rsidRPr="00BB0E0E">
              <w:rPr>
                <w:rFonts w:hint="cs"/>
                <w:sz w:val="26"/>
                <w:rtl/>
              </w:rPr>
              <w:t xml:space="preserve"> </w:t>
            </w:r>
            <w:r w:rsidRPr="00BB0E0E">
              <w:rPr>
                <w:sz w:val="26"/>
                <w:rtl/>
              </w:rPr>
              <w:t>של ההוראה המנויה בפרט (</w:t>
            </w:r>
            <w:r w:rsidRPr="00BB0E0E">
              <w:rPr>
                <w:rFonts w:hint="cs"/>
                <w:sz w:val="26"/>
                <w:rtl/>
              </w:rPr>
              <w:t>3</w:t>
            </w:r>
            <w:r w:rsidRPr="00BB0E0E">
              <w:rPr>
                <w:sz w:val="26"/>
                <w:rtl/>
              </w:rPr>
              <w:t>) בתוספת השנייה א' לחוק ה</w:t>
            </w:r>
            <w:r w:rsidRPr="00BB0E0E">
              <w:rPr>
                <w:rFonts w:hint="cs"/>
                <w:sz w:val="26"/>
                <w:rtl/>
              </w:rPr>
              <w:t xml:space="preserve">עיקרי </w:t>
            </w:r>
            <w:r w:rsidRPr="00BB0E0E">
              <w:rPr>
                <w:sz w:val="26"/>
                <w:rtl/>
              </w:rPr>
              <w:t>כנוסחה בצו זה, בעניין תנאי תברואה בתהליך ייצור (</w:t>
            </w:r>
            <w:r w:rsidRPr="00BB0E0E">
              <w:rPr>
                <w:sz w:val="26"/>
              </w:rPr>
              <w:t>process hygiene criteria</w:t>
            </w:r>
            <w:r w:rsidRPr="00BB0E0E">
              <w:rPr>
                <w:sz w:val="26"/>
                <w:rtl/>
              </w:rPr>
              <w:t xml:space="preserve">) ובכלל זה פרק 2 בנספח </w:t>
            </w:r>
            <w:r w:rsidRPr="00BB0E0E">
              <w:rPr>
                <w:sz w:val="26"/>
              </w:rPr>
              <w:t>I</w:t>
            </w:r>
            <w:r w:rsidRPr="00BB0E0E">
              <w:rPr>
                <w:sz w:val="26"/>
                <w:rtl/>
              </w:rPr>
              <w:t xml:space="preserve"> להוראה המנויה באותו פרט, ולמעט פרטים  2.2.5 ו-2.2.7 בפרק האמור, ביום י"ח באב </w:t>
            </w:r>
            <w:proofErr w:type="spellStart"/>
            <w:r w:rsidRPr="00BB0E0E">
              <w:rPr>
                <w:sz w:val="26"/>
                <w:rtl/>
              </w:rPr>
              <w:t>התשפ"ו</w:t>
            </w:r>
            <w:proofErr w:type="spellEnd"/>
            <w:r w:rsidRPr="00BB0E0E">
              <w:rPr>
                <w:sz w:val="26"/>
                <w:rtl/>
              </w:rPr>
              <w:t xml:space="preserve"> (1 באוגוסט 2026), ובתקופה שמיום התחילה עד יום י"ז באב </w:t>
            </w:r>
            <w:proofErr w:type="spellStart"/>
            <w:r w:rsidRPr="00BB0E0E">
              <w:rPr>
                <w:sz w:val="26"/>
                <w:rtl/>
              </w:rPr>
              <w:t>התשפ"ו</w:t>
            </w:r>
            <w:proofErr w:type="spellEnd"/>
            <w:r w:rsidRPr="00BB0E0E">
              <w:rPr>
                <w:sz w:val="26"/>
                <w:rtl/>
              </w:rPr>
              <w:t xml:space="preserve"> (31 ביולי 2026) יחולו לגביו, </w:t>
            </w:r>
            <w:r w:rsidR="00240482" w:rsidRPr="00BB0E0E">
              <w:rPr>
                <w:rFonts w:hint="cs"/>
                <w:sz w:val="26"/>
                <w:rtl/>
              </w:rPr>
              <w:t xml:space="preserve">הוראות החוק </w:t>
            </w:r>
            <w:r w:rsidRPr="00BB0E0E">
              <w:rPr>
                <w:sz w:val="26"/>
                <w:rtl/>
              </w:rPr>
              <w:t>לעניין תנאי תברואה בתהליך ייצור</w:t>
            </w:r>
            <w:r w:rsidRPr="00BB0E0E">
              <w:rPr>
                <w:rFonts w:hint="cs"/>
                <w:sz w:val="26"/>
                <w:rtl/>
              </w:rPr>
              <w:t>ו</w:t>
            </w:r>
            <w:r w:rsidR="00495FAF" w:rsidRPr="00BB0E0E">
              <w:rPr>
                <w:rFonts w:hint="cs"/>
                <w:sz w:val="26"/>
                <w:rtl/>
              </w:rPr>
              <w:t>,</w:t>
            </w:r>
            <w:r w:rsidR="00240482" w:rsidRPr="00BB0E0E">
              <w:rPr>
                <w:rFonts w:hint="cs"/>
                <w:sz w:val="26"/>
                <w:rtl/>
              </w:rPr>
              <w:t xml:space="preserve"> לרבות</w:t>
            </w:r>
            <w:r w:rsidR="00240482" w:rsidRPr="00BB0E0E">
              <w:rPr>
                <w:sz w:val="26"/>
                <w:rtl/>
              </w:rPr>
              <w:t xml:space="preserve"> </w:t>
            </w:r>
            <w:r w:rsidRPr="00BB0E0E">
              <w:rPr>
                <w:sz w:val="26"/>
                <w:rtl/>
              </w:rPr>
              <w:t>הוראות תקנים אלה:</w:t>
            </w:r>
          </w:p>
        </w:tc>
      </w:tr>
      <w:tr w:rsidR="00786C8F" w:rsidRPr="00BB0E0E" w14:paraId="742811B4" w14:textId="77777777">
        <w:trPr>
          <w:cantSplit/>
          <w:trHeight w:val="60"/>
        </w:trPr>
        <w:tc>
          <w:tcPr>
            <w:tcW w:w="1871" w:type="dxa"/>
          </w:tcPr>
          <w:p w14:paraId="023D5E39" w14:textId="77777777" w:rsidR="00786C8F" w:rsidRPr="00BB0E0E" w:rsidRDefault="00786C8F">
            <w:pPr>
              <w:pStyle w:val="TableSideHeading"/>
              <w:rPr>
                <w:sz w:val="26"/>
                <w:rtl/>
              </w:rPr>
            </w:pPr>
          </w:p>
        </w:tc>
        <w:tc>
          <w:tcPr>
            <w:tcW w:w="624" w:type="dxa"/>
          </w:tcPr>
          <w:p w14:paraId="0754514E" w14:textId="77777777" w:rsidR="00786C8F" w:rsidRPr="00BB0E0E" w:rsidRDefault="00786C8F">
            <w:pPr>
              <w:pStyle w:val="TableText"/>
              <w:rPr>
                <w:sz w:val="26"/>
              </w:rPr>
            </w:pPr>
          </w:p>
        </w:tc>
        <w:tc>
          <w:tcPr>
            <w:tcW w:w="624" w:type="dxa"/>
          </w:tcPr>
          <w:p w14:paraId="48BFD157" w14:textId="77777777" w:rsidR="00786C8F" w:rsidRPr="00BB0E0E" w:rsidRDefault="00786C8F">
            <w:pPr>
              <w:pStyle w:val="TableText"/>
              <w:rPr>
                <w:sz w:val="26"/>
              </w:rPr>
            </w:pPr>
          </w:p>
        </w:tc>
        <w:tc>
          <w:tcPr>
            <w:tcW w:w="6522" w:type="dxa"/>
            <w:gridSpan w:val="3"/>
          </w:tcPr>
          <w:p w14:paraId="01CEC354" w14:textId="77777777" w:rsidR="00786C8F" w:rsidRPr="00BB0E0E" w:rsidRDefault="00786C8F" w:rsidP="00787AB5">
            <w:pPr>
              <w:pStyle w:val="TableBlock"/>
              <w:rPr>
                <w:sz w:val="26"/>
              </w:rPr>
            </w:pPr>
            <w:r w:rsidRPr="00BB0E0E">
              <w:rPr>
                <w:sz w:val="26"/>
                <w:rtl/>
              </w:rPr>
              <w:t>(</w:t>
            </w:r>
            <w:r w:rsidRPr="00BB0E0E">
              <w:rPr>
                <w:rFonts w:hint="cs"/>
                <w:sz w:val="26"/>
                <w:rtl/>
              </w:rPr>
              <w:t>1</w:t>
            </w:r>
            <w:r w:rsidRPr="00BB0E0E">
              <w:rPr>
                <w:sz w:val="26"/>
                <w:rtl/>
              </w:rPr>
              <w:t>)</w:t>
            </w:r>
            <w:r w:rsidRPr="00BB0E0E">
              <w:rPr>
                <w:sz w:val="26"/>
                <w:rtl/>
              </w:rPr>
              <w:tab/>
            </w:r>
            <w:r w:rsidR="008A5A55" w:rsidRPr="00BB0E0E">
              <w:rPr>
                <w:rFonts w:hint="cs"/>
                <w:sz w:val="26"/>
                <w:rtl/>
              </w:rPr>
              <w:t xml:space="preserve">ת"י 115 </w:t>
            </w:r>
            <w:r w:rsidR="008A5A55" w:rsidRPr="00BB0E0E">
              <w:rPr>
                <w:sz w:val="26"/>
                <w:rtl/>
              </w:rPr>
              <w:t>–</w:t>
            </w:r>
            <w:r w:rsidR="008A5A55" w:rsidRPr="00BB0E0E">
              <w:rPr>
                <w:rFonts w:hint="cs"/>
                <w:sz w:val="26"/>
                <w:rtl/>
              </w:rPr>
              <w:t xml:space="preserve"> </w:t>
            </w:r>
            <w:r w:rsidR="00D04DA2" w:rsidRPr="00BB0E0E">
              <w:rPr>
                <w:rFonts w:hint="cs"/>
                <w:sz w:val="26"/>
                <w:rtl/>
              </w:rPr>
              <w:t>"</w:t>
            </w:r>
            <w:r w:rsidR="008A5A55" w:rsidRPr="00BB0E0E">
              <w:rPr>
                <w:rFonts w:hint="cs"/>
                <w:sz w:val="26"/>
                <w:rtl/>
              </w:rPr>
              <w:t>גבינות לבנות רכות</w:t>
            </w:r>
            <w:r w:rsidR="00D04DA2" w:rsidRPr="00BB0E0E">
              <w:rPr>
                <w:rFonts w:hint="cs"/>
                <w:sz w:val="26"/>
                <w:rtl/>
              </w:rPr>
              <w:t>"</w:t>
            </w:r>
            <w:r w:rsidR="00787AB5" w:rsidRPr="00BB0E0E">
              <w:rPr>
                <w:rFonts w:hint="cs"/>
                <w:sz w:val="26"/>
                <w:rtl/>
              </w:rPr>
              <w:t xml:space="preserve"> </w:t>
            </w:r>
            <w:r w:rsidRPr="00BB0E0E">
              <w:rPr>
                <w:sz w:val="26"/>
                <w:rtl/>
              </w:rPr>
              <w:t xml:space="preserve">– סעיף 207 בעניין דרישות מיקרוביולוגיות לגבי חיידקים מקבוצת הקוליפורמים וסעיף </w:t>
            </w:r>
            <w:r w:rsidR="00D86095" w:rsidRPr="00BB0E0E">
              <w:rPr>
                <w:sz w:val="26"/>
                <w:rtl/>
              </w:rPr>
              <w:t>20</w:t>
            </w:r>
            <w:r w:rsidR="00D86095" w:rsidRPr="00BB0E0E">
              <w:rPr>
                <w:rFonts w:hint="cs"/>
                <w:sz w:val="26"/>
                <w:rtl/>
              </w:rPr>
              <w:t>8</w:t>
            </w:r>
            <w:r w:rsidR="00D86095" w:rsidRPr="00BB0E0E">
              <w:rPr>
                <w:sz w:val="26"/>
                <w:rtl/>
              </w:rPr>
              <w:t xml:space="preserve"> </w:t>
            </w:r>
            <w:r w:rsidRPr="00BB0E0E">
              <w:rPr>
                <w:sz w:val="26"/>
                <w:rtl/>
              </w:rPr>
              <w:t>בעניין כושר השתמרות;</w:t>
            </w:r>
          </w:p>
        </w:tc>
      </w:tr>
      <w:tr w:rsidR="00786C8F" w:rsidRPr="00BB0E0E" w14:paraId="0FB435C5" w14:textId="77777777">
        <w:trPr>
          <w:cantSplit/>
          <w:trHeight w:val="60"/>
        </w:trPr>
        <w:tc>
          <w:tcPr>
            <w:tcW w:w="1871" w:type="dxa"/>
          </w:tcPr>
          <w:p w14:paraId="403C1C55" w14:textId="77777777" w:rsidR="00786C8F" w:rsidRPr="00BB0E0E" w:rsidRDefault="00786C8F">
            <w:pPr>
              <w:pStyle w:val="TableSideHeading"/>
              <w:rPr>
                <w:sz w:val="26"/>
              </w:rPr>
            </w:pPr>
          </w:p>
        </w:tc>
        <w:tc>
          <w:tcPr>
            <w:tcW w:w="624" w:type="dxa"/>
          </w:tcPr>
          <w:p w14:paraId="5D17AFAF" w14:textId="77777777" w:rsidR="00786C8F" w:rsidRPr="00BB0E0E" w:rsidRDefault="00786C8F" w:rsidP="00786C8F">
            <w:pPr>
              <w:pStyle w:val="TableText"/>
              <w:rPr>
                <w:sz w:val="26"/>
              </w:rPr>
            </w:pPr>
          </w:p>
        </w:tc>
        <w:tc>
          <w:tcPr>
            <w:tcW w:w="624" w:type="dxa"/>
          </w:tcPr>
          <w:p w14:paraId="70BBBF5D" w14:textId="77777777" w:rsidR="00786C8F" w:rsidRPr="00BB0E0E" w:rsidRDefault="00786C8F">
            <w:pPr>
              <w:pStyle w:val="TableText"/>
              <w:rPr>
                <w:sz w:val="26"/>
              </w:rPr>
            </w:pPr>
          </w:p>
        </w:tc>
        <w:tc>
          <w:tcPr>
            <w:tcW w:w="6522" w:type="dxa"/>
            <w:gridSpan w:val="3"/>
          </w:tcPr>
          <w:p w14:paraId="6DA9371D" w14:textId="77777777" w:rsidR="00786C8F" w:rsidRPr="00BB0E0E" w:rsidRDefault="00786C8F" w:rsidP="00787AB5">
            <w:pPr>
              <w:pStyle w:val="TableBlock"/>
              <w:rPr>
                <w:sz w:val="26"/>
                <w:rtl/>
              </w:rPr>
            </w:pPr>
            <w:r w:rsidRPr="00BB0E0E">
              <w:rPr>
                <w:sz w:val="26"/>
                <w:rtl/>
              </w:rPr>
              <w:t>(</w:t>
            </w:r>
            <w:r w:rsidRPr="00BB0E0E">
              <w:rPr>
                <w:rFonts w:hint="cs"/>
                <w:sz w:val="26"/>
                <w:rtl/>
              </w:rPr>
              <w:t>2</w:t>
            </w:r>
            <w:r w:rsidRPr="00BB0E0E">
              <w:rPr>
                <w:sz w:val="26"/>
                <w:rtl/>
              </w:rPr>
              <w:t>)</w:t>
            </w:r>
            <w:r w:rsidRPr="00BB0E0E">
              <w:rPr>
                <w:sz w:val="26"/>
                <w:rtl/>
              </w:rPr>
              <w:tab/>
            </w:r>
            <w:r w:rsidR="008A5A55" w:rsidRPr="00BB0E0E">
              <w:rPr>
                <w:rFonts w:hint="cs"/>
                <w:sz w:val="26"/>
                <w:rtl/>
              </w:rPr>
              <w:t xml:space="preserve">ת"י 237 </w:t>
            </w:r>
            <w:r w:rsidR="008A5A55" w:rsidRPr="00BB0E0E">
              <w:rPr>
                <w:sz w:val="26"/>
                <w:rtl/>
              </w:rPr>
              <w:t>–</w:t>
            </w:r>
            <w:r w:rsidR="008A5A55" w:rsidRPr="00BB0E0E">
              <w:rPr>
                <w:rFonts w:hint="cs"/>
                <w:sz w:val="26"/>
                <w:rtl/>
              </w:rPr>
              <w:t xml:space="preserve"> </w:t>
            </w:r>
            <w:r w:rsidR="00D04DA2" w:rsidRPr="00BB0E0E">
              <w:rPr>
                <w:rFonts w:hint="cs"/>
                <w:sz w:val="26"/>
                <w:rtl/>
              </w:rPr>
              <w:t>"</w:t>
            </w:r>
            <w:r w:rsidR="008A5A55" w:rsidRPr="00BB0E0E">
              <w:rPr>
                <w:rFonts w:hint="cs"/>
                <w:sz w:val="26"/>
                <w:rtl/>
              </w:rPr>
              <w:t>שמנת מתוקה</w:t>
            </w:r>
            <w:r w:rsidR="00D04DA2" w:rsidRPr="00BB0E0E">
              <w:rPr>
                <w:rFonts w:hint="cs"/>
                <w:sz w:val="26"/>
                <w:rtl/>
              </w:rPr>
              <w:t>"</w:t>
            </w:r>
            <w:r w:rsidR="00787AB5" w:rsidRPr="00BB0E0E">
              <w:rPr>
                <w:rFonts w:hint="cs"/>
                <w:sz w:val="26"/>
                <w:rtl/>
              </w:rPr>
              <w:t xml:space="preserve"> </w:t>
            </w:r>
            <w:r w:rsidRPr="00BB0E0E">
              <w:rPr>
                <w:sz w:val="26"/>
                <w:rtl/>
              </w:rPr>
              <w:t>– סעיף 207 בעניין דרישות מיקרוביולוגיות וסעיף 209 בעניין כושר השתמרות;</w:t>
            </w:r>
          </w:p>
        </w:tc>
      </w:tr>
      <w:tr w:rsidR="00786C8F" w:rsidRPr="00BB0E0E" w14:paraId="231A93C6" w14:textId="77777777">
        <w:trPr>
          <w:cantSplit/>
          <w:trHeight w:val="60"/>
        </w:trPr>
        <w:tc>
          <w:tcPr>
            <w:tcW w:w="1871" w:type="dxa"/>
          </w:tcPr>
          <w:p w14:paraId="0F7F7F24" w14:textId="77777777" w:rsidR="00786C8F" w:rsidRPr="00BB0E0E" w:rsidRDefault="00786C8F">
            <w:pPr>
              <w:pStyle w:val="TableSideHeading"/>
              <w:rPr>
                <w:sz w:val="26"/>
              </w:rPr>
            </w:pPr>
          </w:p>
        </w:tc>
        <w:tc>
          <w:tcPr>
            <w:tcW w:w="624" w:type="dxa"/>
          </w:tcPr>
          <w:p w14:paraId="293D40E0" w14:textId="77777777" w:rsidR="00786C8F" w:rsidRPr="00BB0E0E" w:rsidRDefault="00786C8F" w:rsidP="00786C8F">
            <w:pPr>
              <w:pStyle w:val="TableText"/>
              <w:rPr>
                <w:sz w:val="26"/>
              </w:rPr>
            </w:pPr>
          </w:p>
        </w:tc>
        <w:tc>
          <w:tcPr>
            <w:tcW w:w="624" w:type="dxa"/>
          </w:tcPr>
          <w:p w14:paraId="2DEE9F14" w14:textId="77777777" w:rsidR="00786C8F" w:rsidRPr="00BB0E0E" w:rsidRDefault="00786C8F">
            <w:pPr>
              <w:pStyle w:val="TableText"/>
              <w:rPr>
                <w:sz w:val="26"/>
              </w:rPr>
            </w:pPr>
          </w:p>
        </w:tc>
        <w:tc>
          <w:tcPr>
            <w:tcW w:w="6522" w:type="dxa"/>
            <w:gridSpan w:val="3"/>
          </w:tcPr>
          <w:p w14:paraId="3659839B" w14:textId="77777777" w:rsidR="00786C8F" w:rsidRPr="00BB0E0E" w:rsidRDefault="00786C8F" w:rsidP="00787AB5">
            <w:pPr>
              <w:pStyle w:val="TableBlock"/>
              <w:rPr>
                <w:sz w:val="26"/>
                <w:rtl/>
              </w:rPr>
            </w:pPr>
            <w:r w:rsidRPr="00BB0E0E">
              <w:rPr>
                <w:sz w:val="26"/>
                <w:rtl/>
              </w:rPr>
              <w:t>(</w:t>
            </w:r>
            <w:r w:rsidRPr="00BB0E0E">
              <w:rPr>
                <w:rFonts w:hint="cs"/>
                <w:sz w:val="26"/>
                <w:rtl/>
              </w:rPr>
              <w:t>3</w:t>
            </w:r>
            <w:r w:rsidRPr="00BB0E0E">
              <w:rPr>
                <w:sz w:val="26"/>
                <w:rtl/>
              </w:rPr>
              <w:t>)</w:t>
            </w:r>
            <w:r w:rsidRPr="00BB0E0E">
              <w:rPr>
                <w:sz w:val="26"/>
                <w:rtl/>
              </w:rPr>
              <w:tab/>
            </w:r>
            <w:r w:rsidR="00503505" w:rsidRPr="00BB0E0E">
              <w:rPr>
                <w:rFonts w:hint="cs"/>
                <w:sz w:val="26"/>
                <w:rtl/>
              </w:rPr>
              <w:t xml:space="preserve">ת"י 244 </w:t>
            </w:r>
            <w:r w:rsidR="00503505" w:rsidRPr="00BB0E0E">
              <w:rPr>
                <w:sz w:val="26"/>
                <w:rtl/>
              </w:rPr>
              <w:t>–</w:t>
            </w:r>
            <w:r w:rsidR="00503505" w:rsidRPr="00BB0E0E">
              <w:rPr>
                <w:rFonts w:hint="cs"/>
                <w:sz w:val="26"/>
                <w:rtl/>
              </w:rPr>
              <w:t xml:space="preserve"> </w:t>
            </w:r>
            <w:r w:rsidR="00D04DA2" w:rsidRPr="00BB0E0E">
              <w:rPr>
                <w:rFonts w:hint="cs"/>
                <w:sz w:val="26"/>
                <w:rtl/>
              </w:rPr>
              <w:t>"</w:t>
            </w:r>
            <w:r w:rsidR="00503505" w:rsidRPr="00BB0E0E">
              <w:rPr>
                <w:rFonts w:hint="cs"/>
                <w:sz w:val="26"/>
                <w:rtl/>
              </w:rPr>
              <w:t>שמנת חמוצה</w:t>
            </w:r>
            <w:r w:rsidR="00D04DA2" w:rsidRPr="00BB0E0E">
              <w:rPr>
                <w:rFonts w:hint="cs"/>
                <w:sz w:val="26"/>
                <w:rtl/>
              </w:rPr>
              <w:t>"</w:t>
            </w:r>
            <w:r w:rsidR="00787AB5" w:rsidRPr="00BB0E0E">
              <w:rPr>
                <w:rFonts w:hint="cs"/>
                <w:sz w:val="26"/>
                <w:rtl/>
              </w:rPr>
              <w:t xml:space="preserve"> </w:t>
            </w:r>
            <w:r w:rsidRPr="00BB0E0E">
              <w:rPr>
                <w:sz w:val="26"/>
                <w:rtl/>
              </w:rPr>
              <w:t>– סעיף 208.1 בעניין דרישות מיקרוביולוגיות לגבי חיידקים מקבוצת הקוליפורמ</w:t>
            </w:r>
            <w:r w:rsidR="005B7DAE" w:rsidRPr="00BB0E0E">
              <w:rPr>
                <w:rFonts w:hint="cs"/>
                <w:sz w:val="26"/>
                <w:rtl/>
              </w:rPr>
              <w:t>י</w:t>
            </w:r>
            <w:r w:rsidRPr="00BB0E0E">
              <w:rPr>
                <w:sz w:val="26"/>
                <w:rtl/>
              </w:rPr>
              <w:t>ם וסעיף 209 בעניין כושר השתמרות;</w:t>
            </w:r>
          </w:p>
        </w:tc>
      </w:tr>
      <w:tr w:rsidR="00786C8F" w:rsidRPr="00BB0E0E" w14:paraId="2FEEC460" w14:textId="77777777">
        <w:trPr>
          <w:cantSplit/>
          <w:trHeight w:val="60"/>
        </w:trPr>
        <w:tc>
          <w:tcPr>
            <w:tcW w:w="1871" w:type="dxa"/>
          </w:tcPr>
          <w:p w14:paraId="4DA3CAD3" w14:textId="77777777" w:rsidR="00786C8F" w:rsidRPr="00BB0E0E" w:rsidRDefault="00786C8F">
            <w:pPr>
              <w:pStyle w:val="TableSideHeading"/>
              <w:rPr>
                <w:sz w:val="26"/>
              </w:rPr>
            </w:pPr>
          </w:p>
        </w:tc>
        <w:tc>
          <w:tcPr>
            <w:tcW w:w="624" w:type="dxa"/>
          </w:tcPr>
          <w:p w14:paraId="1FA8EDD3" w14:textId="77777777" w:rsidR="00786C8F" w:rsidRPr="00BB0E0E" w:rsidRDefault="00786C8F" w:rsidP="00786C8F">
            <w:pPr>
              <w:pStyle w:val="TableText"/>
              <w:rPr>
                <w:sz w:val="26"/>
              </w:rPr>
            </w:pPr>
          </w:p>
        </w:tc>
        <w:tc>
          <w:tcPr>
            <w:tcW w:w="624" w:type="dxa"/>
          </w:tcPr>
          <w:p w14:paraId="2EB88415" w14:textId="77777777" w:rsidR="00786C8F" w:rsidRPr="00BB0E0E" w:rsidRDefault="00786C8F">
            <w:pPr>
              <w:pStyle w:val="TableText"/>
              <w:rPr>
                <w:sz w:val="26"/>
              </w:rPr>
            </w:pPr>
          </w:p>
        </w:tc>
        <w:tc>
          <w:tcPr>
            <w:tcW w:w="6522" w:type="dxa"/>
            <w:gridSpan w:val="3"/>
          </w:tcPr>
          <w:p w14:paraId="77AFD797" w14:textId="77777777" w:rsidR="00786C8F" w:rsidRPr="00BB0E0E" w:rsidRDefault="00786C8F" w:rsidP="00787AB5">
            <w:pPr>
              <w:pStyle w:val="TableBlock"/>
              <w:rPr>
                <w:sz w:val="26"/>
                <w:rtl/>
              </w:rPr>
            </w:pPr>
            <w:r w:rsidRPr="00BB0E0E">
              <w:rPr>
                <w:sz w:val="26"/>
                <w:rtl/>
              </w:rPr>
              <w:t>(</w:t>
            </w:r>
            <w:r w:rsidRPr="00BB0E0E">
              <w:rPr>
                <w:rFonts w:hint="cs"/>
                <w:sz w:val="26"/>
                <w:rtl/>
              </w:rPr>
              <w:t>4</w:t>
            </w:r>
            <w:r w:rsidRPr="00BB0E0E">
              <w:rPr>
                <w:sz w:val="26"/>
                <w:rtl/>
              </w:rPr>
              <w:t>)</w:t>
            </w:r>
            <w:r w:rsidRPr="00BB0E0E">
              <w:rPr>
                <w:sz w:val="26"/>
                <w:rtl/>
              </w:rPr>
              <w:tab/>
            </w:r>
            <w:r w:rsidR="00503505" w:rsidRPr="00BB0E0E">
              <w:rPr>
                <w:rFonts w:hint="cs"/>
                <w:sz w:val="26"/>
                <w:rtl/>
              </w:rPr>
              <w:t xml:space="preserve">ת"י 284 </w:t>
            </w:r>
            <w:r w:rsidR="00503505" w:rsidRPr="00BB0E0E">
              <w:rPr>
                <w:sz w:val="26"/>
                <w:rtl/>
              </w:rPr>
              <w:t>–</w:t>
            </w:r>
            <w:r w:rsidR="00503505" w:rsidRPr="00BB0E0E">
              <w:rPr>
                <w:rFonts w:hint="cs"/>
                <w:sz w:val="26"/>
                <w:rtl/>
              </w:rPr>
              <w:t xml:space="preserve"> </w:t>
            </w:r>
            <w:r w:rsidR="00D04DA2" w:rsidRPr="00BB0E0E">
              <w:rPr>
                <w:rFonts w:hint="cs"/>
                <w:sz w:val="26"/>
                <w:rtl/>
              </w:rPr>
              <w:t>"</w:t>
            </w:r>
            <w:r w:rsidR="00503505" w:rsidRPr="00BB0E0E">
              <w:rPr>
                <w:rFonts w:hint="cs"/>
                <w:sz w:val="26"/>
                <w:rtl/>
              </w:rPr>
              <w:t>חלב פרה לשתייה</w:t>
            </w:r>
            <w:r w:rsidR="00D04DA2" w:rsidRPr="00BB0E0E">
              <w:rPr>
                <w:rFonts w:hint="cs"/>
                <w:sz w:val="26"/>
                <w:rtl/>
              </w:rPr>
              <w:t>"</w:t>
            </w:r>
            <w:r w:rsidR="00787AB5" w:rsidRPr="00BB0E0E">
              <w:rPr>
                <w:rFonts w:hint="cs"/>
                <w:sz w:val="26"/>
                <w:rtl/>
              </w:rPr>
              <w:t xml:space="preserve"> </w:t>
            </w:r>
            <w:r w:rsidRPr="00BB0E0E">
              <w:rPr>
                <w:sz w:val="26"/>
                <w:rtl/>
              </w:rPr>
              <w:t>– סעיף 209 בעניין דרישות מיקרוביולוגיות;</w:t>
            </w:r>
          </w:p>
        </w:tc>
      </w:tr>
      <w:tr w:rsidR="00786C8F" w:rsidRPr="00BB0E0E" w14:paraId="7ED29806" w14:textId="77777777">
        <w:trPr>
          <w:cantSplit/>
          <w:trHeight w:val="60"/>
        </w:trPr>
        <w:tc>
          <w:tcPr>
            <w:tcW w:w="1871" w:type="dxa"/>
          </w:tcPr>
          <w:p w14:paraId="75F06EEA" w14:textId="77777777" w:rsidR="00786C8F" w:rsidRPr="00BB0E0E" w:rsidRDefault="00786C8F">
            <w:pPr>
              <w:pStyle w:val="TableSideHeading"/>
              <w:rPr>
                <w:sz w:val="26"/>
              </w:rPr>
            </w:pPr>
          </w:p>
        </w:tc>
        <w:tc>
          <w:tcPr>
            <w:tcW w:w="624" w:type="dxa"/>
          </w:tcPr>
          <w:p w14:paraId="23DBF142" w14:textId="77777777" w:rsidR="00786C8F" w:rsidRPr="00BB0E0E" w:rsidRDefault="00786C8F" w:rsidP="00786C8F">
            <w:pPr>
              <w:pStyle w:val="TableText"/>
              <w:rPr>
                <w:sz w:val="26"/>
              </w:rPr>
            </w:pPr>
          </w:p>
        </w:tc>
        <w:tc>
          <w:tcPr>
            <w:tcW w:w="624" w:type="dxa"/>
          </w:tcPr>
          <w:p w14:paraId="47C33A55" w14:textId="77777777" w:rsidR="00786C8F" w:rsidRPr="00BB0E0E" w:rsidRDefault="00786C8F">
            <w:pPr>
              <w:pStyle w:val="TableText"/>
              <w:rPr>
                <w:sz w:val="26"/>
              </w:rPr>
            </w:pPr>
          </w:p>
        </w:tc>
        <w:tc>
          <w:tcPr>
            <w:tcW w:w="6522" w:type="dxa"/>
            <w:gridSpan w:val="3"/>
          </w:tcPr>
          <w:p w14:paraId="27A1A20D" w14:textId="77777777" w:rsidR="00786C8F" w:rsidRPr="00BB0E0E" w:rsidRDefault="007E02D0" w:rsidP="00787AB5">
            <w:pPr>
              <w:pStyle w:val="TableBlock"/>
              <w:rPr>
                <w:sz w:val="26"/>
                <w:rtl/>
              </w:rPr>
            </w:pPr>
            <w:r w:rsidRPr="00BB0E0E">
              <w:rPr>
                <w:sz w:val="26"/>
                <w:rtl/>
              </w:rPr>
              <w:t>(</w:t>
            </w:r>
            <w:r w:rsidRPr="00BB0E0E">
              <w:rPr>
                <w:rFonts w:hint="cs"/>
                <w:sz w:val="26"/>
                <w:rtl/>
              </w:rPr>
              <w:t>5</w:t>
            </w:r>
            <w:r w:rsidRPr="00BB0E0E">
              <w:rPr>
                <w:sz w:val="26"/>
                <w:rtl/>
              </w:rPr>
              <w:t>)</w:t>
            </w:r>
            <w:r w:rsidRPr="00BB0E0E">
              <w:rPr>
                <w:sz w:val="26"/>
                <w:rtl/>
              </w:rPr>
              <w:tab/>
            </w:r>
            <w:r w:rsidR="00503505" w:rsidRPr="00BB0E0E">
              <w:rPr>
                <w:rFonts w:hint="cs"/>
                <w:sz w:val="26"/>
                <w:rtl/>
              </w:rPr>
              <w:t xml:space="preserve">ת"י 285 </w:t>
            </w:r>
            <w:r w:rsidR="00503505" w:rsidRPr="00BB0E0E">
              <w:rPr>
                <w:sz w:val="26"/>
                <w:rtl/>
              </w:rPr>
              <w:t>–</w:t>
            </w:r>
            <w:r w:rsidR="00503505" w:rsidRPr="00BB0E0E">
              <w:rPr>
                <w:rFonts w:hint="cs"/>
                <w:sz w:val="26"/>
                <w:rtl/>
              </w:rPr>
              <w:t xml:space="preserve"> </w:t>
            </w:r>
            <w:r w:rsidR="00D04DA2" w:rsidRPr="00BB0E0E">
              <w:rPr>
                <w:rFonts w:hint="cs"/>
                <w:sz w:val="26"/>
                <w:rtl/>
              </w:rPr>
              <w:t>"</w:t>
            </w:r>
            <w:r w:rsidR="00503505" w:rsidRPr="00BB0E0E">
              <w:rPr>
                <w:rFonts w:hint="cs"/>
                <w:sz w:val="26"/>
                <w:rtl/>
              </w:rPr>
              <w:t>מוצרי חלב מותססים</w:t>
            </w:r>
            <w:r w:rsidR="00D04DA2" w:rsidRPr="00BB0E0E">
              <w:rPr>
                <w:rFonts w:hint="cs"/>
                <w:sz w:val="26"/>
                <w:rtl/>
              </w:rPr>
              <w:t>"</w:t>
            </w:r>
            <w:r w:rsidR="00787AB5" w:rsidRPr="00BB0E0E">
              <w:rPr>
                <w:rFonts w:hint="cs"/>
                <w:sz w:val="26"/>
                <w:rtl/>
              </w:rPr>
              <w:t xml:space="preserve"> </w:t>
            </w:r>
            <w:r w:rsidRPr="00BB0E0E">
              <w:rPr>
                <w:sz w:val="26"/>
                <w:rtl/>
              </w:rPr>
              <w:t xml:space="preserve">– סעיף 208 בעניין דרישות מיקרוביולוגיות לגבי </w:t>
            </w:r>
            <w:r w:rsidR="00787DA8" w:rsidRPr="00BB0E0E">
              <w:rPr>
                <w:rFonts w:hint="cs"/>
                <w:sz w:val="26"/>
                <w:rtl/>
              </w:rPr>
              <w:t>ספירה</w:t>
            </w:r>
            <w:r w:rsidR="00787DA8" w:rsidRPr="00BB0E0E">
              <w:rPr>
                <w:sz w:val="26"/>
                <w:rtl/>
              </w:rPr>
              <w:t xml:space="preserve"> </w:t>
            </w:r>
            <w:r w:rsidRPr="00BB0E0E">
              <w:rPr>
                <w:sz w:val="26"/>
                <w:rtl/>
              </w:rPr>
              <w:t>מקסימלית מותרת (ב-1 ג' מוצר) של חיידקים מקבוצת קוליפורמים וסעיף 209 בעניין כושר השתמרות;</w:t>
            </w:r>
          </w:p>
        </w:tc>
      </w:tr>
      <w:tr w:rsidR="007E02D0" w:rsidRPr="00BB0E0E" w14:paraId="4F5C7E4E" w14:textId="77777777">
        <w:trPr>
          <w:cantSplit/>
          <w:trHeight w:val="60"/>
        </w:trPr>
        <w:tc>
          <w:tcPr>
            <w:tcW w:w="1871" w:type="dxa"/>
          </w:tcPr>
          <w:p w14:paraId="701F0D12" w14:textId="77777777" w:rsidR="007E02D0" w:rsidRPr="00BB0E0E" w:rsidRDefault="007E02D0">
            <w:pPr>
              <w:pStyle w:val="TableSideHeading"/>
              <w:rPr>
                <w:sz w:val="26"/>
              </w:rPr>
            </w:pPr>
          </w:p>
        </w:tc>
        <w:tc>
          <w:tcPr>
            <w:tcW w:w="624" w:type="dxa"/>
          </w:tcPr>
          <w:p w14:paraId="72456525" w14:textId="77777777" w:rsidR="007E02D0" w:rsidRPr="00BB0E0E" w:rsidRDefault="007E02D0" w:rsidP="007E02D0">
            <w:pPr>
              <w:pStyle w:val="TableText"/>
              <w:rPr>
                <w:sz w:val="26"/>
              </w:rPr>
            </w:pPr>
          </w:p>
        </w:tc>
        <w:tc>
          <w:tcPr>
            <w:tcW w:w="624" w:type="dxa"/>
          </w:tcPr>
          <w:p w14:paraId="6B463526" w14:textId="77777777" w:rsidR="007E02D0" w:rsidRPr="00BB0E0E" w:rsidRDefault="007E02D0">
            <w:pPr>
              <w:pStyle w:val="TableText"/>
              <w:rPr>
                <w:sz w:val="26"/>
              </w:rPr>
            </w:pPr>
          </w:p>
        </w:tc>
        <w:tc>
          <w:tcPr>
            <w:tcW w:w="6522" w:type="dxa"/>
            <w:gridSpan w:val="3"/>
          </w:tcPr>
          <w:p w14:paraId="7F71E49E" w14:textId="77777777" w:rsidR="007E02D0" w:rsidRPr="00BB0E0E" w:rsidRDefault="007E02D0" w:rsidP="00787AB5">
            <w:pPr>
              <w:pStyle w:val="TableBlock"/>
              <w:rPr>
                <w:sz w:val="26"/>
                <w:rtl/>
              </w:rPr>
            </w:pPr>
            <w:r w:rsidRPr="00BB0E0E">
              <w:rPr>
                <w:sz w:val="26"/>
                <w:rtl/>
              </w:rPr>
              <w:t>(</w:t>
            </w:r>
            <w:r w:rsidRPr="00BB0E0E">
              <w:rPr>
                <w:rFonts w:hint="cs"/>
                <w:sz w:val="26"/>
                <w:rtl/>
              </w:rPr>
              <w:t>6</w:t>
            </w:r>
            <w:r w:rsidRPr="00BB0E0E">
              <w:rPr>
                <w:sz w:val="26"/>
                <w:rtl/>
              </w:rPr>
              <w:t>)</w:t>
            </w:r>
            <w:r w:rsidRPr="00BB0E0E">
              <w:rPr>
                <w:sz w:val="26"/>
                <w:rtl/>
              </w:rPr>
              <w:tab/>
              <w:t>ת"י 323</w:t>
            </w:r>
            <w:r w:rsidR="00787AB5" w:rsidRPr="00BB0E0E">
              <w:rPr>
                <w:rFonts w:hint="cs"/>
                <w:sz w:val="26"/>
                <w:rtl/>
              </w:rPr>
              <w:t xml:space="preserve"> - </w:t>
            </w:r>
            <w:r w:rsidRPr="00BB0E0E">
              <w:rPr>
                <w:sz w:val="26"/>
                <w:rtl/>
              </w:rPr>
              <w:t>"חמאה" – סעיף 3.6.1 בעניין דרישות מיקרוביולוגיות לגבי חיידקים מקבוצת הקוליפור</w:t>
            </w:r>
            <w:r w:rsidR="00A453CF" w:rsidRPr="00BB0E0E">
              <w:rPr>
                <w:rFonts w:hint="cs"/>
                <w:sz w:val="26"/>
                <w:rtl/>
              </w:rPr>
              <w:t>מים</w:t>
            </w:r>
            <w:r w:rsidRPr="00BB0E0E">
              <w:rPr>
                <w:sz w:val="26"/>
                <w:rtl/>
              </w:rPr>
              <w:t>;</w:t>
            </w:r>
          </w:p>
        </w:tc>
      </w:tr>
      <w:tr w:rsidR="007E02D0" w:rsidRPr="00BB0E0E" w14:paraId="0AE66010" w14:textId="77777777">
        <w:trPr>
          <w:cantSplit/>
          <w:trHeight w:val="60"/>
        </w:trPr>
        <w:tc>
          <w:tcPr>
            <w:tcW w:w="1871" w:type="dxa"/>
          </w:tcPr>
          <w:p w14:paraId="2A664862" w14:textId="77777777" w:rsidR="007E02D0" w:rsidRPr="00BB0E0E" w:rsidRDefault="007E02D0">
            <w:pPr>
              <w:pStyle w:val="TableSideHeading"/>
              <w:rPr>
                <w:sz w:val="26"/>
              </w:rPr>
            </w:pPr>
          </w:p>
        </w:tc>
        <w:tc>
          <w:tcPr>
            <w:tcW w:w="624" w:type="dxa"/>
          </w:tcPr>
          <w:p w14:paraId="30F3AD78" w14:textId="77777777" w:rsidR="007E02D0" w:rsidRPr="00BB0E0E" w:rsidRDefault="007E02D0" w:rsidP="007E02D0">
            <w:pPr>
              <w:pStyle w:val="TableText"/>
              <w:rPr>
                <w:sz w:val="26"/>
              </w:rPr>
            </w:pPr>
          </w:p>
        </w:tc>
        <w:tc>
          <w:tcPr>
            <w:tcW w:w="624" w:type="dxa"/>
          </w:tcPr>
          <w:p w14:paraId="0F52B495" w14:textId="77777777" w:rsidR="007E02D0" w:rsidRPr="00BB0E0E" w:rsidRDefault="007E02D0">
            <w:pPr>
              <w:pStyle w:val="TableText"/>
              <w:rPr>
                <w:sz w:val="26"/>
              </w:rPr>
            </w:pPr>
          </w:p>
        </w:tc>
        <w:tc>
          <w:tcPr>
            <w:tcW w:w="6522" w:type="dxa"/>
            <w:gridSpan w:val="3"/>
          </w:tcPr>
          <w:p w14:paraId="72E65F63" w14:textId="77777777" w:rsidR="007E02D0" w:rsidRPr="00BB0E0E" w:rsidRDefault="007E02D0" w:rsidP="00787AB5">
            <w:pPr>
              <w:pStyle w:val="TableBlock"/>
              <w:rPr>
                <w:sz w:val="26"/>
                <w:rtl/>
              </w:rPr>
            </w:pPr>
            <w:r w:rsidRPr="00BB0E0E">
              <w:rPr>
                <w:sz w:val="26"/>
                <w:rtl/>
              </w:rPr>
              <w:t>(</w:t>
            </w:r>
            <w:r w:rsidRPr="00BB0E0E">
              <w:rPr>
                <w:rFonts w:hint="cs"/>
                <w:sz w:val="26"/>
                <w:rtl/>
              </w:rPr>
              <w:t>7</w:t>
            </w:r>
            <w:r w:rsidRPr="00BB0E0E">
              <w:rPr>
                <w:sz w:val="26"/>
                <w:rtl/>
              </w:rPr>
              <w:t>)</w:t>
            </w:r>
            <w:r w:rsidRPr="00BB0E0E">
              <w:rPr>
                <w:sz w:val="26"/>
                <w:rtl/>
              </w:rPr>
              <w:tab/>
            </w:r>
            <w:r w:rsidR="00044E5C" w:rsidRPr="00BB0E0E">
              <w:rPr>
                <w:rFonts w:hint="cs"/>
                <w:sz w:val="26"/>
                <w:rtl/>
              </w:rPr>
              <w:t xml:space="preserve">ת"י </w:t>
            </w:r>
            <w:r w:rsidR="00707FED" w:rsidRPr="00BB0E0E">
              <w:rPr>
                <w:rFonts w:hint="cs"/>
                <w:sz w:val="26"/>
                <w:rtl/>
              </w:rPr>
              <w:t>327</w:t>
            </w:r>
            <w:r w:rsidR="00787AB5" w:rsidRPr="00BB0E0E">
              <w:rPr>
                <w:rFonts w:hint="cs"/>
                <w:sz w:val="26"/>
                <w:rtl/>
              </w:rPr>
              <w:t xml:space="preserve"> </w:t>
            </w:r>
            <w:r w:rsidR="00707FED" w:rsidRPr="00BB0E0E">
              <w:rPr>
                <w:rFonts w:hint="cs"/>
                <w:sz w:val="26"/>
                <w:rtl/>
              </w:rPr>
              <w:t xml:space="preserve">(חלק 1) </w:t>
            </w:r>
            <w:r w:rsidR="00044E5C" w:rsidRPr="00BB0E0E">
              <w:rPr>
                <w:sz w:val="26"/>
                <w:rtl/>
              </w:rPr>
              <w:t>–</w:t>
            </w:r>
            <w:r w:rsidR="00044E5C" w:rsidRPr="00BB0E0E">
              <w:rPr>
                <w:rFonts w:hint="cs"/>
                <w:sz w:val="26"/>
                <w:rtl/>
              </w:rPr>
              <w:t xml:space="preserve"> </w:t>
            </w:r>
            <w:r w:rsidR="00707FED" w:rsidRPr="00BB0E0E">
              <w:rPr>
                <w:rFonts w:hint="cs"/>
                <w:sz w:val="26"/>
                <w:rtl/>
              </w:rPr>
              <w:t xml:space="preserve">"מוצרי גלידה, קרחונים, ותערובות להכנתם: דרישות למוצר" </w:t>
            </w:r>
            <w:r w:rsidRPr="00BB0E0E">
              <w:rPr>
                <w:sz w:val="26"/>
                <w:rtl/>
              </w:rPr>
              <w:t xml:space="preserve"> – סעיף 207 בעניין דרישות מיקרוביולוגיות;</w:t>
            </w:r>
          </w:p>
        </w:tc>
      </w:tr>
      <w:tr w:rsidR="007E02D0" w:rsidRPr="00BB0E0E" w14:paraId="2FB5D872" w14:textId="77777777">
        <w:trPr>
          <w:cantSplit/>
          <w:trHeight w:val="60"/>
        </w:trPr>
        <w:tc>
          <w:tcPr>
            <w:tcW w:w="1871" w:type="dxa"/>
          </w:tcPr>
          <w:p w14:paraId="43000C78" w14:textId="77777777" w:rsidR="007E02D0" w:rsidRPr="00BB0E0E" w:rsidRDefault="007E02D0">
            <w:pPr>
              <w:pStyle w:val="TableSideHeading"/>
              <w:rPr>
                <w:sz w:val="26"/>
              </w:rPr>
            </w:pPr>
          </w:p>
        </w:tc>
        <w:tc>
          <w:tcPr>
            <w:tcW w:w="624" w:type="dxa"/>
          </w:tcPr>
          <w:p w14:paraId="73EB3C72" w14:textId="77777777" w:rsidR="007E02D0" w:rsidRPr="00BB0E0E" w:rsidRDefault="007E02D0" w:rsidP="007E02D0">
            <w:pPr>
              <w:pStyle w:val="TableText"/>
              <w:rPr>
                <w:sz w:val="26"/>
              </w:rPr>
            </w:pPr>
          </w:p>
        </w:tc>
        <w:tc>
          <w:tcPr>
            <w:tcW w:w="624" w:type="dxa"/>
          </w:tcPr>
          <w:p w14:paraId="227ACDFD" w14:textId="77777777" w:rsidR="007E02D0" w:rsidRPr="00BB0E0E" w:rsidRDefault="007E02D0">
            <w:pPr>
              <w:pStyle w:val="TableText"/>
              <w:rPr>
                <w:sz w:val="26"/>
              </w:rPr>
            </w:pPr>
          </w:p>
        </w:tc>
        <w:tc>
          <w:tcPr>
            <w:tcW w:w="6522" w:type="dxa"/>
            <w:gridSpan w:val="3"/>
          </w:tcPr>
          <w:p w14:paraId="5C3D1E07" w14:textId="77777777" w:rsidR="007E02D0" w:rsidRPr="00E213C0" w:rsidRDefault="007E02D0" w:rsidP="00787AB5">
            <w:pPr>
              <w:pStyle w:val="TableBlock"/>
              <w:rPr>
                <w:sz w:val="26"/>
                <w:rtl/>
              </w:rPr>
            </w:pPr>
            <w:r w:rsidRPr="00E213C0">
              <w:rPr>
                <w:sz w:val="26"/>
                <w:rtl/>
              </w:rPr>
              <w:t>(</w:t>
            </w:r>
            <w:r w:rsidRPr="00E213C0">
              <w:rPr>
                <w:rFonts w:hint="cs"/>
                <w:sz w:val="26"/>
                <w:rtl/>
              </w:rPr>
              <w:t>8</w:t>
            </w:r>
            <w:r w:rsidRPr="00E213C0">
              <w:rPr>
                <w:sz w:val="26"/>
                <w:rtl/>
              </w:rPr>
              <w:t>)</w:t>
            </w:r>
            <w:r w:rsidRPr="00E213C0">
              <w:rPr>
                <w:sz w:val="26"/>
                <w:rtl/>
              </w:rPr>
              <w:tab/>
            </w:r>
            <w:r w:rsidR="00044E5C" w:rsidRPr="00E213C0">
              <w:rPr>
                <w:rFonts w:hint="cs"/>
                <w:sz w:val="26"/>
                <w:rtl/>
              </w:rPr>
              <w:t xml:space="preserve">ת"י 370 </w:t>
            </w:r>
            <w:r w:rsidR="00044E5C" w:rsidRPr="00E213C0">
              <w:rPr>
                <w:sz w:val="26"/>
                <w:rtl/>
              </w:rPr>
              <w:t>–</w:t>
            </w:r>
            <w:r w:rsidR="00044E5C" w:rsidRPr="00E213C0">
              <w:rPr>
                <w:rFonts w:hint="cs"/>
                <w:sz w:val="26"/>
                <w:rtl/>
              </w:rPr>
              <w:t xml:space="preserve"> </w:t>
            </w:r>
            <w:r w:rsidR="00D04DA2" w:rsidRPr="00E213C0">
              <w:rPr>
                <w:rFonts w:hint="cs"/>
                <w:sz w:val="26"/>
                <w:rtl/>
              </w:rPr>
              <w:t>"</w:t>
            </w:r>
            <w:r w:rsidR="00044E5C" w:rsidRPr="00E213C0">
              <w:rPr>
                <w:rFonts w:hint="cs"/>
                <w:sz w:val="26"/>
                <w:rtl/>
              </w:rPr>
              <w:t>מרגרינה וממרחים אחרים של תחליבי מים בשמן</w:t>
            </w:r>
            <w:r w:rsidR="00D04DA2" w:rsidRPr="00E213C0">
              <w:rPr>
                <w:rFonts w:hint="cs"/>
                <w:sz w:val="26"/>
                <w:rtl/>
              </w:rPr>
              <w:t>"</w:t>
            </w:r>
            <w:r w:rsidR="00787AB5" w:rsidRPr="00E213C0">
              <w:rPr>
                <w:rFonts w:hint="cs"/>
                <w:sz w:val="26"/>
                <w:rtl/>
              </w:rPr>
              <w:t xml:space="preserve"> </w:t>
            </w:r>
            <w:r w:rsidRPr="00E213C0">
              <w:rPr>
                <w:sz w:val="26"/>
                <w:rtl/>
              </w:rPr>
              <w:t>– סעיף 3.3.2 בעניין דרישות מיקרוביולוגיות לגבי חיידקים מקבוצת הקוליפור</w:t>
            </w:r>
            <w:r w:rsidR="00A453CF" w:rsidRPr="00E213C0">
              <w:rPr>
                <w:rFonts w:hint="cs"/>
                <w:sz w:val="26"/>
                <w:rtl/>
              </w:rPr>
              <w:t>מי</w:t>
            </w:r>
            <w:r w:rsidRPr="00E213C0">
              <w:rPr>
                <w:sz w:val="26"/>
                <w:rtl/>
              </w:rPr>
              <w:t>ם במוצרים המכילים רכיבי חלב;</w:t>
            </w:r>
          </w:p>
        </w:tc>
      </w:tr>
      <w:tr w:rsidR="007E02D0" w:rsidRPr="00BB0E0E" w14:paraId="3C3B0B9A" w14:textId="77777777">
        <w:trPr>
          <w:cantSplit/>
          <w:trHeight w:val="60"/>
        </w:trPr>
        <w:tc>
          <w:tcPr>
            <w:tcW w:w="1871" w:type="dxa"/>
          </w:tcPr>
          <w:p w14:paraId="6E3D6873" w14:textId="77777777" w:rsidR="007E02D0" w:rsidRPr="00BB0E0E" w:rsidRDefault="007E02D0">
            <w:pPr>
              <w:pStyle w:val="TableSideHeading"/>
              <w:rPr>
                <w:sz w:val="26"/>
              </w:rPr>
            </w:pPr>
          </w:p>
        </w:tc>
        <w:tc>
          <w:tcPr>
            <w:tcW w:w="624" w:type="dxa"/>
          </w:tcPr>
          <w:p w14:paraId="44DCF837" w14:textId="77777777" w:rsidR="007E02D0" w:rsidRPr="00BB0E0E" w:rsidRDefault="007E02D0" w:rsidP="007E02D0">
            <w:pPr>
              <w:pStyle w:val="TableText"/>
              <w:rPr>
                <w:sz w:val="26"/>
              </w:rPr>
            </w:pPr>
          </w:p>
        </w:tc>
        <w:tc>
          <w:tcPr>
            <w:tcW w:w="624" w:type="dxa"/>
          </w:tcPr>
          <w:p w14:paraId="6C2B3A4F" w14:textId="77777777" w:rsidR="007E02D0" w:rsidRPr="00BB0E0E" w:rsidRDefault="007E02D0">
            <w:pPr>
              <w:pStyle w:val="TableText"/>
              <w:rPr>
                <w:sz w:val="26"/>
              </w:rPr>
            </w:pPr>
          </w:p>
        </w:tc>
        <w:tc>
          <w:tcPr>
            <w:tcW w:w="6522" w:type="dxa"/>
            <w:gridSpan w:val="3"/>
          </w:tcPr>
          <w:p w14:paraId="5168CADB" w14:textId="77777777" w:rsidR="007E02D0" w:rsidRPr="00E213C0" w:rsidRDefault="007E02D0" w:rsidP="00D04DA2">
            <w:pPr>
              <w:pStyle w:val="TableBlock"/>
              <w:rPr>
                <w:sz w:val="26"/>
                <w:rtl/>
              </w:rPr>
            </w:pPr>
            <w:r w:rsidRPr="00E213C0">
              <w:rPr>
                <w:sz w:val="26"/>
                <w:rtl/>
              </w:rPr>
              <w:t>(</w:t>
            </w:r>
            <w:r w:rsidRPr="00E213C0">
              <w:rPr>
                <w:rFonts w:hint="cs"/>
                <w:sz w:val="26"/>
                <w:rtl/>
              </w:rPr>
              <w:t>9</w:t>
            </w:r>
            <w:r w:rsidRPr="00E213C0">
              <w:rPr>
                <w:sz w:val="26"/>
                <w:rtl/>
              </w:rPr>
              <w:t>)</w:t>
            </w:r>
            <w:r w:rsidRPr="00E213C0">
              <w:rPr>
                <w:sz w:val="26"/>
                <w:rtl/>
              </w:rPr>
              <w:tab/>
            </w:r>
            <w:r w:rsidR="00044E5C" w:rsidRPr="00E213C0">
              <w:rPr>
                <w:rFonts w:hint="cs"/>
                <w:sz w:val="26"/>
                <w:rtl/>
              </w:rPr>
              <w:t xml:space="preserve">ת"י 877 </w:t>
            </w:r>
            <w:r w:rsidR="00044E5C" w:rsidRPr="00E213C0">
              <w:rPr>
                <w:sz w:val="26"/>
                <w:rtl/>
              </w:rPr>
              <w:t>–</w:t>
            </w:r>
            <w:r w:rsidR="00044E5C" w:rsidRPr="00E213C0">
              <w:rPr>
                <w:rFonts w:hint="cs"/>
                <w:sz w:val="26"/>
                <w:rtl/>
              </w:rPr>
              <w:t xml:space="preserve"> </w:t>
            </w:r>
            <w:r w:rsidR="00D04DA2" w:rsidRPr="00E213C0">
              <w:rPr>
                <w:rFonts w:hint="cs"/>
                <w:sz w:val="26"/>
                <w:rtl/>
              </w:rPr>
              <w:t>"</w:t>
            </w:r>
            <w:r w:rsidR="00044E5C" w:rsidRPr="00E213C0">
              <w:rPr>
                <w:rFonts w:hint="cs"/>
                <w:sz w:val="26"/>
                <w:rtl/>
              </w:rPr>
              <w:t xml:space="preserve">פירות וירקות מוקפאים: כללי, לרבות </w:t>
            </w:r>
            <w:r w:rsidR="003B5193" w:rsidRPr="00E213C0">
              <w:rPr>
                <w:rFonts w:hint="cs"/>
                <w:sz w:val="26"/>
                <w:rtl/>
              </w:rPr>
              <w:t>גיליון</w:t>
            </w:r>
            <w:r w:rsidR="003B5193" w:rsidRPr="00E213C0">
              <w:rPr>
                <w:sz w:val="26"/>
                <w:rtl/>
              </w:rPr>
              <w:t xml:space="preserve"> תיקון </w:t>
            </w:r>
            <w:r w:rsidR="003B5193" w:rsidRPr="00E213C0">
              <w:rPr>
                <w:rFonts w:hint="cs"/>
                <w:sz w:val="26"/>
                <w:rtl/>
              </w:rPr>
              <w:t>מס</w:t>
            </w:r>
            <w:r w:rsidR="003B5193" w:rsidRPr="00E213C0">
              <w:rPr>
                <w:sz w:val="26"/>
                <w:rtl/>
              </w:rPr>
              <w:t>'</w:t>
            </w:r>
            <w:r w:rsidR="00044E5C" w:rsidRPr="00E213C0">
              <w:rPr>
                <w:rFonts w:hint="cs"/>
                <w:sz w:val="26"/>
                <w:rtl/>
              </w:rPr>
              <w:t xml:space="preserve"> 1</w:t>
            </w:r>
            <w:r w:rsidR="00D04DA2" w:rsidRPr="00E213C0" w:rsidDel="00D04DA2">
              <w:rPr>
                <w:rFonts w:hint="cs"/>
                <w:sz w:val="26"/>
                <w:rtl/>
              </w:rPr>
              <w:t xml:space="preserve"> </w:t>
            </w:r>
            <w:r w:rsidRPr="00E213C0">
              <w:rPr>
                <w:sz w:val="26"/>
                <w:rtl/>
              </w:rPr>
              <w:t>" – סעיף 209 בעניין דרישות מיקרוביולוגיות;</w:t>
            </w:r>
          </w:p>
        </w:tc>
      </w:tr>
      <w:tr w:rsidR="007E02D0" w:rsidRPr="00BB0E0E" w14:paraId="359BFEAE" w14:textId="77777777">
        <w:trPr>
          <w:cantSplit/>
          <w:trHeight w:val="60"/>
        </w:trPr>
        <w:tc>
          <w:tcPr>
            <w:tcW w:w="1871" w:type="dxa"/>
          </w:tcPr>
          <w:p w14:paraId="4038D6D5" w14:textId="77777777" w:rsidR="007E02D0" w:rsidRPr="00BB0E0E" w:rsidRDefault="007E02D0">
            <w:pPr>
              <w:pStyle w:val="TableSideHeading"/>
              <w:rPr>
                <w:sz w:val="26"/>
              </w:rPr>
            </w:pPr>
          </w:p>
        </w:tc>
        <w:tc>
          <w:tcPr>
            <w:tcW w:w="624" w:type="dxa"/>
          </w:tcPr>
          <w:p w14:paraId="5F967295" w14:textId="77777777" w:rsidR="007E02D0" w:rsidRPr="00BB0E0E" w:rsidRDefault="007E02D0" w:rsidP="007E02D0">
            <w:pPr>
              <w:pStyle w:val="TableText"/>
              <w:rPr>
                <w:sz w:val="26"/>
              </w:rPr>
            </w:pPr>
          </w:p>
        </w:tc>
        <w:tc>
          <w:tcPr>
            <w:tcW w:w="624" w:type="dxa"/>
          </w:tcPr>
          <w:p w14:paraId="29B6A9BA" w14:textId="77777777" w:rsidR="007E02D0" w:rsidRPr="00BB0E0E" w:rsidRDefault="007E02D0">
            <w:pPr>
              <w:pStyle w:val="TableText"/>
              <w:rPr>
                <w:sz w:val="26"/>
              </w:rPr>
            </w:pPr>
          </w:p>
        </w:tc>
        <w:tc>
          <w:tcPr>
            <w:tcW w:w="6522" w:type="dxa"/>
            <w:gridSpan w:val="3"/>
          </w:tcPr>
          <w:p w14:paraId="5F9A181D" w14:textId="77777777" w:rsidR="007E02D0" w:rsidRPr="00BB0E0E" w:rsidRDefault="007E02D0" w:rsidP="00D04DA2">
            <w:pPr>
              <w:pStyle w:val="TableBlock"/>
              <w:rPr>
                <w:sz w:val="26"/>
                <w:rtl/>
              </w:rPr>
            </w:pPr>
            <w:r w:rsidRPr="00BB0E0E">
              <w:rPr>
                <w:rFonts w:hint="cs"/>
                <w:sz w:val="26"/>
                <w:rtl/>
              </w:rPr>
              <w:t>(10)</w:t>
            </w:r>
            <w:r w:rsidRPr="00BB0E0E">
              <w:rPr>
                <w:sz w:val="26"/>
                <w:rtl/>
              </w:rPr>
              <w:tab/>
            </w:r>
            <w:r w:rsidR="00044E5C" w:rsidRPr="00BB0E0E">
              <w:rPr>
                <w:rFonts w:hint="cs"/>
                <w:sz w:val="26"/>
                <w:rtl/>
              </w:rPr>
              <w:t xml:space="preserve">ת"י 1006 </w:t>
            </w:r>
            <w:r w:rsidR="00044E5C" w:rsidRPr="00BB0E0E">
              <w:rPr>
                <w:sz w:val="26"/>
                <w:rtl/>
              </w:rPr>
              <w:t>–</w:t>
            </w:r>
            <w:r w:rsidR="00044E5C" w:rsidRPr="00BB0E0E">
              <w:rPr>
                <w:rFonts w:hint="cs"/>
                <w:sz w:val="26"/>
                <w:rtl/>
              </w:rPr>
              <w:t xml:space="preserve"> </w:t>
            </w:r>
            <w:r w:rsidR="00D04DA2" w:rsidRPr="00BB0E0E">
              <w:rPr>
                <w:rFonts w:hint="cs"/>
                <w:sz w:val="26"/>
                <w:rtl/>
              </w:rPr>
              <w:t>"</w:t>
            </w:r>
            <w:r w:rsidR="00044E5C" w:rsidRPr="00BB0E0E">
              <w:rPr>
                <w:rFonts w:hint="cs"/>
                <w:sz w:val="26"/>
                <w:rtl/>
              </w:rPr>
              <w:t>מרציפן ומוצריו</w:t>
            </w:r>
            <w:r w:rsidR="00D04DA2" w:rsidRPr="00BB0E0E">
              <w:rPr>
                <w:rFonts w:hint="cs"/>
                <w:sz w:val="26"/>
                <w:rtl/>
              </w:rPr>
              <w:t>"</w:t>
            </w:r>
            <w:r w:rsidR="00787AB5" w:rsidRPr="00BB0E0E">
              <w:rPr>
                <w:rFonts w:hint="cs"/>
                <w:sz w:val="26"/>
                <w:rtl/>
              </w:rPr>
              <w:t xml:space="preserve"> </w:t>
            </w:r>
            <w:r w:rsidRPr="00BB0E0E">
              <w:rPr>
                <w:sz w:val="26"/>
                <w:rtl/>
              </w:rPr>
              <w:t xml:space="preserve">– סעיף  </w:t>
            </w:r>
            <w:r w:rsidR="008A5A55" w:rsidRPr="00BB0E0E">
              <w:rPr>
                <w:rFonts w:hint="cs"/>
                <w:sz w:val="26"/>
                <w:rtl/>
              </w:rPr>
              <w:t xml:space="preserve">3.3 </w:t>
            </w:r>
            <w:r w:rsidRPr="00BB0E0E">
              <w:rPr>
                <w:sz w:val="26"/>
                <w:rtl/>
              </w:rPr>
              <w:t xml:space="preserve"> בעניין דרישות מיקרוביולוגיות;</w:t>
            </w:r>
          </w:p>
        </w:tc>
      </w:tr>
      <w:tr w:rsidR="007E02D0" w:rsidRPr="00BB0E0E" w14:paraId="50534386" w14:textId="77777777">
        <w:trPr>
          <w:cantSplit/>
          <w:trHeight w:val="60"/>
        </w:trPr>
        <w:tc>
          <w:tcPr>
            <w:tcW w:w="1871" w:type="dxa"/>
          </w:tcPr>
          <w:p w14:paraId="3C863380" w14:textId="77777777" w:rsidR="007E02D0" w:rsidRPr="00BB0E0E" w:rsidRDefault="007E02D0">
            <w:pPr>
              <w:pStyle w:val="TableSideHeading"/>
              <w:rPr>
                <w:sz w:val="26"/>
              </w:rPr>
            </w:pPr>
          </w:p>
        </w:tc>
        <w:tc>
          <w:tcPr>
            <w:tcW w:w="624" w:type="dxa"/>
          </w:tcPr>
          <w:p w14:paraId="03728A9F" w14:textId="77777777" w:rsidR="007E02D0" w:rsidRPr="00BB0E0E" w:rsidRDefault="007E02D0" w:rsidP="007E02D0">
            <w:pPr>
              <w:pStyle w:val="TableText"/>
              <w:rPr>
                <w:sz w:val="26"/>
              </w:rPr>
            </w:pPr>
          </w:p>
        </w:tc>
        <w:tc>
          <w:tcPr>
            <w:tcW w:w="624" w:type="dxa"/>
          </w:tcPr>
          <w:p w14:paraId="5C3CB66C" w14:textId="77777777" w:rsidR="007E02D0" w:rsidRPr="00BB0E0E" w:rsidRDefault="007E02D0">
            <w:pPr>
              <w:pStyle w:val="TableText"/>
              <w:rPr>
                <w:sz w:val="26"/>
              </w:rPr>
            </w:pPr>
          </w:p>
        </w:tc>
        <w:tc>
          <w:tcPr>
            <w:tcW w:w="6522" w:type="dxa"/>
            <w:gridSpan w:val="3"/>
          </w:tcPr>
          <w:p w14:paraId="202F4413" w14:textId="77777777" w:rsidR="007E02D0" w:rsidRPr="00BB0E0E" w:rsidRDefault="007E02D0" w:rsidP="00787AB5">
            <w:pPr>
              <w:pStyle w:val="TableBlock"/>
              <w:rPr>
                <w:sz w:val="26"/>
                <w:rtl/>
              </w:rPr>
            </w:pPr>
            <w:r w:rsidRPr="00BB0E0E">
              <w:rPr>
                <w:sz w:val="26"/>
                <w:rtl/>
              </w:rPr>
              <w:t>(</w:t>
            </w:r>
            <w:r w:rsidRPr="00BB0E0E">
              <w:rPr>
                <w:rFonts w:hint="cs"/>
                <w:sz w:val="26"/>
                <w:rtl/>
              </w:rPr>
              <w:t>11</w:t>
            </w:r>
            <w:r w:rsidRPr="00BB0E0E">
              <w:rPr>
                <w:sz w:val="26"/>
                <w:rtl/>
              </w:rPr>
              <w:t>)</w:t>
            </w:r>
            <w:r w:rsidRPr="00BB0E0E">
              <w:rPr>
                <w:sz w:val="26"/>
                <w:rtl/>
              </w:rPr>
              <w:tab/>
            </w:r>
            <w:r w:rsidR="00044E5C" w:rsidRPr="00BB0E0E">
              <w:rPr>
                <w:rFonts w:hint="cs"/>
                <w:sz w:val="26"/>
                <w:rtl/>
              </w:rPr>
              <w:t xml:space="preserve">ת"י 1361 </w:t>
            </w:r>
            <w:r w:rsidR="00044E5C" w:rsidRPr="00BB0E0E">
              <w:rPr>
                <w:sz w:val="26"/>
                <w:rtl/>
              </w:rPr>
              <w:t>–</w:t>
            </w:r>
            <w:r w:rsidR="00044E5C" w:rsidRPr="00BB0E0E">
              <w:rPr>
                <w:rFonts w:hint="cs"/>
                <w:sz w:val="26"/>
                <w:rtl/>
              </w:rPr>
              <w:t xml:space="preserve"> </w:t>
            </w:r>
            <w:r w:rsidR="00D04DA2" w:rsidRPr="00BB0E0E">
              <w:rPr>
                <w:rFonts w:hint="cs"/>
                <w:sz w:val="26"/>
                <w:rtl/>
              </w:rPr>
              <w:t>"</w:t>
            </w:r>
            <w:r w:rsidR="00044E5C" w:rsidRPr="00BB0E0E">
              <w:rPr>
                <w:rFonts w:hint="cs"/>
                <w:sz w:val="26"/>
                <w:rtl/>
              </w:rPr>
              <w:t>גבינות מלוחות</w:t>
            </w:r>
            <w:r w:rsidR="00D04DA2" w:rsidRPr="00BB0E0E">
              <w:rPr>
                <w:rFonts w:hint="cs"/>
                <w:sz w:val="26"/>
                <w:rtl/>
              </w:rPr>
              <w:t>"</w:t>
            </w:r>
            <w:r w:rsidR="00787AB5" w:rsidRPr="00BB0E0E">
              <w:rPr>
                <w:rFonts w:hint="cs"/>
                <w:sz w:val="26"/>
                <w:rtl/>
              </w:rPr>
              <w:t xml:space="preserve"> </w:t>
            </w:r>
            <w:r w:rsidRPr="00BB0E0E">
              <w:rPr>
                <w:sz w:val="26"/>
                <w:rtl/>
              </w:rPr>
              <w:t xml:space="preserve">– סעיף 3.6 בעניין דרישות מיקרוביולוגיות לגבי חיידקים מקבוצת הקוליפורמים וחיידקים מקבוצת </w:t>
            </w:r>
            <w:proofErr w:type="spellStart"/>
            <w:r w:rsidRPr="00BB0E0E">
              <w:rPr>
                <w:sz w:val="26"/>
                <w:rtl/>
              </w:rPr>
              <w:t>סטאפילוקוקוס</w:t>
            </w:r>
            <w:proofErr w:type="spellEnd"/>
            <w:r w:rsidRPr="00BB0E0E">
              <w:rPr>
                <w:sz w:val="26"/>
                <w:rtl/>
              </w:rPr>
              <w:t xml:space="preserve"> </w:t>
            </w:r>
            <w:proofErr w:type="spellStart"/>
            <w:r w:rsidRPr="00BB0E0E">
              <w:rPr>
                <w:sz w:val="26"/>
                <w:rtl/>
              </w:rPr>
              <w:t>אוראוס</w:t>
            </w:r>
            <w:proofErr w:type="spellEnd"/>
            <w:r w:rsidRPr="00BB0E0E">
              <w:rPr>
                <w:sz w:val="26"/>
                <w:rtl/>
              </w:rPr>
              <w:t xml:space="preserve"> בעלי פעילות </w:t>
            </w:r>
            <w:proofErr w:type="spellStart"/>
            <w:r w:rsidRPr="00BB0E0E">
              <w:rPr>
                <w:sz w:val="26"/>
                <w:rtl/>
              </w:rPr>
              <w:t>קואגולאוז</w:t>
            </w:r>
            <w:proofErr w:type="spellEnd"/>
            <w:r w:rsidRPr="00BB0E0E">
              <w:rPr>
                <w:sz w:val="26"/>
                <w:rtl/>
              </w:rPr>
              <w:t>, וסעיף 3.7 לעניין כושר השתמרות;";</w:t>
            </w:r>
          </w:p>
        </w:tc>
      </w:tr>
      <w:tr w:rsidR="00B0188D" w:rsidRPr="00BB0E0E" w14:paraId="216AC4E1" w14:textId="77777777">
        <w:trPr>
          <w:cantSplit/>
          <w:trHeight w:val="60"/>
        </w:trPr>
        <w:tc>
          <w:tcPr>
            <w:tcW w:w="1871" w:type="dxa"/>
          </w:tcPr>
          <w:p w14:paraId="2552557B" w14:textId="77777777" w:rsidR="00B0188D" w:rsidRPr="00BB0E0E" w:rsidRDefault="00B0188D">
            <w:pPr>
              <w:pStyle w:val="TableSideHeading"/>
              <w:rPr>
                <w:sz w:val="26"/>
              </w:rPr>
            </w:pPr>
          </w:p>
        </w:tc>
        <w:tc>
          <w:tcPr>
            <w:tcW w:w="624" w:type="dxa"/>
          </w:tcPr>
          <w:p w14:paraId="62A61571" w14:textId="77777777" w:rsidR="00B0188D" w:rsidRPr="00BB0E0E" w:rsidRDefault="00B0188D" w:rsidP="00B0188D">
            <w:pPr>
              <w:pStyle w:val="TableText"/>
              <w:rPr>
                <w:sz w:val="26"/>
              </w:rPr>
            </w:pPr>
          </w:p>
        </w:tc>
        <w:tc>
          <w:tcPr>
            <w:tcW w:w="624" w:type="dxa"/>
          </w:tcPr>
          <w:p w14:paraId="18916E03" w14:textId="77777777" w:rsidR="00B0188D" w:rsidRPr="00BB0E0E" w:rsidRDefault="00B0188D">
            <w:pPr>
              <w:pStyle w:val="TableText"/>
              <w:rPr>
                <w:sz w:val="26"/>
              </w:rPr>
            </w:pPr>
          </w:p>
        </w:tc>
        <w:tc>
          <w:tcPr>
            <w:tcW w:w="6522" w:type="dxa"/>
            <w:gridSpan w:val="3"/>
          </w:tcPr>
          <w:p w14:paraId="1E363A64" w14:textId="77777777" w:rsidR="00B0188D" w:rsidRPr="00BB0E0E" w:rsidRDefault="00B0188D" w:rsidP="004227B9">
            <w:pPr>
              <w:pStyle w:val="TableBlock"/>
              <w:tabs>
                <w:tab w:val="clear" w:pos="624"/>
              </w:tabs>
              <w:rPr>
                <w:sz w:val="26"/>
                <w:rtl/>
              </w:rPr>
            </w:pPr>
            <w:r w:rsidRPr="00BB0E0E">
              <w:rPr>
                <w:rFonts w:hint="cs"/>
                <w:sz w:val="26"/>
                <w:rtl/>
              </w:rPr>
              <w:t xml:space="preserve">(12) </w:t>
            </w:r>
            <w:r w:rsidR="009F4EE0" w:rsidRPr="00BB0E0E">
              <w:rPr>
                <w:rFonts w:hint="cs"/>
                <w:sz w:val="26"/>
                <w:rtl/>
              </w:rPr>
              <w:t xml:space="preserve">ת"י 431 </w:t>
            </w:r>
            <w:r w:rsidR="009F4EE0" w:rsidRPr="00BB0E0E">
              <w:rPr>
                <w:sz w:val="26"/>
                <w:rtl/>
              </w:rPr>
              <w:t>–</w:t>
            </w:r>
            <w:r w:rsidR="009F4EE0" w:rsidRPr="00BB0E0E">
              <w:rPr>
                <w:rFonts w:hint="cs"/>
                <w:sz w:val="26"/>
                <w:rtl/>
              </w:rPr>
              <w:t xml:space="preserve"> </w:t>
            </w:r>
            <w:r w:rsidR="00D04DA2" w:rsidRPr="00BB0E0E">
              <w:rPr>
                <w:rFonts w:hint="cs"/>
                <w:sz w:val="26"/>
                <w:rtl/>
              </w:rPr>
              <w:t>"</w:t>
            </w:r>
            <w:r w:rsidR="009F4EE0" w:rsidRPr="00BB0E0E">
              <w:rPr>
                <w:rFonts w:hint="cs"/>
                <w:sz w:val="26"/>
                <w:rtl/>
              </w:rPr>
              <w:t>מיונית ותחליבים אחרים של שמן במים המשמשים כממרחים או כרטבים</w:t>
            </w:r>
            <w:r w:rsidR="00D04DA2" w:rsidRPr="00BB0E0E">
              <w:rPr>
                <w:rFonts w:hint="cs"/>
                <w:sz w:val="26"/>
                <w:rtl/>
              </w:rPr>
              <w:t>"</w:t>
            </w:r>
            <w:r w:rsidR="00787AB5" w:rsidRPr="00BB0E0E">
              <w:rPr>
                <w:rFonts w:hint="cs"/>
                <w:sz w:val="26"/>
                <w:rtl/>
              </w:rPr>
              <w:t xml:space="preserve"> </w:t>
            </w:r>
            <w:r w:rsidR="0038261C" w:rsidRPr="00BB0E0E">
              <w:rPr>
                <w:sz w:val="26"/>
                <w:rtl/>
              </w:rPr>
              <w:t xml:space="preserve">- סעיף </w:t>
            </w:r>
            <w:r w:rsidR="00A453CF" w:rsidRPr="00BB0E0E">
              <w:rPr>
                <w:rFonts w:hint="cs"/>
                <w:sz w:val="26"/>
                <w:rtl/>
              </w:rPr>
              <w:t xml:space="preserve">3.2.3 </w:t>
            </w:r>
            <w:r w:rsidR="00FF0CC2" w:rsidRPr="00BB0E0E">
              <w:rPr>
                <w:rFonts w:hint="cs"/>
                <w:sz w:val="26"/>
                <w:rtl/>
              </w:rPr>
              <w:t xml:space="preserve">בעניין </w:t>
            </w:r>
            <w:r w:rsidRPr="00BB0E0E">
              <w:rPr>
                <w:rFonts w:hint="cs"/>
                <w:sz w:val="26"/>
                <w:rtl/>
              </w:rPr>
              <w:t>ערך</w:t>
            </w:r>
            <w:r w:rsidR="00A453CF" w:rsidRPr="00BB0E0E">
              <w:rPr>
                <w:rFonts w:hint="cs"/>
                <w:sz w:val="26"/>
                <w:rtl/>
              </w:rPr>
              <w:t xml:space="preserve"> מרבי ל-</w:t>
            </w:r>
            <w:r w:rsidRPr="00BB0E0E">
              <w:rPr>
                <w:rFonts w:hint="cs"/>
                <w:sz w:val="26"/>
              </w:rPr>
              <w:t>PH</w:t>
            </w:r>
            <w:r w:rsidRPr="00BB0E0E">
              <w:rPr>
                <w:sz w:val="26"/>
              </w:rPr>
              <w:t xml:space="preserve"> </w:t>
            </w:r>
            <w:r w:rsidRPr="00BB0E0E">
              <w:rPr>
                <w:rFonts w:hint="cs"/>
                <w:sz w:val="26"/>
                <w:rtl/>
              </w:rPr>
              <w:t>;</w:t>
            </w:r>
          </w:p>
        </w:tc>
      </w:tr>
      <w:tr w:rsidR="00B0188D" w:rsidRPr="00BB0E0E" w14:paraId="53E95FE1" w14:textId="77777777">
        <w:trPr>
          <w:cantSplit/>
          <w:trHeight w:val="60"/>
        </w:trPr>
        <w:tc>
          <w:tcPr>
            <w:tcW w:w="1871" w:type="dxa"/>
          </w:tcPr>
          <w:p w14:paraId="180FA835" w14:textId="77777777" w:rsidR="00B0188D" w:rsidRPr="00BB0E0E" w:rsidRDefault="00B0188D">
            <w:pPr>
              <w:pStyle w:val="TableSideHeading"/>
              <w:rPr>
                <w:sz w:val="26"/>
              </w:rPr>
            </w:pPr>
          </w:p>
        </w:tc>
        <w:tc>
          <w:tcPr>
            <w:tcW w:w="624" w:type="dxa"/>
          </w:tcPr>
          <w:p w14:paraId="2BB4C323" w14:textId="77777777" w:rsidR="00B0188D" w:rsidRPr="00BB0E0E" w:rsidRDefault="00B0188D" w:rsidP="00B0188D">
            <w:pPr>
              <w:pStyle w:val="TableText"/>
              <w:rPr>
                <w:sz w:val="26"/>
              </w:rPr>
            </w:pPr>
          </w:p>
        </w:tc>
        <w:tc>
          <w:tcPr>
            <w:tcW w:w="624" w:type="dxa"/>
          </w:tcPr>
          <w:p w14:paraId="50AECCF0" w14:textId="77777777" w:rsidR="00B0188D" w:rsidRPr="00BB0E0E" w:rsidRDefault="00B0188D">
            <w:pPr>
              <w:pStyle w:val="TableText"/>
              <w:rPr>
                <w:sz w:val="26"/>
              </w:rPr>
            </w:pPr>
          </w:p>
        </w:tc>
        <w:tc>
          <w:tcPr>
            <w:tcW w:w="6522" w:type="dxa"/>
            <w:gridSpan w:val="3"/>
          </w:tcPr>
          <w:p w14:paraId="5CF8E801" w14:textId="77777777" w:rsidR="00B0188D" w:rsidRPr="00BB0E0E" w:rsidRDefault="00B0188D" w:rsidP="00787AB5">
            <w:pPr>
              <w:pStyle w:val="TableBlock"/>
              <w:tabs>
                <w:tab w:val="clear" w:pos="624"/>
              </w:tabs>
              <w:rPr>
                <w:sz w:val="26"/>
                <w:rtl/>
              </w:rPr>
            </w:pPr>
            <w:r w:rsidRPr="00BB0E0E">
              <w:rPr>
                <w:rFonts w:hint="cs"/>
                <w:sz w:val="26"/>
                <w:rtl/>
              </w:rPr>
              <w:t xml:space="preserve">(13) </w:t>
            </w:r>
            <w:r w:rsidR="009F4EE0" w:rsidRPr="00BB0E0E">
              <w:rPr>
                <w:rFonts w:hint="cs"/>
                <w:sz w:val="26"/>
                <w:rtl/>
              </w:rPr>
              <w:t xml:space="preserve">ת"י 476 </w:t>
            </w:r>
            <w:r w:rsidR="009F4EE0" w:rsidRPr="00BB0E0E">
              <w:rPr>
                <w:sz w:val="26"/>
                <w:rtl/>
              </w:rPr>
              <w:t>–</w:t>
            </w:r>
            <w:r w:rsidR="009F4EE0" w:rsidRPr="00BB0E0E">
              <w:rPr>
                <w:rFonts w:hint="cs"/>
                <w:sz w:val="26"/>
                <w:rtl/>
              </w:rPr>
              <w:t xml:space="preserve"> </w:t>
            </w:r>
            <w:r w:rsidR="00D04DA2" w:rsidRPr="00BB0E0E">
              <w:rPr>
                <w:rFonts w:hint="cs"/>
                <w:sz w:val="26"/>
                <w:rtl/>
              </w:rPr>
              <w:t>"</w:t>
            </w:r>
            <w:r w:rsidR="009F4EE0" w:rsidRPr="00BB0E0E">
              <w:rPr>
                <w:rFonts w:hint="cs"/>
                <w:sz w:val="26"/>
                <w:rtl/>
              </w:rPr>
              <w:t>חרדל וממרח-חרדל</w:t>
            </w:r>
            <w:r w:rsidR="00D04DA2" w:rsidRPr="00BB0E0E">
              <w:rPr>
                <w:rFonts w:hint="cs"/>
                <w:sz w:val="26"/>
                <w:rtl/>
              </w:rPr>
              <w:t>"</w:t>
            </w:r>
            <w:r w:rsidR="00787AB5" w:rsidRPr="00BB0E0E">
              <w:rPr>
                <w:rFonts w:hint="cs"/>
                <w:sz w:val="26"/>
                <w:rtl/>
              </w:rPr>
              <w:t xml:space="preserve"> - </w:t>
            </w:r>
            <w:r w:rsidRPr="00BB0E0E">
              <w:rPr>
                <w:rFonts w:hint="cs"/>
                <w:sz w:val="26"/>
                <w:rtl/>
              </w:rPr>
              <w:t>סעיף</w:t>
            </w:r>
            <w:r w:rsidR="00FA4AEA" w:rsidRPr="00BB0E0E">
              <w:rPr>
                <w:sz w:val="26"/>
                <w:rtl/>
              </w:rPr>
              <w:t xml:space="preserve">  </w:t>
            </w:r>
            <w:r w:rsidR="00A453CF" w:rsidRPr="00BB0E0E">
              <w:rPr>
                <w:rFonts w:hint="cs"/>
                <w:sz w:val="26"/>
                <w:rtl/>
              </w:rPr>
              <w:t>202</w:t>
            </w:r>
            <w:r w:rsidR="00000103" w:rsidRPr="00BB0E0E">
              <w:rPr>
                <w:rFonts w:hint="cs"/>
                <w:sz w:val="26"/>
                <w:rtl/>
              </w:rPr>
              <w:t xml:space="preserve"> טבלה 3, </w:t>
            </w:r>
            <w:r w:rsidR="000A5F73" w:rsidRPr="00BB0E0E">
              <w:rPr>
                <w:rFonts w:hint="cs"/>
                <w:sz w:val="26"/>
                <w:rtl/>
              </w:rPr>
              <w:t>בעניין</w:t>
            </w:r>
            <w:r w:rsidRPr="00BB0E0E">
              <w:rPr>
                <w:rFonts w:hint="cs"/>
                <w:sz w:val="26"/>
                <w:rtl/>
              </w:rPr>
              <w:t xml:space="preserve"> ערך</w:t>
            </w:r>
            <w:r w:rsidR="00000103" w:rsidRPr="00BB0E0E">
              <w:rPr>
                <w:rFonts w:hint="cs"/>
                <w:sz w:val="26"/>
                <w:rtl/>
              </w:rPr>
              <w:t xml:space="preserve"> מרבי ל-</w:t>
            </w:r>
            <w:r w:rsidRPr="00BB0E0E">
              <w:rPr>
                <w:rFonts w:hint="cs"/>
                <w:sz w:val="26"/>
              </w:rPr>
              <w:t>PH</w:t>
            </w:r>
            <w:r w:rsidRPr="00BB0E0E">
              <w:rPr>
                <w:sz w:val="26"/>
              </w:rPr>
              <w:t xml:space="preserve"> </w:t>
            </w:r>
            <w:r w:rsidR="00FA4AEA" w:rsidRPr="00BB0E0E">
              <w:rPr>
                <w:rFonts w:hint="cs"/>
                <w:sz w:val="26"/>
                <w:rtl/>
              </w:rPr>
              <w:t xml:space="preserve"> </w:t>
            </w:r>
            <w:r w:rsidRPr="00BB0E0E">
              <w:rPr>
                <w:rFonts w:hint="cs"/>
                <w:sz w:val="26"/>
                <w:rtl/>
              </w:rPr>
              <w:t>;</w:t>
            </w:r>
          </w:p>
        </w:tc>
      </w:tr>
      <w:tr w:rsidR="00B0188D" w:rsidRPr="00BB0E0E" w14:paraId="02EC9396" w14:textId="77777777">
        <w:trPr>
          <w:cantSplit/>
          <w:trHeight w:val="60"/>
        </w:trPr>
        <w:tc>
          <w:tcPr>
            <w:tcW w:w="1871" w:type="dxa"/>
          </w:tcPr>
          <w:p w14:paraId="3B101BB2" w14:textId="77777777" w:rsidR="00B0188D" w:rsidRPr="00BB0E0E" w:rsidRDefault="00B0188D">
            <w:pPr>
              <w:pStyle w:val="TableSideHeading"/>
              <w:rPr>
                <w:sz w:val="26"/>
              </w:rPr>
            </w:pPr>
          </w:p>
        </w:tc>
        <w:tc>
          <w:tcPr>
            <w:tcW w:w="624" w:type="dxa"/>
          </w:tcPr>
          <w:p w14:paraId="74035726" w14:textId="77777777" w:rsidR="00B0188D" w:rsidRPr="00BB0E0E" w:rsidRDefault="00B0188D" w:rsidP="00B0188D">
            <w:pPr>
              <w:pStyle w:val="TableText"/>
              <w:rPr>
                <w:sz w:val="26"/>
              </w:rPr>
            </w:pPr>
          </w:p>
        </w:tc>
        <w:tc>
          <w:tcPr>
            <w:tcW w:w="624" w:type="dxa"/>
          </w:tcPr>
          <w:p w14:paraId="3F3344B1" w14:textId="77777777" w:rsidR="00B0188D" w:rsidRPr="00BB0E0E" w:rsidRDefault="00B0188D">
            <w:pPr>
              <w:pStyle w:val="TableText"/>
              <w:rPr>
                <w:sz w:val="26"/>
              </w:rPr>
            </w:pPr>
          </w:p>
        </w:tc>
        <w:tc>
          <w:tcPr>
            <w:tcW w:w="6522" w:type="dxa"/>
            <w:gridSpan w:val="3"/>
          </w:tcPr>
          <w:p w14:paraId="2CDF05C1" w14:textId="77777777" w:rsidR="00B0188D" w:rsidRPr="00BB0E0E" w:rsidRDefault="00B0188D" w:rsidP="007F1329">
            <w:pPr>
              <w:pStyle w:val="TableBlock"/>
              <w:tabs>
                <w:tab w:val="clear" w:pos="624"/>
              </w:tabs>
              <w:rPr>
                <w:sz w:val="26"/>
                <w:rtl/>
              </w:rPr>
            </w:pPr>
            <w:r w:rsidRPr="00BB0E0E">
              <w:rPr>
                <w:rFonts w:hint="cs"/>
                <w:sz w:val="26"/>
                <w:rtl/>
              </w:rPr>
              <w:t>(</w:t>
            </w:r>
            <w:r w:rsidRPr="00E213C0">
              <w:rPr>
                <w:rFonts w:hint="cs"/>
                <w:sz w:val="26"/>
                <w:rtl/>
              </w:rPr>
              <w:t>14) ת"י 52</w:t>
            </w:r>
            <w:r w:rsidR="00D04DA2" w:rsidRPr="00E213C0">
              <w:rPr>
                <w:rFonts w:hint="cs"/>
                <w:sz w:val="26"/>
                <w:rtl/>
              </w:rPr>
              <w:t xml:space="preserve"> - </w:t>
            </w:r>
            <w:r w:rsidRPr="00E213C0">
              <w:rPr>
                <w:rFonts w:hint="cs"/>
                <w:sz w:val="26"/>
                <w:rtl/>
              </w:rPr>
              <w:t xml:space="preserve"> "מיצי פירות </w:t>
            </w:r>
            <w:proofErr w:type="spellStart"/>
            <w:r w:rsidRPr="00E213C0">
              <w:rPr>
                <w:rFonts w:hint="cs"/>
                <w:sz w:val="26"/>
                <w:rtl/>
              </w:rPr>
              <w:t>ונקטרי</w:t>
            </w:r>
            <w:proofErr w:type="spellEnd"/>
            <w:r w:rsidRPr="00E213C0">
              <w:rPr>
                <w:rFonts w:hint="cs"/>
                <w:sz w:val="26"/>
                <w:rtl/>
              </w:rPr>
              <w:t xml:space="preserve"> פירות"</w:t>
            </w:r>
            <w:r w:rsidR="00FF0CC2" w:rsidRPr="00E213C0">
              <w:rPr>
                <w:rFonts w:hint="cs"/>
                <w:sz w:val="26"/>
                <w:rtl/>
              </w:rPr>
              <w:t xml:space="preserve"> </w:t>
            </w:r>
            <w:r w:rsidR="006F0B7F" w:rsidRPr="00E213C0">
              <w:rPr>
                <w:rFonts w:hint="cs"/>
                <w:sz w:val="26"/>
                <w:rtl/>
              </w:rPr>
              <w:t xml:space="preserve">(מהדורת 2020) </w:t>
            </w:r>
            <w:r w:rsidRPr="00E213C0">
              <w:rPr>
                <w:rFonts w:hint="cs"/>
                <w:sz w:val="26"/>
                <w:rtl/>
              </w:rPr>
              <w:t xml:space="preserve">- </w:t>
            </w:r>
            <w:r w:rsidR="003B5193" w:rsidRPr="00E213C0">
              <w:rPr>
                <w:sz w:val="26"/>
                <w:rtl/>
              </w:rPr>
              <w:t xml:space="preserve">סעיף 3.2 - </w:t>
            </w:r>
            <w:r w:rsidR="003B5193" w:rsidRPr="00E213C0">
              <w:rPr>
                <w:sz w:val="26"/>
              </w:rPr>
              <w:t>QUALITY CRITERIA</w:t>
            </w:r>
            <w:r w:rsidR="003B5193" w:rsidRPr="00E213C0">
              <w:rPr>
                <w:sz w:val="26"/>
                <w:rtl/>
              </w:rPr>
              <w:t xml:space="preserve">, </w:t>
            </w:r>
            <w:r w:rsidR="003B5193" w:rsidRPr="00E213C0">
              <w:rPr>
                <w:rFonts w:hint="cs"/>
                <w:sz w:val="26"/>
                <w:rtl/>
              </w:rPr>
              <w:t>מה</w:t>
            </w:r>
            <w:r w:rsidR="003B5193" w:rsidRPr="00E213C0">
              <w:rPr>
                <w:sz w:val="26"/>
                <w:rtl/>
              </w:rPr>
              <w:t xml:space="preserve">מילים "מיצי הפירות </w:t>
            </w:r>
            <w:proofErr w:type="spellStart"/>
            <w:r w:rsidR="003B5193" w:rsidRPr="00E213C0">
              <w:rPr>
                <w:sz w:val="26"/>
                <w:rtl/>
              </w:rPr>
              <w:t>ונקטרי</w:t>
            </w:r>
            <w:proofErr w:type="spellEnd"/>
            <w:r w:rsidR="003B5193" w:rsidRPr="00E213C0">
              <w:rPr>
                <w:sz w:val="26"/>
                <w:rtl/>
              </w:rPr>
              <w:t xml:space="preserve"> הפירות בעלי ערך הגבה (</w:t>
            </w:r>
            <w:r w:rsidR="003B5193" w:rsidRPr="00E213C0">
              <w:rPr>
                <w:sz w:val="26"/>
              </w:rPr>
              <w:t>pH</w:t>
            </w:r>
            <w:r w:rsidR="003B5193" w:rsidRPr="00E213C0">
              <w:rPr>
                <w:sz w:val="26"/>
                <w:rtl/>
              </w:rPr>
              <w:t>) הקטן מ-4.5" עד המילים "בדרישות המפורטות בסעיף 7.3 בתקן זה".</w:t>
            </w:r>
          </w:p>
        </w:tc>
      </w:tr>
      <w:tr w:rsidR="00B0188D" w:rsidRPr="00BB0E0E" w14:paraId="638E1E8A" w14:textId="77777777">
        <w:trPr>
          <w:cantSplit/>
          <w:trHeight w:val="60"/>
        </w:trPr>
        <w:tc>
          <w:tcPr>
            <w:tcW w:w="1871" w:type="dxa"/>
          </w:tcPr>
          <w:p w14:paraId="48E68622" w14:textId="77777777" w:rsidR="00B0188D" w:rsidRPr="00BB0E0E" w:rsidRDefault="00B0188D">
            <w:pPr>
              <w:pStyle w:val="TableSideHeading"/>
              <w:rPr>
                <w:sz w:val="26"/>
              </w:rPr>
            </w:pPr>
          </w:p>
        </w:tc>
        <w:tc>
          <w:tcPr>
            <w:tcW w:w="624" w:type="dxa"/>
          </w:tcPr>
          <w:p w14:paraId="4EB49960" w14:textId="77777777" w:rsidR="00B0188D" w:rsidRPr="00BB0E0E" w:rsidRDefault="00B0188D" w:rsidP="00B0188D">
            <w:pPr>
              <w:pStyle w:val="TableText"/>
              <w:rPr>
                <w:sz w:val="26"/>
              </w:rPr>
            </w:pPr>
          </w:p>
        </w:tc>
        <w:tc>
          <w:tcPr>
            <w:tcW w:w="624" w:type="dxa"/>
          </w:tcPr>
          <w:p w14:paraId="016CCC40" w14:textId="77777777" w:rsidR="00B0188D" w:rsidRPr="00BB0E0E" w:rsidRDefault="00B0188D">
            <w:pPr>
              <w:pStyle w:val="TableText"/>
              <w:rPr>
                <w:sz w:val="26"/>
              </w:rPr>
            </w:pPr>
          </w:p>
        </w:tc>
        <w:tc>
          <w:tcPr>
            <w:tcW w:w="6522" w:type="dxa"/>
            <w:gridSpan w:val="3"/>
          </w:tcPr>
          <w:p w14:paraId="45E45498" w14:textId="1E9C20E3" w:rsidR="00B0188D" w:rsidRPr="00BB0E0E" w:rsidRDefault="007F1329" w:rsidP="00BB0E0E">
            <w:pPr>
              <w:pStyle w:val="TableBlock"/>
              <w:tabs>
                <w:tab w:val="clear" w:pos="624"/>
              </w:tabs>
              <w:rPr>
                <w:sz w:val="26"/>
                <w:rtl/>
              </w:rPr>
            </w:pPr>
            <w:r w:rsidRPr="00BB0E0E">
              <w:rPr>
                <w:rFonts w:hint="cs"/>
                <w:sz w:val="26"/>
                <w:rtl/>
              </w:rPr>
              <w:t xml:space="preserve">(15) </w:t>
            </w:r>
            <w:r w:rsidR="009F4EE0" w:rsidRPr="00BB0E0E">
              <w:rPr>
                <w:rFonts w:ascii="David" w:eastAsiaTheme="minorHAnsi" w:hAnsi="David" w:hint="cs"/>
                <w:snapToGrid/>
                <w:sz w:val="26"/>
                <w:rtl/>
              </w:rPr>
              <w:t xml:space="preserve">ת"י 1254 </w:t>
            </w:r>
            <w:r w:rsidR="009F4EE0" w:rsidRPr="00BB0E0E">
              <w:rPr>
                <w:rFonts w:ascii="David" w:eastAsiaTheme="minorHAnsi" w:hAnsi="David"/>
                <w:snapToGrid/>
                <w:sz w:val="26"/>
                <w:rtl/>
              </w:rPr>
              <w:t>–</w:t>
            </w:r>
            <w:r w:rsidR="009F4EE0" w:rsidRPr="00BB0E0E">
              <w:rPr>
                <w:rFonts w:ascii="David" w:eastAsiaTheme="minorHAnsi" w:hAnsi="David" w:hint="cs"/>
                <w:snapToGrid/>
                <w:sz w:val="26"/>
                <w:rtl/>
              </w:rPr>
              <w:t xml:space="preserve"> </w:t>
            </w:r>
            <w:r w:rsidR="00D04DA2" w:rsidRPr="00BB0E0E">
              <w:rPr>
                <w:rFonts w:ascii="David" w:eastAsiaTheme="minorHAnsi" w:hAnsi="David" w:hint="cs"/>
                <w:snapToGrid/>
                <w:sz w:val="26"/>
                <w:rtl/>
              </w:rPr>
              <w:t>"</w:t>
            </w:r>
            <w:r w:rsidR="009F4EE0" w:rsidRPr="00BB0E0E">
              <w:rPr>
                <w:rFonts w:ascii="David" w:eastAsiaTheme="minorHAnsi" w:hAnsi="David" w:hint="cs"/>
                <w:snapToGrid/>
                <w:sz w:val="26"/>
                <w:rtl/>
              </w:rPr>
              <w:t xml:space="preserve">סלטים מחומרים צמחיים המשומרים באחסון בקירור, בתוספת </w:t>
            </w:r>
            <w:r w:rsidR="00BB0E0E" w:rsidRPr="00BB0E0E">
              <w:rPr>
                <w:rFonts w:ascii="David" w:eastAsiaTheme="minorHAnsi" w:hAnsi="David" w:hint="cs"/>
                <w:snapToGrid/>
                <w:sz w:val="26"/>
                <w:rtl/>
              </w:rPr>
              <w:t xml:space="preserve">חומר </w:t>
            </w:r>
            <w:r w:rsidR="009F4EE0" w:rsidRPr="00BB0E0E">
              <w:rPr>
                <w:rFonts w:ascii="David" w:eastAsiaTheme="minorHAnsi" w:hAnsi="David" w:hint="cs"/>
                <w:snapToGrid/>
                <w:sz w:val="26"/>
                <w:rtl/>
              </w:rPr>
              <w:t>משמר או בלעדיו</w:t>
            </w:r>
            <w:r w:rsidR="00D04DA2" w:rsidRPr="00BB0E0E">
              <w:rPr>
                <w:rFonts w:ascii="David" w:eastAsiaTheme="minorHAnsi" w:hAnsi="David" w:hint="cs"/>
                <w:snapToGrid/>
                <w:sz w:val="26"/>
                <w:rtl/>
              </w:rPr>
              <w:t>"</w:t>
            </w:r>
            <w:r w:rsidR="009F4EE0" w:rsidRPr="00BB0E0E">
              <w:rPr>
                <w:rFonts w:ascii="David" w:eastAsiaTheme="minorHAnsi" w:hAnsi="David" w:hint="cs"/>
                <w:snapToGrid/>
                <w:sz w:val="26"/>
                <w:rtl/>
              </w:rPr>
              <w:t xml:space="preserve"> </w:t>
            </w:r>
            <w:r w:rsidR="00FF0CC2" w:rsidRPr="00BB0E0E">
              <w:rPr>
                <w:rFonts w:hint="cs"/>
                <w:sz w:val="26"/>
                <w:rtl/>
              </w:rPr>
              <w:t xml:space="preserve">- </w:t>
            </w:r>
            <w:r w:rsidR="00B0188D" w:rsidRPr="00BB0E0E">
              <w:rPr>
                <w:rFonts w:hint="cs"/>
                <w:sz w:val="26"/>
                <w:rtl/>
              </w:rPr>
              <w:t xml:space="preserve">סעיף </w:t>
            </w:r>
            <w:r w:rsidR="005B7DAE" w:rsidRPr="00BB0E0E">
              <w:rPr>
                <w:rFonts w:hint="cs"/>
                <w:sz w:val="26"/>
                <w:rtl/>
              </w:rPr>
              <w:t xml:space="preserve">3.4 </w:t>
            </w:r>
            <w:r w:rsidR="00B0188D" w:rsidRPr="00BB0E0E">
              <w:rPr>
                <w:rFonts w:hint="cs"/>
                <w:sz w:val="26"/>
                <w:rtl/>
              </w:rPr>
              <w:t xml:space="preserve">בעניין דרישות מיקרוביולוגיות </w:t>
            </w:r>
            <w:r w:rsidR="00FF0CC2" w:rsidRPr="00BB0E0E">
              <w:rPr>
                <w:rFonts w:hint="cs"/>
                <w:sz w:val="26"/>
                <w:rtl/>
              </w:rPr>
              <w:t>ו</w:t>
            </w:r>
            <w:r w:rsidR="00B0188D" w:rsidRPr="00BB0E0E">
              <w:rPr>
                <w:rFonts w:hint="cs"/>
                <w:sz w:val="26"/>
                <w:rtl/>
              </w:rPr>
              <w:t xml:space="preserve">סעיף 3.3 </w:t>
            </w:r>
            <w:r w:rsidR="00FF0CC2" w:rsidRPr="00BB0E0E">
              <w:rPr>
                <w:rFonts w:hint="cs"/>
                <w:sz w:val="26"/>
                <w:rtl/>
              </w:rPr>
              <w:t xml:space="preserve">בעניין </w:t>
            </w:r>
            <w:r w:rsidR="00B0188D" w:rsidRPr="00BB0E0E">
              <w:rPr>
                <w:rFonts w:hint="cs"/>
                <w:sz w:val="26"/>
                <w:rtl/>
              </w:rPr>
              <w:t xml:space="preserve">ערך </w:t>
            </w:r>
            <w:r w:rsidR="00B0188D" w:rsidRPr="00BB0E0E">
              <w:rPr>
                <w:rFonts w:hint="cs"/>
                <w:sz w:val="26"/>
              </w:rPr>
              <w:t>PH</w:t>
            </w:r>
            <w:r w:rsidR="000B357A" w:rsidRPr="00BB0E0E">
              <w:rPr>
                <w:rFonts w:hint="cs"/>
                <w:sz w:val="26"/>
                <w:rtl/>
              </w:rPr>
              <w:t>.</w:t>
            </w:r>
            <w:r w:rsidR="00B0188D" w:rsidRPr="00BB0E0E">
              <w:rPr>
                <w:rFonts w:hint="cs"/>
                <w:sz w:val="26"/>
                <w:rtl/>
              </w:rPr>
              <w:t xml:space="preserve"> </w:t>
            </w:r>
          </w:p>
        </w:tc>
      </w:tr>
      <w:tr w:rsidR="007F1329" w:rsidRPr="00BB0E0E" w14:paraId="45C3023B" w14:textId="77777777">
        <w:trPr>
          <w:cantSplit/>
          <w:trHeight w:val="60"/>
        </w:trPr>
        <w:tc>
          <w:tcPr>
            <w:tcW w:w="1871" w:type="dxa"/>
          </w:tcPr>
          <w:p w14:paraId="5E3678D6" w14:textId="77777777" w:rsidR="007F1329" w:rsidRPr="00BB0E0E" w:rsidRDefault="007F1329">
            <w:pPr>
              <w:pStyle w:val="TableSideHeading"/>
              <w:rPr>
                <w:sz w:val="26"/>
              </w:rPr>
            </w:pPr>
          </w:p>
        </w:tc>
        <w:tc>
          <w:tcPr>
            <w:tcW w:w="624" w:type="dxa"/>
          </w:tcPr>
          <w:p w14:paraId="6AC68860" w14:textId="77777777" w:rsidR="007F1329" w:rsidRPr="00BB0E0E" w:rsidRDefault="007F1329" w:rsidP="00B0188D">
            <w:pPr>
              <w:pStyle w:val="TableText"/>
              <w:rPr>
                <w:sz w:val="26"/>
              </w:rPr>
            </w:pPr>
          </w:p>
        </w:tc>
        <w:tc>
          <w:tcPr>
            <w:tcW w:w="624" w:type="dxa"/>
          </w:tcPr>
          <w:p w14:paraId="5D6AB486" w14:textId="77777777" w:rsidR="007F1329" w:rsidRPr="00BB0E0E" w:rsidRDefault="007F1329" w:rsidP="00AB3FD1">
            <w:pPr>
              <w:pStyle w:val="TableText"/>
              <w:rPr>
                <w:sz w:val="26"/>
              </w:rPr>
            </w:pPr>
            <w:r w:rsidRPr="00BB0E0E">
              <w:rPr>
                <w:rFonts w:hint="cs"/>
                <w:sz w:val="26"/>
                <w:rtl/>
              </w:rPr>
              <w:t>(</w:t>
            </w:r>
            <w:r w:rsidR="00AB3FD1" w:rsidRPr="00BB0E0E">
              <w:rPr>
                <w:rFonts w:hint="cs"/>
                <w:sz w:val="26"/>
                <w:rtl/>
              </w:rPr>
              <w:t>ב</w:t>
            </w:r>
            <w:r w:rsidRPr="00BB0E0E">
              <w:rPr>
                <w:rFonts w:hint="cs"/>
                <w:sz w:val="26"/>
                <w:rtl/>
              </w:rPr>
              <w:t>)</w:t>
            </w:r>
          </w:p>
        </w:tc>
        <w:tc>
          <w:tcPr>
            <w:tcW w:w="6522" w:type="dxa"/>
            <w:gridSpan w:val="3"/>
          </w:tcPr>
          <w:p w14:paraId="619C5703" w14:textId="30F98541" w:rsidR="007F1329" w:rsidRPr="00BB0E0E" w:rsidRDefault="007F1329" w:rsidP="00C21B5A">
            <w:pPr>
              <w:pStyle w:val="TableBlock"/>
              <w:tabs>
                <w:tab w:val="clear" w:pos="624"/>
              </w:tabs>
              <w:rPr>
                <w:sz w:val="26"/>
                <w:rtl/>
              </w:rPr>
            </w:pPr>
            <w:r w:rsidRPr="00BB0E0E">
              <w:rPr>
                <w:sz w:val="26"/>
                <w:rtl/>
              </w:rPr>
              <w:t>יצרן או יבואן</w:t>
            </w:r>
            <w:r w:rsidR="009647C3" w:rsidRPr="00BB0E0E">
              <w:rPr>
                <w:rFonts w:hint="cs"/>
                <w:sz w:val="26"/>
                <w:rtl/>
              </w:rPr>
              <w:t xml:space="preserve"> מזון</w:t>
            </w:r>
            <w:r w:rsidRPr="00BB0E0E">
              <w:rPr>
                <w:sz w:val="26"/>
                <w:rtl/>
              </w:rPr>
              <w:t xml:space="preserve">, למעט יבואן במסלול האירופי, רשאי להודיע בטופס מקוון שיגיש דרך אתר האינטרנט עד יום כ"א בכסלו </w:t>
            </w:r>
            <w:proofErr w:type="spellStart"/>
            <w:r w:rsidRPr="00BB0E0E">
              <w:rPr>
                <w:sz w:val="26"/>
                <w:rtl/>
              </w:rPr>
              <w:t>התשפ"ג</w:t>
            </w:r>
            <w:proofErr w:type="spellEnd"/>
            <w:r w:rsidRPr="00BB0E0E">
              <w:rPr>
                <w:sz w:val="26"/>
                <w:rtl/>
              </w:rPr>
              <w:t xml:space="preserve"> (15 בדצמבר 2022) </w:t>
            </w:r>
            <w:r w:rsidR="00F47C27" w:rsidRPr="00BB0E0E">
              <w:rPr>
                <w:rFonts w:hint="cs"/>
                <w:sz w:val="26"/>
                <w:rtl/>
              </w:rPr>
              <w:t>או</w:t>
            </w:r>
            <w:r w:rsidR="00E213C0">
              <w:rPr>
                <w:rFonts w:hint="cs"/>
                <w:sz w:val="26"/>
                <w:rtl/>
              </w:rPr>
              <w:t xml:space="preserve"> עד </w:t>
            </w:r>
            <w:r w:rsidR="00F47C27" w:rsidRPr="00BB0E0E">
              <w:rPr>
                <w:rFonts w:hint="cs"/>
                <w:sz w:val="26"/>
                <w:rtl/>
              </w:rPr>
              <w:t>14</w:t>
            </w:r>
            <w:r w:rsidR="00E213C0">
              <w:rPr>
                <w:rFonts w:hint="cs"/>
                <w:sz w:val="26"/>
                <w:rtl/>
              </w:rPr>
              <w:t xml:space="preserve"> </w:t>
            </w:r>
            <w:r w:rsidR="00F47C27" w:rsidRPr="00BB0E0E">
              <w:rPr>
                <w:rFonts w:hint="cs"/>
                <w:sz w:val="26"/>
                <w:rtl/>
              </w:rPr>
              <w:t>ימים לאחר יום פרסום</w:t>
            </w:r>
            <w:r w:rsidR="00E213C0">
              <w:rPr>
                <w:rFonts w:hint="cs"/>
                <w:sz w:val="26"/>
                <w:rtl/>
              </w:rPr>
              <w:t xml:space="preserve"> הצו ברשומות</w:t>
            </w:r>
            <w:r w:rsidR="00F47C27" w:rsidRPr="00BB0E0E">
              <w:rPr>
                <w:rFonts w:hint="cs"/>
                <w:sz w:val="26"/>
                <w:rtl/>
              </w:rPr>
              <w:t xml:space="preserve">, לפי המאוחר </w:t>
            </w:r>
            <w:r w:rsidRPr="00BB0E0E">
              <w:rPr>
                <w:sz w:val="26"/>
                <w:rtl/>
              </w:rPr>
              <w:t xml:space="preserve">(בסעיף קטן זה – ההודעה), על כוונתו להמשיך לפעול, לעניין מוצר מזון מסוים, לפי הדין הקיים </w:t>
            </w:r>
            <w:r w:rsidR="009647C3" w:rsidRPr="00BB0E0E">
              <w:rPr>
                <w:rFonts w:hint="cs"/>
                <w:sz w:val="26"/>
                <w:rtl/>
              </w:rPr>
              <w:t>ערב יום התחילה</w:t>
            </w:r>
            <w:r w:rsidRPr="00BB0E0E">
              <w:rPr>
                <w:sz w:val="26"/>
                <w:rtl/>
              </w:rPr>
              <w:t xml:space="preserve">, בנושאים שלגביהם הוחלו הוראות טור א' לתוספת השנייה א' </w:t>
            </w:r>
            <w:r w:rsidRPr="00BB0E0E">
              <w:rPr>
                <w:rFonts w:hint="cs"/>
                <w:sz w:val="26"/>
                <w:rtl/>
              </w:rPr>
              <w:t>כנ</w:t>
            </w:r>
            <w:r w:rsidRPr="00BB0E0E">
              <w:rPr>
                <w:sz w:val="26"/>
                <w:rtl/>
              </w:rPr>
              <w:t>וסחה ב</w:t>
            </w:r>
            <w:r w:rsidRPr="00BB0E0E">
              <w:rPr>
                <w:rFonts w:hint="cs"/>
                <w:sz w:val="26"/>
                <w:rtl/>
              </w:rPr>
              <w:t xml:space="preserve">צו </w:t>
            </w:r>
            <w:r w:rsidRPr="00BB0E0E">
              <w:rPr>
                <w:sz w:val="26"/>
                <w:rtl/>
              </w:rPr>
              <w:t>זה,</w:t>
            </w:r>
            <w:r w:rsidR="00C77E36" w:rsidRPr="00BB0E0E">
              <w:rPr>
                <w:rFonts w:hint="cs"/>
                <w:sz w:val="26"/>
                <w:rtl/>
              </w:rPr>
              <w:t xml:space="preserve"> </w:t>
            </w:r>
            <w:r w:rsidR="004227B9">
              <w:rPr>
                <w:rFonts w:hint="cs"/>
                <w:sz w:val="26"/>
                <w:rtl/>
              </w:rPr>
              <w:t>והכל כ</w:t>
            </w:r>
            <w:r w:rsidR="00350889" w:rsidRPr="00BB0E0E">
              <w:rPr>
                <w:sz w:val="26"/>
                <w:rtl/>
              </w:rPr>
              <w:t xml:space="preserve">מפורט </w:t>
            </w:r>
            <w:r w:rsidR="00350889" w:rsidRPr="00E213C0">
              <w:rPr>
                <w:sz w:val="26"/>
                <w:rtl/>
              </w:rPr>
              <w:t xml:space="preserve">בטופס </w:t>
            </w:r>
            <w:r w:rsidR="00350889" w:rsidRPr="00E213C0">
              <w:rPr>
                <w:rFonts w:hint="cs"/>
                <w:sz w:val="26"/>
                <w:rtl/>
              </w:rPr>
              <w:t>המקוון</w:t>
            </w:r>
            <w:r w:rsidR="003B5193" w:rsidRPr="00E213C0">
              <w:rPr>
                <w:sz w:val="26"/>
                <w:rtl/>
              </w:rPr>
              <w:t>,</w:t>
            </w:r>
            <w:r w:rsidRPr="00E213C0">
              <w:rPr>
                <w:sz w:val="26"/>
                <w:rtl/>
              </w:rPr>
              <w:t xml:space="preserve"> וזאת</w:t>
            </w:r>
            <w:r w:rsidRPr="00BB0E0E">
              <w:rPr>
                <w:sz w:val="26"/>
                <w:rtl/>
              </w:rPr>
              <w:t xml:space="preserve"> מ</w:t>
            </w:r>
            <w:r w:rsidR="009647C3" w:rsidRPr="00BB0E0E">
              <w:rPr>
                <w:rFonts w:hint="cs"/>
                <w:sz w:val="26"/>
                <w:rtl/>
              </w:rPr>
              <w:t>יום</w:t>
            </w:r>
            <w:r w:rsidRPr="00BB0E0E">
              <w:rPr>
                <w:sz w:val="26"/>
                <w:rtl/>
              </w:rPr>
              <w:t xml:space="preserve"> התחילה כאמור עד מועד שיפרט בהודעה, ובלבד שלא יהיה מאוחר מתום שנה מיום התחילה; הודעה של יצרן</w:t>
            </w:r>
            <w:r w:rsidR="009647C3" w:rsidRPr="00BB0E0E">
              <w:rPr>
                <w:rFonts w:hint="cs"/>
                <w:sz w:val="26"/>
                <w:rtl/>
              </w:rPr>
              <w:t xml:space="preserve"> </w:t>
            </w:r>
            <w:r w:rsidRPr="00BB0E0E">
              <w:rPr>
                <w:sz w:val="26"/>
                <w:rtl/>
              </w:rPr>
              <w:t xml:space="preserve">לפי </w:t>
            </w:r>
            <w:r w:rsidR="00F47C27" w:rsidRPr="00BB0E0E">
              <w:rPr>
                <w:rFonts w:hint="cs"/>
                <w:sz w:val="26"/>
                <w:rtl/>
              </w:rPr>
              <w:t xml:space="preserve">סעיף קטן זה </w:t>
            </w:r>
            <w:r w:rsidRPr="00BB0E0E">
              <w:rPr>
                <w:sz w:val="26"/>
                <w:rtl/>
              </w:rPr>
              <w:t xml:space="preserve">תוגש לנותן רישיון ייצור, והודעה של יבואן לפי </w:t>
            </w:r>
            <w:r w:rsidR="00F47C27" w:rsidRPr="00BB0E0E">
              <w:rPr>
                <w:rFonts w:hint="cs"/>
                <w:sz w:val="26"/>
                <w:rtl/>
              </w:rPr>
              <w:t xml:space="preserve">סעיף קטן זה </w:t>
            </w:r>
            <w:r w:rsidRPr="00BB0E0E">
              <w:rPr>
                <w:sz w:val="26"/>
                <w:rtl/>
              </w:rPr>
              <w:t>תוגש לרשם</w:t>
            </w:r>
            <w:r w:rsidR="00C21B5A">
              <w:rPr>
                <w:rFonts w:hint="cs"/>
                <w:sz w:val="26"/>
                <w:rtl/>
              </w:rPr>
              <w:t>.</w:t>
            </w:r>
          </w:p>
        </w:tc>
      </w:tr>
    </w:tbl>
    <w:p w14:paraId="653959BD" w14:textId="77777777" w:rsidR="00207578" w:rsidRDefault="00207578" w:rsidP="001766A3">
      <w:pPr>
        <w:rPr>
          <w:sz w:val="26"/>
          <w:szCs w:val="26"/>
          <w:rtl/>
        </w:rPr>
      </w:pPr>
    </w:p>
    <w:p w14:paraId="64348C5D" w14:textId="77777777" w:rsidR="00B71575" w:rsidRDefault="00B71575" w:rsidP="001766A3">
      <w:pPr>
        <w:rPr>
          <w:sz w:val="26"/>
          <w:szCs w:val="26"/>
          <w:rtl/>
        </w:rPr>
      </w:pPr>
    </w:p>
    <w:p w14:paraId="4EF9AA6B" w14:textId="77777777" w:rsidR="00B71575" w:rsidRDefault="00B71575" w:rsidP="001766A3">
      <w:pPr>
        <w:rPr>
          <w:sz w:val="26"/>
          <w:szCs w:val="26"/>
          <w:rtl/>
        </w:rPr>
      </w:pPr>
    </w:p>
    <w:p w14:paraId="5B0BB485" w14:textId="77777777" w:rsidR="00B71575" w:rsidRDefault="00B71575" w:rsidP="001766A3">
      <w:pPr>
        <w:rPr>
          <w:sz w:val="26"/>
          <w:szCs w:val="26"/>
          <w:rtl/>
        </w:rPr>
      </w:pPr>
    </w:p>
    <w:p w14:paraId="6B193080" w14:textId="77777777" w:rsidR="00B71575" w:rsidRPr="00BB0E0E" w:rsidRDefault="00B71575" w:rsidP="001766A3">
      <w:pPr>
        <w:rPr>
          <w:sz w:val="26"/>
          <w:szCs w:val="26"/>
          <w:rtl/>
        </w:rPr>
      </w:pPr>
    </w:p>
    <w:p w14:paraId="406684B4" w14:textId="77777777" w:rsidR="008A1FC0" w:rsidRPr="00BB0E0E" w:rsidRDefault="008A1FC0" w:rsidP="008A1FC0">
      <w:pPr>
        <w:rPr>
          <w:rFonts w:eastAsia="Calibri"/>
          <w:sz w:val="26"/>
          <w:szCs w:val="26"/>
          <w:rtl/>
        </w:rPr>
      </w:pPr>
      <w:r w:rsidRPr="00BB0E0E">
        <w:rPr>
          <w:rFonts w:eastAsia="Calibri" w:hint="cs"/>
          <w:sz w:val="26"/>
          <w:szCs w:val="26"/>
          <w:rtl/>
        </w:rPr>
        <w:t xml:space="preserve">___ ב________ </w:t>
      </w:r>
      <w:proofErr w:type="spellStart"/>
      <w:r w:rsidRPr="00BB0E0E">
        <w:rPr>
          <w:rFonts w:eastAsia="Calibri" w:hint="cs"/>
          <w:sz w:val="26"/>
          <w:szCs w:val="26"/>
          <w:rtl/>
        </w:rPr>
        <w:t>התש</w:t>
      </w:r>
      <w:r w:rsidR="00757199" w:rsidRPr="00BB0E0E">
        <w:rPr>
          <w:rFonts w:eastAsia="Calibri" w:hint="cs"/>
          <w:sz w:val="26"/>
          <w:szCs w:val="26"/>
          <w:rtl/>
        </w:rPr>
        <w:t>פ"ג</w:t>
      </w:r>
      <w:proofErr w:type="spellEnd"/>
      <w:r w:rsidRPr="00BB0E0E">
        <w:rPr>
          <w:rFonts w:eastAsia="Calibri" w:hint="cs"/>
          <w:sz w:val="26"/>
          <w:szCs w:val="26"/>
          <w:rtl/>
        </w:rPr>
        <w:t>_______ (___ ב________ ____20)</w:t>
      </w:r>
    </w:p>
    <w:p w14:paraId="37FDBDF0" w14:textId="77777777" w:rsidR="008A1FC0" w:rsidRDefault="00757199" w:rsidP="00757199">
      <w:pPr>
        <w:rPr>
          <w:sz w:val="26"/>
          <w:szCs w:val="26"/>
          <w:rtl/>
        </w:rPr>
      </w:pPr>
      <w:r w:rsidRPr="00BB0E0E" w:rsidDel="00757199">
        <w:rPr>
          <w:rFonts w:eastAsia="Calibri" w:hint="cs"/>
          <w:sz w:val="26"/>
          <w:szCs w:val="26"/>
          <w:rtl/>
        </w:rPr>
        <w:t xml:space="preserve"> </w:t>
      </w:r>
      <w:r w:rsidR="008A1FC0" w:rsidRPr="00BB0E0E">
        <w:rPr>
          <w:rFonts w:hint="cs"/>
          <w:sz w:val="26"/>
          <w:szCs w:val="26"/>
          <w:rtl/>
        </w:rPr>
        <w:t>(</w:t>
      </w:r>
      <w:proofErr w:type="spellStart"/>
      <w:r w:rsidR="008A1FC0" w:rsidRPr="00BB0E0E">
        <w:rPr>
          <w:rFonts w:hint="cs"/>
          <w:sz w:val="26"/>
          <w:szCs w:val="26"/>
          <w:rtl/>
        </w:rPr>
        <w:t>חמ</w:t>
      </w:r>
      <w:proofErr w:type="spellEnd"/>
      <w:r w:rsidR="008A1FC0" w:rsidRPr="00BB0E0E">
        <w:rPr>
          <w:rFonts w:hint="cs"/>
          <w:sz w:val="26"/>
          <w:szCs w:val="26"/>
          <w:rtl/>
        </w:rPr>
        <w:t xml:space="preserve"> ____)</w:t>
      </w:r>
    </w:p>
    <w:p w14:paraId="1C6C8425" w14:textId="77777777" w:rsidR="00B71575" w:rsidRDefault="00B71575" w:rsidP="00757199">
      <w:pPr>
        <w:rPr>
          <w:sz w:val="26"/>
          <w:szCs w:val="26"/>
          <w:rtl/>
        </w:rPr>
      </w:pPr>
    </w:p>
    <w:p w14:paraId="0A163EC2" w14:textId="77777777" w:rsidR="00B71575" w:rsidRPr="00BB0E0E" w:rsidRDefault="00B71575" w:rsidP="00757199">
      <w:pPr>
        <w:rPr>
          <w:sz w:val="26"/>
          <w:szCs w:val="26"/>
          <w:rtl/>
        </w:rPr>
      </w:pPr>
    </w:p>
    <w:p w14:paraId="12725E9D" w14:textId="77777777" w:rsidR="008A1FC0" w:rsidRPr="00BB0E0E" w:rsidRDefault="008A1FC0" w:rsidP="008A1FC0">
      <w:pPr>
        <w:ind w:left="5760"/>
        <w:jc w:val="center"/>
        <w:rPr>
          <w:sz w:val="26"/>
          <w:szCs w:val="26"/>
          <w:rtl/>
        </w:rPr>
      </w:pPr>
      <w:r w:rsidRPr="00BB0E0E">
        <w:rPr>
          <w:rFonts w:hint="cs"/>
          <w:sz w:val="26"/>
          <w:szCs w:val="26"/>
          <w:rtl/>
        </w:rPr>
        <w:t>__________________</w:t>
      </w:r>
    </w:p>
    <w:p w14:paraId="48A4611C" w14:textId="77777777" w:rsidR="008A1FC0" w:rsidRPr="00BB0E0E" w:rsidRDefault="008A1FC0" w:rsidP="008A1FC0">
      <w:pPr>
        <w:rPr>
          <w:sz w:val="26"/>
          <w:szCs w:val="26"/>
          <w:rtl/>
        </w:rPr>
      </w:pPr>
      <w:r w:rsidRPr="00BB0E0E">
        <w:rPr>
          <w:sz w:val="26"/>
          <w:szCs w:val="26"/>
          <w:rtl/>
        </w:rPr>
        <w:tab/>
      </w:r>
      <w:r w:rsidRPr="00BB0E0E">
        <w:rPr>
          <w:sz w:val="26"/>
          <w:szCs w:val="26"/>
          <w:rtl/>
        </w:rPr>
        <w:tab/>
      </w:r>
      <w:r w:rsidRPr="00BB0E0E">
        <w:rPr>
          <w:sz w:val="26"/>
          <w:szCs w:val="26"/>
          <w:rtl/>
        </w:rPr>
        <w:tab/>
      </w:r>
      <w:r w:rsidRPr="00BB0E0E">
        <w:rPr>
          <w:sz w:val="26"/>
          <w:szCs w:val="26"/>
          <w:rtl/>
        </w:rPr>
        <w:tab/>
      </w:r>
      <w:r w:rsidRPr="00BB0E0E">
        <w:rPr>
          <w:sz w:val="26"/>
          <w:szCs w:val="26"/>
          <w:rtl/>
        </w:rPr>
        <w:tab/>
      </w:r>
      <w:r w:rsidRPr="00BB0E0E">
        <w:rPr>
          <w:sz w:val="26"/>
          <w:szCs w:val="26"/>
          <w:rtl/>
        </w:rPr>
        <w:tab/>
      </w:r>
      <w:r w:rsidRPr="00BB0E0E">
        <w:rPr>
          <w:sz w:val="26"/>
          <w:szCs w:val="26"/>
          <w:rtl/>
        </w:rPr>
        <w:tab/>
      </w:r>
      <w:r w:rsidRPr="00BB0E0E">
        <w:rPr>
          <w:sz w:val="26"/>
          <w:szCs w:val="26"/>
          <w:rtl/>
        </w:rPr>
        <w:tab/>
      </w:r>
      <w:r w:rsidRPr="00BB0E0E">
        <w:rPr>
          <w:sz w:val="26"/>
          <w:szCs w:val="26"/>
          <w:rtl/>
        </w:rPr>
        <w:tab/>
      </w:r>
      <w:r w:rsidRPr="00BB0E0E">
        <w:rPr>
          <w:sz w:val="26"/>
          <w:szCs w:val="26"/>
          <w:rtl/>
        </w:rPr>
        <w:tab/>
      </w:r>
      <w:r w:rsidRPr="00BB0E0E">
        <w:rPr>
          <w:rFonts w:hint="cs"/>
          <w:sz w:val="26"/>
          <w:szCs w:val="26"/>
          <w:rtl/>
        </w:rPr>
        <w:t>ניצן הורוביץ</w:t>
      </w:r>
    </w:p>
    <w:p w14:paraId="652E523A" w14:textId="77777777" w:rsidR="008A1FC0" w:rsidRPr="00BB0E0E" w:rsidRDefault="008A1FC0" w:rsidP="008A1FC0">
      <w:pPr>
        <w:rPr>
          <w:sz w:val="26"/>
          <w:szCs w:val="26"/>
          <w:rtl/>
        </w:rPr>
      </w:pPr>
      <w:r w:rsidRPr="00BB0E0E">
        <w:rPr>
          <w:sz w:val="26"/>
          <w:szCs w:val="26"/>
          <w:rtl/>
        </w:rPr>
        <w:tab/>
      </w:r>
      <w:r w:rsidRPr="00BB0E0E">
        <w:rPr>
          <w:sz w:val="26"/>
          <w:szCs w:val="26"/>
          <w:rtl/>
        </w:rPr>
        <w:tab/>
      </w:r>
      <w:r w:rsidRPr="00BB0E0E">
        <w:rPr>
          <w:sz w:val="26"/>
          <w:szCs w:val="26"/>
          <w:rtl/>
        </w:rPr>
        <w:tab/>
      </w:r>
      <w:r w:rsidRPr="00BB0E0E">
        <w:rPr>
          <w:sz w:val="26"/>
          <w:szCs w:val="26"/>
          <w:rtl/>
        </w:rPr>
        <w:tab/>
      </w:r>
      <w:r w:rsidRPr="00BB0E0E">
        <w:rPr>
          <w:sz w:val="26"/>
          <w:szCs w:val="26"/>
          <w:rtl/>
        </w:rPr>
        <w:tab/>
      </w:r>
      <w:r w:rsidRPr="00BB0E0E">
        <w:rPr>
          <w:sz w:val="26"/>
          <w:szCs w:val="26"/>
          <w:rtl/>
        </w:rPr>
        <w:tab/>
      </w:r>
      <w:r w:rsidRPr="00BB0E0E">
        <w:rPr>
          <w:sz w:val="26"/>
          <w:szCs w:val="26"/>
          <w:rtl/>
        </w:rPr>
        <w:tab/>
      </w:r>
      <w:r w:rsidRPr="00BB0E0E">
        <w:rPr>
          <w:sz w:val="26"/>
          <w:szCs w:val="26"/>
          <w:rtl/>
        </w:rPr>
        <w:tab/>
      </w:r>
      <w:r w:rsidRPr="00BB0E0E">
        <w:rPr>
          <w:sz w:val="26"/>
          <w:szCs w:val="26"/>
          <w:rtl/>
        </w:rPr>
        <w:tab/>
      </w:r>
      <w:r w:rsidRPr="00BB0E0E">
        <w:rPr>
          <w:sz w:val="26"/>
          <w:szCs w:val="26"/>
          <w:rtl/>
        </w:rPr>
        <w:tab/>
      </w:r>
      <w:r w:rsidRPr="00BB0E0E">
        <w:rPr>
          <w:rFonts w:hint="cs"/>
          <w:sz w:val="26"/>
          <w:szCs w:val="26"/>
          <w:rtl/>
        </w:rPr>
        <w:t>שר הבריאות</w:t>
      </w:r>
    </w:p>
    <w:p w14:paraId="3D1559DB" w14:textId="77777777" w:rsidR="008A1FC0" w:rsidRDefault="008A1FC0" w:rsidP="001766A3">
      <w:pPr>
        <w:pStyle w:val="HeadDivreiHesber"/>
        <w:rPr>
          <w:rFonts w:eastAsia="Calibri"/>
          <w:sz w:val="26"/>
          <w:rtl/>
        </w:rPr>
      </w:pPr>
    </w:p>
    <w:p w14:paraId="7724F7C7" w14:textId="77777777" w:rsidR="00B71575" w:rsidRDefault="00B71575" w:rsidP="001766A3">
      <w:pPr>
        <w:pStyle w:val="HeadDivreiHesber"/>
        <w:rPr>
          <w:rFonts w:eastAsia="Calibri"/>
          <w:sz w:val="26"/>
          <w:rtl/>
        </w:rPr>
      </w:pPr>
    </w:p>
    <w:p w14:paraId="60428999" w14:textId="77777777" w:rsidR="00B71575" w:rsidRDefault="00B71575" w:rsidP="001766A3">
      <w:pPr>
        <w:pStyle w:val="HeadDivreiHesber"/>
        <w:rPr>
          <w:rFonts w:eastAsia="Calibri"/>
          <w:sz w:val="26"/>
          <w:rtl/>
        </w:rPr>
      </w:pPr>
    </w:p>
    <w:p w14:paraId="3302C625" w14:textId="64FCFB9F" w:rsidR="00B71575" w:rsidRDefault="00B71575" w:rsidP="001766A3">
      <w:pPr>
        <w:pStyle w:val="HeadDivreiHesber"/>
        <w:rPr>
          <w:rFonts w:eastAsia="Calibri"/>
          <w:sz w:val="26"/>
          <w:rtl/>
        </w:rPr>
      </w:pPr>
    </w:p>
    <w:p w14:paraId="584DE00C" w14:textId="3E990BAB" w:rsidR="00C36326" w:rsidRDefault="00C36326" w:rsidP="001766A3">
      <w:pPr>
        <w:pStyle w:val="HeadDivreiHesber"/>
        <w:rPr>
          <w:rFonts w:eastAsia="Calibri"/>
          <w:sz w:val="26"/>
          <w:rtl/>
        </w:rPr>
      </w:pPr>
    </w:p>
    <w:p w14:paraId="10617AC3" w14:textId="06AF43F0" w:rsidR="00C36326" w:rsidRDefault="00C36326" w:rsidP="001766A3">
      <w:pPr>
        <w:pStyle w:val="HeadDivreiHesber"/>
        <w:rPr>
          <w:rFonts w:eastAsia="Calibri"/>
          <w:sz w:val="26"/>
          <w:rtl/>
        </w:rPr>
      </w:pPr>
    </w:p>
    <w:p w14:paraId="0CCE1167" w14:textId="587E4D45" w:rsidR="00C36326" w:rsidRDefault="00C36326" w:rsidP="001766A3">
      <w:pPr>
        <w:pStyle w:val="HeadDivreiHesber"/>
        <w:rPr>
          <w:rFonts w:eastAsia="Calibri"/>
          <w:sz w:val="26"/>
          <w:rtl/>
        </w:rPr>
      </w:pPr>
    </w:p>
    <w:p w14:paraId="00673A65" w14:textId="1337DE81" w:rsidR="00C36326" w:rsidRDefault="00C36326" w:rsidP="001766A3">
      <w:pPr>
        <w:pStyle w:val="HeadDivreiHesber"/>
        <w:rPr>
          <w:rFonts w:eastAsia="Calibri"/>
          <w:sz w:val="26"/>
          <w:rtl/>
        </w:rPr>
      </w:pPr>
    </w:p>
    <w:p w14:paraId="615FBBFA" w14:textId="30BB481C" w:rsidR="00C36326" w:rsidRDefault="00C36326" w:rsidP="001766A3">
      <w:pPr>
        <w:pStyle w:val="HeadDivreiHesber"/>
        <w:rPr>
          <w:rFonts w:eastAsia="Calibri"/>
          <w:sz w:val="26"/>
          <w:rtl/>
        </w:rPr>
      </w:pPr>
    </w:p>
    <w:p w14:paraId="1BCA2182" w14:textId="347428B5" w:rsidR="00C36326" w:rsidRDefault="00C36326" w:rsidP="001766A3">
      <w:pPr>
        <w:pStyle w:val="HeadDivreiHesber"/>
        <w:rPr>
          <w:rFonts w:eastAsia="Calibri"/>
          <w:sz w:val="26"/>
          <w:rtl/>
        </w:rPr>
      </w:pPr>
    </w:p>
    <w:p w14:paraId="674A6F3C" w14:textId="2D9A3594" w:rsidR="00C36326" w:rsidRDefault="00C36326" w:rsidP="001766A3">
      <w:pPr>
        <w:pStyle w:val="HeadDivreiHesber"/>
        <w:rPr>
          <w:rFonts w:eastAsia="Calibri"/>
          <w:sz w:val="26"/>
          <w:rtl/>
        </w:rPr>
      </w:pPr>
    </w:p>
    <w:p w14:paraId="10062E02" w14:textId="581FC1E4" w:rsidR="00C36326" w:rsidRDefault="00C36326" w:rsidP="001766A3">
      <w:pPr>
        <w:pStyle w:val="HeadDivreiHesber"/>
        <w:rPr>
          <w:rFonts w:eastAsia="Calibri"/>
          <w:sz w:val="26"/>
          <w:rtl/>
        </w:rPr>
      </w:pPr>
    </w:p>
    <w:p w14:paraId="555E2663" w14:textId="17F386A6" w:rsidR="00C36326" w:rsidRDefault="00C36326" w:rsidP="001766A3">
      <w:pPr>
        <w:pStyle w:val="HeadDivreiHesber"/>
        <w:rPr>
          <w:rFonts w:eastAsia="Calibri"/>
          <w:sz w:val="26"/>
          <w:rtl/>
        </w:rPr>
      </w:pPr>
    </w:p>
    <w:p w14:paraId="74814A3F" w14:textId="1F0A38B7" w:rsidR="00C36326" w:rsidRDefault="00C36326" w:rsidP="001766A3">
      <w:pPr>
        <w:pStyle w:val="HeadDivreiHesber"/>
        <w:rPr>
          <w:rFonts w:eastAsia="Calibri"/>
          <w:sz w:val="26"/>
          <w:rtl/>
        </w:rPr>
      </w:pPr>
    </w:p>
    <w:p w14:paraId="662E989F" w14:textId="24A20B4B" w:rsidR="00C36326" w:rsidRDefault="00C36326" w:rsidP="001766A3">
      <w:pPr>
        <w:pStyle w:val="HeadDivreiHesber"/>
        <w:rPr>
          <w:rFonts w:eastAsia="Calibri"/>
          <w:sz w:val="26"/>
          <w:rtl/>
        </w:rPr>
      </w:pPr>
    </w:p>
    <w:p w14:paraId="7797F590" w14:textId="1BB493CB" w:rsidR="00C36326" w:rsidRDefault="00C36326" w:rsidP="001766A3">
      <w:pPr>
        <w:pStyle w:val="HeadDivreiHesber"/>
        <w:rPr>
          <w:rFonts w:eastAsia="Calibri"/>
          <w:sz w:val="26"/>
          <w:rtl/>
        </w:rPr>
      </w:pPr>
    </w:p>
    <w:p w14:paraId="79969D99" w14:textId="2228E208" w:rsidR="00C36326" w:rsidRDefault="00C36326" w:rsidP="001766A3">
      <w:pPr>
        <w:pStyle w:val="HeadDivreiHesber"/>
        <w:rPr>
          <w:rFonts w:eastAsia="Calibri"/>
          <w:sz w:val="26"/>
          <w:rtl/>
        </w:rPr>
      </w:pPr>
    </w:p>
    <w:p w14:paraId="157412AB" w14:textId="20FCE1B8" w:rsidR="00C36326" w:rsidRDefault="00C36326" w:rsidP="001766A3">
      <w:pPr>
        <w:pStyle w:val="HeadDivreiHesber"/>
        <w:rPr>
          <w:rFonts w:eastAsia="Calibri"/>
          <w:sz w:val="26"/>
          <w:rtl/>
        </w:rPr>
      </w:pPr>
    </w:p>
    <w:p w14:paraId="206C2125" w14:textId="6F403EFD" w:rsidR="00C36326" w:rsidRDefault="00C36326" w:rsidP="001766A3">
      <w:pPr>
        <w:pStyle w:val="HeadDivreiHesber"/>
        <w:rPr>
          <w:rFonts w:eastAsia="Calibri"/>
          <w:sz w:val="26"/>
          <w:rtl/>
        </w:rPr>
      </w:pPr>
    </w:p>
    <w:p w14:paraId="0EBD52BE" w14:textId="77777777" w:rsidR="00C36326" w:rsidRDefault="00C36326" w:rsidP="001766A3">
      <w:pPr>
        <w:pStyle w:val="HeadDivreiHesber"/>
        <w:rPr>
          <w:rFonts w:eastAsia="Calibri"/>
          <w:sz w:val="26"/>
          <w:rtl/>
        </w:rPr>
      </w:pPr>
    </w:p>
    <w:p w14:paraId="0C785695" w14:textId="77777777" w:rsidR="00B71575" w:rsidRDefault="00B71575" w:rsidP="001766A3">
      <w:pPr>
        <w:pStyle w:val="HeadDivreiHesber"/>
        <w:rPr>
          <w:rFonts w:eastAsia="Calibri"/>
          <w:sz w:val="26"/>
          <w:rtl/>
        </w:rPr>
      </w:pPr>
    </w:p>
    <w:p w14:paraId="749C4B97" w14:textId="6B3CD341" w:rsidR="00B71575" w:rsidRDefault="00B71575" w:rsidP="001766A3">
      <w:pPr>
        <w:pStyle w:val="HeadDivreiHesber"/>
        <w:rPr>
          <w:rFonts w:eastAsia="Calibri"/>
          <w:sz w:val="26"/>
          <w:rtl/>
        </w:rPr>
      </w:pPr>
    </w:p>
    <w:p w14:paraId="17815FA6" w14:textId="593F20AB" w:rsidR="003C0ED3" w:rsidRDefault="003C0ED3" w:rsidP="001766A3">
      <w:pPr>
        <w:pStyle w:val="HeadDivreiHesber"/>
        <w:rPr>
          <w:rFonts w:eastAsia="Calibri"/>
          <w:sz w:val="26"/>
          <w:rtl/>
        </w:rPr>
      </w:pPr>
    </w:p>
    <w:p w14:paraId="65D53741" w14:textId="3FB5B179" w:rsidR="003C0ED3" w:rsidRDefault="003C0ED3" w:rsidP="001766A3">
      <w:pPr>
        <w:pStyle w:val="HeadDivreiHesber"/>
        <w:rPr>
          <w:rFonts w:eastAsia="Calibri"/>
          <w:sz w:val="26"/>
          <w:rtl/>
        </w:rPr>
      </w:pPr>
    </w:p>
    <w:p w14:paraId="38664846" w14:textId="46EF6CB0" w:rsidR="003C0ED3" w:rsidRDefault="003C0ED3" w:rsidP="001766A3">
      <w:pPr>
        <w:pStyle w:val="HeadDivreiHesber"/>
        <w:rPr>
          <w:rFonts w:eastAsia="Calibri"/>
          <w:sz w:val="26"/>
          <w:rtl/>
        </w:rPr>
      </w:pPr>
    </w:p>
    <w:p w14:paraId="6A296BCF" w14:textId="5219D62A" w:rsidR="003C0ED3" w:rsidRDefault="003C0ED3" w:rsidP="001766A3">
      <w:pPr>
        <w:pStyle w:val="HeadDivreiHesber"/>
        <w:rPr>
          <w:rFonts w:eastAsia="Calibri"/>
          <w:sz w:val="26"/>
          <w:rtl/>
        </w:rPr>
      </w:pPr>
    </w:p>
    <w:p w14:paraId="4439EDA9" w14:textId="77777777" w:rsidR="003C0ED3" w:rsidRPr="00BB0E0E" w:rsidRDefault="003C0ED3" w:rsidP="001766A3">
      <w:pPr>
        <w:pStyle w:val="HeadDivreiHesber"/>
        <w:rPr>
          <w:rFonts w:eastAsia="Calibri"/>
          <w:sz w:val="26"/>
          <w:rtl/>
        </w:rPr>
      </w:pPr>
    </w:p>
    <w:p w14:paraId="2B0CE501" w14:textId="77777777" w:rsidR="00207578" w:rsidRPr="00BB0E0E" w:rsidRDefault="00207578" w:rsidP="001766A3">
      <w:pPr>
        <w:pStyle w:val="HeadDivreiHesber"/>
        <w:rPr>
          <w:sz w:val="26"/>
          <w:rtl/>
        </w:rPr>
      </w:pPr>
      <w:r w:rsidRPr="00BB0E0E">
        <w:rPr>
          <w:sz w:val="26"/>
          <w:rtl/>
        </w:rPr>
        <w:t>דברי הסבר</w:t>
      </w:r>
    </w:p>
    <w:p w14:paraId="28BA28AA" w14:textId="77777777" w:rsidR="008A1FC0" w:rsidRPr="00BB0E0E" w:rsidRDefault="008A1FC0" w:rsidP="008A1FC0">
      <w:pPr>
        <w:rPr>
          <w:rFonts w:ascii="Arial" w:eastAsia="Arial Unicode MS" w:hAnsi="Arial"/>
          <w:b/>
          <w:bCs/>
          <w:snapToGrid w:val="0"/>
          <w:sz w:val="26"/>
          <w:szCs w:val="26"/>
          <w:rtl/>
          <w:lang w:eastAsia="he-IL"/>
        </w:rPr>
      </w:pPr>
      <w:r w:rsidRPr="00BB0E0E">
        <w:rPr>
          <w:rFonts w:ascii="Arial" w:eastAsia="Arial Unicode MS" w:hAnsi="Arial" w:hint="cs"/>
          <w:b/>
          <w:bCs/>
          <w:snapToGrid w:val="0"/>
          <w:sz w:val="26"/>
          <w:szCs w:val="26"/>
          <w:rtl/>
          <w:lang w:eastAsia="he-IL"/>
        </w:rPr>
        <w:t>כללי</w:t>
      </w:r>
    </w:p>
    <w:p w14:paraId="08B6B84F" w14:textId="77777777" w:rsidR="008A1FC0" w:rsidRPr="00BB0E0E" w:rsidRDefault="008A1FC0" w:rsidP="008A1FC0">
      <w:pPr>
        <w:pStyle w:val="Hesber1st"/>
        <w:tabs>
          <w:tab w:val="clear" w:pos="680"/>
        </w:tabs>
        <w:rPr>
          <w:sz w:val="26"/>
          <w:rtl/>
        </w:rPr>
      </w:pPr>
      <w:r w:rsidRPr="00BB0E0E">
        <w:rPr>
          <w:rFonts w:hint="eastAsia"/>
          <w:sz w:val="26"/>
          <w:rtl/>
        </w:rPr>
        <w:t>ביום</w:t>
      </w:r>
      <w:r w:rsidRPr="00BB0E0E">
        <w:rPr>
          <w:sz w:val="26"/>
          <w:rtl/>
        </w:rPr>
        <w:t xml:space="preserve"> </w:t>
      </w:r>
      <w:r w:rsidRPr="00BB0E0E">
        <w:rPr>
          <w:rFonts w:hint="eastAsia"/>
          <w:sz w:val="26"/>
          <w:rtl/>
        </w:rPr>
        <w:t>י</w:t>
      </w:r>
      <w:r w:rsidRPr="00BB0E0E">
        <w:rPr>
          <w:sz w:val="26"/>
          <w:rtl/>
        </w:rPr>
        <w:t xml:space="preserve">"ד בכסלו </w:t>
      </w:r>
      <w:proofErr w:type="spellStart"/>
      <w:r w:rsidRPr="00BB0E0E">
        <w:rPr>
          <w:rFonts w:hint="eastAsia"/>
          <w:sz w:val="26"/>
          <w:rtl/>
        </w:rPr>
        <w:t>התשפ</w:t>
      </w:r>
      <w:r w:rsidRPr="00BB0E0E">
        <w:rPr>
          <w:sz w:val="26"/>
          <w:rtl/>
        </w:rPr>
        <w:t>"ב</w:t>
      </w:r>
      <w:proofErr w:type="spellEnd"/>
      <w:r w:rsidRPr="00BB0E0E">
        <w:rPr>
          <w:sz w:val="26"/>
          <w:rtl/>
        </w:rPr>
        <w:t xml:space="preserve"> (18 בנובמבר 2021)</w:t>
      </w:r>
      <w:r w:rsidRPr="00BB0E0E">
        <w:rPr>
          <w:rFonts w:hint="cs"/>
          <w:sz w:val="26"/>
          <w:rtl/>
        </w:rPr>
        <w:t xml:space="preserve"> פורסם ברשומות, בספר החוקים </w:t>
      </w:r>
      <w:proofErr w:type="spellStart"/>
      <w:r w:rsidRPr="00BB0E0E">
        <w:rPr>
          <w:rFonts w:hint="cs"/>
          <w:sz w:val="26"/>
          <w:rtl/>
        </w:rPr>
        <w:t>התשפ"ב</w:t>
      </w:r>
      <w:proofErr w:type="spellEnd"/>
      <w:r w:rsidRPr="00BB0E0E">
        <w:rPr>
          <w:rFonts w:hint="cs"/>
          <w:sz w:val="26"/>
          <w:rtl/>
        </w:rPr>
        <w:t xml:space="preserve">, עמ' 427, תיקון מס' 3 לחוק הגנה על בריאות הציבור (מזון), התשע"ו-2015 (להלן, בהתאמה </w:t>
      </w:r>
      <w:r w:rsidRPr="00BB0E0E">
        <w:rPr>
          <w:sz w:val="26"/>
          <w:rtl/>
        </w:rPr>
        <w:t>–</w:t>
      </w:r>
      <w:r w:rsidRPr="00BB0E0E">
        <w:rPr>
          <w:rFonts w:hint="cs"/>
          <w:sz w:val="26"/>
          <w:rtl/>
        </w:rPr>
        <w:t xml:space="preserve"> תיקון מס' 3, וחוק המזון), וזאת במסגרת חוק התכנית הכלכלית </w:t>
      </w:r>
      <w:r w:rsidRPr="00BB0E0E">
        <w:rPr>
          <w:sz w:val="26"/>
        </w:rPr>
        <w:t>)</w:t>
      </w:r>
      <w:r w:rsidRPr="00BB0E0E">
        <w:rPr>
          <w:rFonts w:hint="eastAsia"/>
          <w:sz w:val="26"/>
          <w:rtl/>
        </w:rPr>
        <w:t>תיקוני</w:t>
      </w:r>
      <w:r w:rsidRPr="00BB0E0E">
        <w:rPr>
          <w:sz w:val="26"/>
          <w:rtl/>
        </w:rPr>
        <w:t xml:space="preserve"> </w:t>
      </w:r>
      <w:r w:rsidRPr="00BB0E0E">
        <w:rPr>
          <w:rFonts w:hint="eastAsia"/>
          <w:sz w:val="26"/>
          <w:rtl/>
        </w:rPr>
        <w:t>חקיקה</w:t>
      </w:r>
      <w:r w:rsidRPr="00BB0E0E">
        <w:rPr>
          <w:sz w:val="26"/>
          <w:rtl/>
        </w:rPr>
        <w:t xml:space="preserve"> </w:t>
      </w:r>
      <w:r w:rsidRPr="00BB0E0E">
        <w:rPr>
          <w:rFonts w:hint="eastAsia"/>
          <w:sz w:val="26"/>
          <w:rtl/>
        </w:rPr>
        <w:t>ליישום</w:t>
      </w:r>
      <w:r w:rsidRPr="00BB0E0E">
        <w:rPr>
          <w:sz w:val="26"/>
          <w:rtl/>
        </w:rPr>
        <w:t xml:space="preserve"> </w:t>
      </w:r>
      <w:r w:rsidRPr="00BB0E0E">
        <w:rPr>
          <w:rFonts w:hint="eastAsia"/>
          <w:sz w:val="26"/>
          <w:rtl/>
        </w:rPr>
        <w:t>המדיניות</w:t>
      </w:r>
      <w:r w:rsidRPr="00BB0E0E">
        <w:rPr>
          <w:sz w:val="26"/>
          <w:rtl/>
        </w:rPr>
        <w:t xml:space="preserve"> </w:t>
      </w:r>
      <w:r w:rsidRPr="00BB0E0E">
        <w:rPr>
          <w:rFonts w:hint="eastAsia"/>
          <w:sz w:val="26"/>
          <w:rtl/>
        </w:rPr>
        <w:t>הכלכלית</w:t>
      </w:r>
      <w:r w:rsidRPr="00BB0E0E">
        <w:rPr>
          <w:sz w:val="26"/>
          <w:rtl/>
        </w:rPr>
        <w:t xml:space="preserve"> </w:t>
      </w:r>
      <w:r w:rsidRPr="00BB0E0E">
        <w:rPr>
          <w:rFonts w:hint="eastAsia"/>
          <w:sz w:val="26"/>
          <w:rtl/>
        </w:rPr>
        <w:t>לשנות</w:t>
      </w:r>
      <w:r w:rsidRPr="00BB0E0E">
        <w:rPr>
          <w:sz w:val="26"/>
          <w:rtl/>
        </w:rPr>
        <w:t xml:space="preserve"> </w:t>
      </w:r>
      <w:r w:rsidRPr="00BB0E0E">
        <w:rPr>
          <w:rFonts w:hint="eastAsia"/>
          <w:sz w:val="26"/>
          <w:rtl/>
        </w:rPr>
        <w:t>התקציב</w:t>
      </w:r>
      <w:r w:rsidRPr="00BB0E0E">
        <w:rPr>
          <w:sz w:val="26"/>
          <w:rtl/>
        </w:rPr>
        <w:t xml:space="preserve"> 2021 </w:t>
      </w:r>
      <w:r w:rsidRPr="00BB0E0E">
        <w:rPr>
          <w:rFonts w:hint="cs"/>
          <w:sz w:val="26"/>
          <w:rtl/>
        </w:rPr>
        <w:t xml:space="preserve">ו-2022), התשפ"ב-2021 (להלן </w:t>
      </w:r>
      <w:r w:rsidRPr="00BB0E0E">
        <w:rPr>
          <w:sz w:val="26"/>
          <w:rtl/>
        </w:rPr>
        <w:t>–</w:t>
      </w:r>
      <w:r w:rsidRPr="00BB0E0E">
        <w:rPr>
          <w:rFonts w:hint="cs"/>
          <w:sz w:val="26"/>
          <w:rtl/>
        </w:rPr>
        <w:t xml:space="preserve"> חוק התכנית הכלכלית 2021). </w:t>
      </w:r>
    </w:p>
    <w:p w14:paraId="64C96B2A" w14:textId="77777777" w:rsidR="008A1FC0" w:rsidRPr="00BB0E0E" w:rsidRDefault="008A1FC0" w:rsidP="00B71575">
      <w:pPr>
        <w:pStyle w:val="Hesber"/>
        <w:ind w:hanging="1"/>
        <w:rPr>
          <w:sz w:val="26"/>
          <w:rtl/>
        </w:rPr>
      </w:pPr>
      <w:r w:rsidRPr="00BB0E0E">
        <w:rPr>
          <w:rFonts w:hint="cs"/>
          <w:sz w:val="26"/>
          <w:rtl/>
        </w:rPr>
        <w:t xml:space="preserve">תיקון מס' 3 נועד להוות נדבך ביישום המלצות צוות </w:t>
      </w:r>
      <w:proofErr w:type="spellStart"/>
      <w:r w:rsidRPr="00BB0E0E">
        <w:rPr>
          <w:rFonts w:hint="cs"/>
          <w:sz w:val="26"/>
          <w:rtl/>
        </w:rPr>
        <w:t>בינמשרדי</w:t>
      </w:r>
      <w:proofErr w:type="spellEnd"/>
      <w:r w:rsidRPr="00BB0E0E">
        <w:rPr>
          <w:rFonts w:hint="cs"/>
          <w:sz w:val="26"/>
          <w:rtl/>
        </w:rPr>
        <w:t xml:space="preserve"> שהוקם בתחילת שנת 2021 להסרת חסמי סחר ביבוא. הצוות האמור הוקם לשם בחינת יישומה של החלטה 2318 מיום י"ט בכסלו </w:t>
      </w:r>
      <w:proofErr w:type="spellStart"/>
      <w:r w:rsidRPr="00BB0E0E">
        <w:rPr>
          <w:rFonts w:hint="cs"/>
          <w:sz w:val="26"/>
          <w:rtl/>
        </w:rPr>
        <w:t>התשע"ה</w:t>
      </w:r>
      <w:proofErr w:type="spellEnd"/>
      <w:r w:rsidRPr="00BB0E0E">
        <w:rPr>
          <w:rFonts w:hint="cs"/>
          <w:sz w:val="26"/>
          <w:rtl/>
        </w:rPr>
        <w:t xml:space="preserve"> (11 בדצמבר 2014) להגברת התחרות וייעול תהליכי האסדרה בתחום היבוא, אשר אימצה את דוח הוועדה להגברת התחרות והסרת חסמים ביבוא בראשות המנהל הכללי של משרד הכלכלה והתעשייה מיום י"ח </w:t>
      </w:r>
      <w:r w:rsidRPr="00BB0E0E">
        <w:rPr>
          <w:rFonts w:hint="cs"/>
          <w:sz w:val="26"/>
          <w:rtl/>
        </w:rPr>
        <w:lastRenderedPageBreak/>
        <w:t xml:space="preserve">בחשוון </w:t>
      </w:r>
      <w:proofErr w:type="spellStart"/>
      <w:r w:rsidRPr="00BB0E0E">
        <w:rPr>
          <w:rFonts w:hint="cs"/>
          <w:sz w:val="26"/>
          <w:rtl/>
        </w:rPr>
        <w:t>התשע"ה</w:t>
      </w:r>
      <w:proofErr w:type="spellEnd"/>
      <w:r w:rsidRPr="00BB0E0E">
        <w:rPr>
          <w:rFonts w:hint="cs"/>
          <w:sz w:val="26"/>
          <w:rtl/>
        </w:rPr>
        <w:t xml:space="preserve"> (11 בנובמבר 2014). </w:t>
      </w:r>
    </w:p>
    <w:p w14:paraId="1E211A81" w14:textId="77777777" w:rsidR="008A1FC0" w:rsidRPr="00BB0E0E" w:rsidRDefault="008A1FC0" w:rsidP="00B71575">
      <w:pPr>
        <w:pStyle w:val="Hesber"/>
        <w:ind w:hanging="1"/>
        <w:rPr>
          <w:sz w:val="26"/>
          <w:rtl/>
        </w:rPr>
      </w:pPr>
      <w:r w:rsidRPr="00BB0E0E">
        <w:rPr>
          <w:rFonts w:hint="cs"/>
          <w:sz w:val="26"/>
          <w:rtl/>
        </w:rPr>
        <w:t xml:space="preserve">כך, במסגרת תיקון מס' 3, נערכו שורה של תיקונים בחוק המזון שעניינם, בין השאר, אימוץ של הוראות מסוימות החלות באיחוד האירופי לגבי ייצור, ייבוא או שיווק של מזון, בתנאים ובהחרגות, והכל כפי שקבוע בתיקון מס' 3 </w:t>
      </w:r>
      <w:r w:rsidR="00A632B9" w:rsidRPr="00BB0E0E">
        <w:rPr>
          <w:rFonts w:hint="cs"/>
          <w:sz w:val="26"/>
          <w:rtl/>
        </w:rPr>
        <w:t xml:space="preserve">(להלן </w:t>
      </w:r>
      <w:r w:rsidR="00A632B9" w:rsidRPr="00BB0E0E">
        <w:rPr>
          <w:sz w:val="26"/>
          <w:rtl/>
        </w:rPr>
        <w:t>–</w:t>
      </w:r>
      <w:r w:rsidR="00A632B9" w:rsidRPr="00BB0E0E">
        <w:rPr>
          <w:rFonts w:hint="cs"/>
          <w:sz w:val="26"/>
          <w:rtl/>
        </w:rPr>
        <w:t xml:space="preserve"> ההוראות המאומצות)</w:t>
      </w:r>
      <w:r w:rsidRPr="00BB0E0E">
        <w:rPr>
          <w:rFonts w:hint="cs"/>
          <w:sz w:val="26"/>
          <w:rtl/>
        </w:rPr>
        <w:t xml:space="preserve">. </w:t>
      </w:r>
    </w:p>
    <w:p w14:paraId="77027E15" w14:textId="77777777" w:rsidR="00A632B9" w:rsidRPr="00BB0E0E" w:rsidRDefault="00AA3BDE" w:rsidP="00B71575">
      <w:pPr>
        <w:pStyle w:val="Hesber"/>
        <w:ind w:hanging="1"/>
        <w:rPr>
          <w:sz w:val="26"/>
          <w:rtl/>
        </w:rPr>
      </w:pPr>
      <w:r w:rsidRPr="00BB0E0E">
        <w:rPr>
          <w:rFonts w:hint="cs"/>
          <w:sz w:val="26"/>
          <w:rtl/>
        </w:rPr>
        <w:t xml:space="preserve">במסגרת תיקון מס' 3 נקבע כי </w:t>
      </w:r>
      <w:r w:rsidR="00A632B9" w:rsidRPr="00BB0E0E">
        <w:rPr>
          <w:rFonts w:hint="cs"/>
          <w:sz w:val="26"/>
          <w:rtl/>
        </w:rPr>
        <w:t>בהתאם להוראות סעיף 3א לחוק המזון, ההוראות המאומצות שמוחלות בישראל קבועות בתוספת השנייה א' לחוק, אשר ניתן יהיה לשנותה בצו, בכפוף להוראות סעיפים 3א ו-</w:t>
      </w:r>
      <w:r w:rsidRPr="00BB0E0E">
        <w:rPr>
          <w:rFonts w:hint="cs"/>
          <w:sz w:val="26"/>
          <w:rtl/>
        </w:rPr>
        <w:t>313א</w:t>
      </w:r>
      <w:r w:rsidR="00A632B9" w:rsidRPr="00BB0E0E">
        <w:rPr>
          <w:rFonts w:hint="cs"/>
          <w:sz w:val="26"/>
          <w:rtl/>
        </w:rPr>
        <w:t xml:space="preserve"> לחוק המזון, ללא צורך בתיקון חקיקה ראשית</w:t>
      </w:r>
      <w:r w:rsidRPr="00BB0E0E">
        <w:rPr>
          <w:rFonts w:hint="cs"/>
          <w:sz w:val="26"/>
          <w:rtl/>
        </w:rPr>
        <w:t>.</w:t>
      </w:r>
    </w:p>
    <w:p w14:paraId="35ABE6D0" w14:textId="77777777" w:rsidR="00030FE9" w:rsidRPr="00E213C0" w:rsidRDefault="00AA3BDE" w:rsidP="00B71575">
      <w:pPr>
        <w:pStyle w:val="Hesber"/>
        <w:ind w:hanging="1"/>
        <w:rPr>
          <w:sz w:val="26"/>
          <w:rtl/>
        </w:rPr>
      </w:pPr>
      <w:r w:rsidRPr="00BB0E0E">
        <w:rPr>
          <w:rFonts w:hint="cs"/>
          <w:sz w:val="26"/>
          <w:rtl/>
        </w:rPr>
        <w:t xml:space="preserve">סעיף 3א(ו) </w:t>
      </w:r>
      <w:r w:rsidR="000615B9" w:rsidRPr="00BB0E0E">
        <w:rPr>
          <w:rFonts w:hint="cs"/>
          <w:sz w:val="26"/>
          <w:rtl/>
        </w:rPr>
        <w:t xml:space="preserve">מקנה לשר </w:t>
      </w:r>
      <w:r w:rsidR="000615B9" w:rsidRPr="00E213C0">
        <w:rPr>
          <w:rFonts w:hint="cs"/>
          <w:sz w:val="26"/>
          <w:rtl/>
        </w:rPr>
        <w:t xml:space="preserve">הבריאות סמכות לקבוע בצו, שני עניינים: האחד </w:t>
      </w:r>
      <w:r w:rsidR="000615B9" w:rsidRPr="00E213C0">
        <w:rPr>
          <w:sz w:val="26"/>
          <w:rtl/>
        </w:rPr>
        <w:t>–</w:t>
      </w:r>
      <w:r w:rsidR="000615B9" w:rsidRPr="00E213C0">
        <w:rPr>
          <w:rFonts w:hint="cs"/>
          <w:sz w:val="26"/>
          <w:rtl/>
        </w:rPr>
        <w:t xml:space="preserve"> להוסיף להוראות המאומצות שבתוספת </w:t>
      </w:r>
      <w:proofErr w:type="spellStart"/>
      <w:r w:rsidR="000615B9" w:rsidRPr="00E213C0">
        <w:rPr>
          <w:rFonts w:hint="cs"/>
          <w:sz w:val="26"/>
          <w:rtl/>
        </w:rPr>
        <w:t>השניה</w:t>
      </w:r>
      <w:proofErr w:type="spellEnd"/>
      <w:r w:rsidR="000615B9" w:rsidRPr="00E213C0">
        <w:rPr>
          <w:rFonts w:hint="cs"/>
          <w:sz w:val="26"/>
          <w:rtl/>
        </w:rPr>
        <w:t xml:space="preserve"> א, הוראה מחייבת החלה באיחוד האירופי בתנאים הקבועים בסעיף שם</w:t>
      </w:r>
      <w:r w:rsidR="00E175E6" w:rsidRPr="00E213C0">
        <w:rPr>
          <w:rFonts w:hint="cs"/>
          <w:sz w:val="26"/>
          <w:rtl/>
        </w:rPr>
        <w:t xml:space="preserve">, </w:t>
      </w:r>
      <w:r w:rsidR="000615B9" w:rsidRPr="00E213C0">
        <w:rPr>
          <w:rFonts w:hint="cs"/>
          <w:sz w:val="26"/>
          <w:rtl/>
        </w:rPr>
        <w:t xml:space="preserve"> השני </w:t>
      </w:r>
      <w:r w:rsidR="000615B9" w:rsidRPr="00E213C0">
        <w:rPr>
          <w:sz w:val="26"/>
          <w:rtl/>
        </w:rPr>
        <w:t>–</w:t>
      </w:r>
      <w:r w:rsidR="000615B9" w:rsidRPr="00E213C0">
        <w:rPr>
          <w:rFonts w:hint="cs"/>
          <w:sz w:val="26"/>
          <w:rtl/>
        </w:rPr>
        <w:t xml:space="preserve"> לקבוע תנאים והחרגות להוראות המאומצות הקבועות בטור ב' או ג' לתוספת </w:t>
      </w:r>
      <w:proofErr w:type="spellStart"/>
      <w:r w:rsidR="000615B9" w:rsidRPr="00E213C0">
        <w:rPr>
          <w:rFonts w:hint="cs"/>
          <w:sz w:val="26"/>
          <w:rtl/>
        </w:rPr>
        <w:t>השניה</w:t>
      </w:r>
      <w:proofErr w:type="spellEnd"/>
      <w:r w:rsidR="000615B9" w:rsidRPr="00E213C0">
        <w:rPr>
          <w:rFonts w:hint="cs"/>
          <w:sz w:val="26"/>
          <w:rtl/>
        </w:rPr>
        <w:t xml:space="preserve"> א'</w:t>
      </w:r>
      <w:r w:rsidR="00030FE9" w:rsidRPr="00E213C0">
        <w:rPr>
          <w:rFonts w:hint="cs"/>
          <w:sz w:val="26"/>
          <w:rtl/>
        </w:rPr>
        <w:t>.</w:t>
      </w:r>
      <w:r w:rsidR="000615B9" w:rsidRPr="00E213C0">
        <w:rPr>
          <w:rFonts w:hint="cs"/>
          <w:sz w:val="26"/>
          <w:rtl/>
        </w:rPr>
        <w:t xml:space="preserve">  </w:t>
      </w:r>
    </w:p>
    <w:p w14:paraId="1EC284B8" w14:textId="77777777" w:rsidR="007403F6" w:rsidRPr="00E213C0" w:rsidRDefault="003B5193" w:rsidP="00B71575">
      <w:pPr>
        <w:pStyle w:val="Hesber"/>
        <w:ind w:hanging="1"/>
        <w:rPr>
          <w:sz w:val="26"/>
          <w:rtl/>
        </w:rPr>
      </w:pPr>
      <w:r w:rsidRPr="00E213C0">
        <w:rPr>
          <w:rFonts w:hint="cs"/>
          <w:sz w:val="26"/>
          <w:rtl/>
        </w:rPr>
        <w:t>סעיף</w:t>
      </w:r>
      <w:r w:rsidRPr="00E213C0">
        <w:rPr>
          <w:sz w:val="26"/>
          <w:rtl/>
        </w:rPr>
        <w:t xml:space="preserve"> 313(ג) קובע כי שינויים </w:t>
      </w:r>
      <w:r w:rsidRPr="00E213C0">
        <w:rPr>
          <w:rFonts w:hint="cs"/>
          <w:sz w:val="26"/>
          <w:rtl/>
        </w:rPr>
        <w:t>או</w:t>
      </w:r>
      <w:r w:rsidRPr="00E213C0">
        <w:rPr>
          <w:sz w:val="26"/>
          <w:rtl/>
        </w:rPr>
        <w:t xml:space="preserve"> קביעת תנאים והחרגות לתוספת </w:t>
      </w:r>
      <w:proofErr w:type="spellStart"/>
      <w:r w:rsidRPr="00E213C0">
        <w:rPr>
          <w:rFonts w:hint="cs"/>
          <w:sz w:val="26"/>
          <w:rtl/>
        </w:rPr>
        <w:t>השניה</w:t>
      </w:r>
      <w:proofErr w:type="spellEnd"/>
      <w:r w:rsidRPr="00E213C0">
        <w:rPr>
          <w:sz w:val="26"/>
          <w:rtl/>
        </w:rPr>
        <w:t xml:space="preserve"> א' כאמור, טעונים גם </w:t>
      </w:r>
      <w:r w:rsidRPr="00E213C0">
        <w:rPr>
          <w:rFonts w:hint="cs"/>
          <w:sz w:val="26"/>
          <w:rtl/>
        </w:rPr>
        <w:t>אישור</w:t>
      </w:r>
      <w:r w:rsidRPr="00E213C0">
        <w:rPr>
          <w:sz w:val="26"/>
          <w:rtl/>
        </w:rPr>
        <w:t xml:space="preserve"> הוועדה המשותפת וגם המלצת וועדת החריגים, </w:t>
      </w:r>
      <w:r w:rsidRPr="00E213C0">
        <w:rPr>
          <w:rFonts w:hint="cs"/>
          <w:sz w:val="26"/>
          <w:rtl/>
        </w:rPr>
        <w:t>כמשמעות</w:t>
      </w:r>
      <w:r w:rsidR="007B5EE8">
        <w:rPr>
          <w:rFonts w:hint="cs"/>
          <w:sz w:val="26"/>
          <w:rtl/>
        </w:rPr>
        <w:t>ן</w:t>
      </w:r>
      <w:r w:rsidRPr="00E213C0">
        <w:rPr>
          <w:sz w:val="26"/>
          <w:rtl/>
        </w:rPr>
        <w:t xml:space="preserve"> שם, לפי </w:t>
      </w:r>
      <w:proofErr w:type="spellStart"/>
      <w:r w:rsidRPr="00E213C0">
        <w:rPr>
          <w:rFonts w:hint="cs"/>
          <w:sz w:val="26"/>
          <w:rtl/>
        </w:rPr>
        <w:t>הענין</w:t>
      </w:r>
      <w:proofErr w:type="spellEnd"/>
      <w:r w:rsidRPr="00E213C0">
        <w:rPr>
          <w:sz w:val="26"/>
          <w:rtl/>
        </w:rPr>
        <w:t>.</w:t>
      </w:r>
    </w:p>
    <w:p w14:paraId="276A4171" w14:textId="77777777" w:rsidR="00354BEE" w:rsidRPr="00BB0E0E" w:rsidRDefault="007403F6" w:rsidP="00B71575">
      <w:pPr>
        <w:pStyle w:val="Hesber"/>
        <w:ind w:hanging="1"/>
        <w:rPr>
          <w:sz w:val="26"/>
          <w:rtl/>
          <w:lang w:eastAsia="he-IL"/>
        </w:rPr>
      </w:pPr>
      <w:r w:rsidRPr="00E213C0">
        <w:rPr>
          <w:rFonts w:hint="cs"/>
          <w:sz w:val="26"/>
          <w:rtl/>
        </w:rPr>
        <w:t xml:space="preserve">עם חקיקת חוק התכנית הכלכלית </w:t>
      </w:r>
      <w:r w:rsidR="007B5EE8">
        <w:rPr>
          <w:rFonts w:hint="cs"/>
          <w:sz w:val="26"/>
          <w:rtl/>
        </w:rPr>
        <w:t xml:space="preserve">2021 </w:t>
      </w:r>
      <w:r w:rsidRPr="00E213C0">
        <w:rPr>
          <w:rFonts w:hint="cs"/>
          <w:sz w:val="26"/>
          <w:rtl/>
        </w:rPr>
        <w:t xml:space="preserve">ולאור </w:t>
      </w:r>
      <w:r w:rsidR="00130B87" w:rsidRPr="00E213C0">
        <w:rPr>
          <w:rFonts w:hint="cs"/>
          <w:sz w:val="26"/>
          <w:rtl/>
        </w:rPr>
        <w:t>מורכבות</w:t>
      </w:r>
      <w:r w:rsidRPr="00E213C0">
        <w:rPr>
          <w:rFonts w:hint="cs"/>
          <w:sz w:val="26"/>
          <w:rtl/>
        </w:rPr>
        <w:t xml:space="preserve"> המהלך החקיקתי של אימוץ </w:t>
      </w:r>
      <w:r w:rsidR="00130B87" w:rsidRPr="00E213C0">
        <w:rPr>
          <w:rFonts w:hint="cs"/>
          <w:sz w:val="26"/>
          <w:rtl/>
        </w:rPr>
        <w:t>הוראות הדין האירופי וחדשנותו, התברר כי יש צורך</w:t>
      </w:r>
      <w:r w:rsidR="00130B87" w:rsidRPr="00BB0E0E">
        <w:rPr>
          <w:rFonts w:hint="cs"/>
          <w:sz w:val="26"/>
          <w:rtl/>
        </w:rPr>
        <w:t xml:space="preserve"> לבצע שינויים בהוראות התוספת </w:t>
      </w:r>
      <w:proofErr w:type="spellStart"/>
      <w:r w:rsidR="00130B87" w:rsidRPr="00BB0E0E">
        <w:rPr>
          <w:rFonts w:hint="cs"/>
          <w:sz w:val="26"/>
          <w:rtl/>
        </w:rPr>
        <w:t>השניה</w:t>
      </w:r>
      <w:proofErr w:type="spellEnd"/>
      <w:r w:rsidR="00130B87" w:rsidRPr="00BB0E0E">
        <w:rPr>
          <w:rFonts w:hint="cs"/>
          <w:sz w:val="26"/>
          <w:rtl/>
        </w:rPr>
        <w:t xml:space="preserve"> א', ולחדד ולדייק </w:t>
      </w:r>
      <w:proofErr w:type="spellStart"/>
      <w:r w:rsidR="00130B87" w:rsidRPr="00BB0E0E">
        <w:rPr>
          <w:rFonts w:hint="cs"/>
          <w:sz w:val="26"/>
          <w:rtl/>
        </w:rPr>
        <w:t>במינוחים</w:t>
      </w:r>
      <w:proofErr w:type="spellEnd"/>
      <w:r w:rsidR="00130B87" w:rsidRPr="00BB0E0E">
        <w:rPr>
          <w:rFonts w:hint="cs"/>
          <w:sz w:val="26"/>
          <w:rtl/>
        </w:rPr>
        <w:t xml:space="preserve"> של ההוראות המאומצות ובתנאים ובהחרגות להן.</w:t>
      </w:r>
      <w:r w:rsidR="00354BEE" w:rsidRPr="00BB0E0E">
        <w:rPr>
          <w:rFonts w:hint="cs"/>
          <w:sz w:val="26"/>
          <w:rtl/>
        </w:rPr>
        <w:t xml:space="preserve"> נדגיש כי </w:t>
      </w:r>
      <w:r w:rsidR="00354BEE" w:rsidRPr="00BB0E0E">
        <w:rPr>
          <w:rFonts w:hint="cs"/>
          <w:sz w:val="26"/>
          <w:rtl/>
          <w:lang w:eastAsia="he-IL"/>
        </w:rPr>
        <w:t>לא מדובר בהוספת תנאים מחמירים או בהרחבת ההחרגות אלא בצמצומן דווקא</w:t>
      </w:r>
      <w:r w:rsidR="007B5EE8">
        <w:rPr>
          <w:rFonts w:hint="cs"/>
          <w:sz w:val="26"/>
          <w:rtl/>
          <w:lang w:eastAsia="he-IL"/>
        </w:rPr>
        <w:t xml:space="preserve"> או במתן הבהרות ודיוק לגביהן</w:t>
      </w:r>
      <w:r w:rsidR="00354BEE" w:rsidRPr="00BB0E0E">
        <w:rPr>
          <w:rFonts w:hint="cs"/>
          <w:sz w:val="26"/>
          <w:rtl/>
          <w:lang w:eastAsia="he-IL"/>
        </w:rPr>
        <w:t xml:space="preserve"> כפי שיפורט להלן.</w:t>
      </w:r>
    </w:p>
    <w:p w14:paraId="325D412D" w14:textId="77777777" w:rsidR="00130B87" w:rsidRPr="00BB0E0E" w:rsidRDefault="00130B87" w:rsidP="00B71575">
      <w:pPr>
        <w:pStyle w:val="Hesber"/>
        <w:ind w:hanging="1"/>
        <w:rPr>
          <w:sz w:val="26"/>
          <w:rtl/>
        </w:rPr>
      </w:pPr>
      <w:r w:rsidRPr="00BB0E0E">
        <w:rPr>
          <w:rFonts w:hint="cs"/>
          <w:sz w:val="26"/>
          <w:rtl/>
        </w:rPr>
        <w:t xml:space="preserve">נוכח האמור מוצע להלן לבצע </w:t>
      </w:r>
      <w:r w:rsidR="001B273E" w:rsidRPr="00BB0E0E">
        <w:rPr>
          <w:rFonts w:hint="cs"/>
          <w:sz w:val="26"/>
          <w:rtl/>
        </w:rPr>
        <w:t xml:space="preserve">שורה של תיקונים ותוספות </w:t>
      </w:r>
      <w:r w:rsidRPr="00BB0E0E">
        <w:rPr>
          <w:rFonts w:hint="cs"/>
          <w:sz w:val="26"/>
          <w:rtl/>
        </w:rPr>
        <w:t xml:space="preserve">בתוספת </w:t>
      </w:r>
      <w:proofErr w:type="spellStart"/>
      <w:r w:rsidRPr="00BB0E0E">
        <w:rPr>
          <w:rFonts w:hint="cs"/>
          <w:sz w:val="26"/>
          <w:rtl/>
        </w:rPr>
        <w:t>השניה</w:t>
      </w:r>
      <w:proofErr w:type="spellEnd"/>
      <w:r w:rsidRPr="00BB0E0E">
        <w:rPr>
          <w:rFonts w:hint="cs"/>
          <w:sz w:val="26"/>
          <w:rtl/>
        </w:rPr>
        <w:t xml:space="preserve"> א</w:t>
      </w:r>
      <w:r w:rsidR="00B71575">
        <w:rPr>
          <w:rFonts w:hint="cs"/>
          <w:sz w:val="26"/>
          <w:rtl/>
        </w:rPr>
        <w:t>'.</w:t>
      </w:r>
    </w:p>
    <w:p w14:paraId="3E9A2CDF" w14:textId="77777777" w:rsidR="00130B87" w:rsidRPr="00BB0E0E" w:rsidRDefault="00130B87" w:rsidP="00130B87">
      <w:pPr>
        <w:pStyle w:val="Hesber"/>
        <w:rPr>
          <w:sz w:val="26"/>
          <w:rtl/>
        </w:rPr>
      </w:pPr>
    </w:p>
    <w:p w14:paraId="3BB83277" w14:textId="77777777" w:rsidR="00130B87" w:rsidRPr="00BB0E0E" w:rsidRDefault="00130B87" w:rsidP="00130B87">
      <w:pPr>
        <w:pStyle w:val="Hesber"/>
        <w:rPr>
          <w:sz w:val="26"/>
          <w:rtl/>
        </w:rPr>
      </w:pPr>
      <w:r w:rsidRPr="00BB0E0E">
        <w:rPr>
          <w:rFonts w:hint="cs"/>
          <w:b/>
          <w:bCs/>
          <w:sz w:val="26"/>
          <w:rtl/>
          <w:lang w:eastAsia="he-IL"/>
        </w:rPr>
        <w:t>סעיף 1, ל</w:t>
      </w:r>
      <w:r w:rsidRPr="00BB0E0E">
        <w:rPr>
          <w:rFonts w:hint="eastAsia"/>
          <w:b/>
          <w:bCs/>
          <w:sz w:val="26"/>
          <w:rtl/>
          <w:lang w:eastAsia="he-IL"/>
        </w:rPr>
        <w:t>עניין</w:t>
      </w:r>
      <w:r w:rsidRPr="00BB0E0E">
        <w:rPr>
          <w:b/>
          <w:bCs/>
          <w:sz w:val="26"/>
          <w:rtl/>
          <w:lang w:eastAsia="he-IL"/>
        </w:rPr>
        <w:t xml:space="preserve"> </w:t>
      </w:r>
      <w:r w:rsidRPr="00BB0E0E">
        <w:rPr>
          <w:rFonts w:hint="cs"/>
          <w:b/>
          <w:bCs/>
          <w:sz w:val="26"/>
          <w:rtl/>
          <w:lang w:eastAsia="he-IL"/>
        </w:rPr>
        <w:t>הוספת הגדרות</w:t>
      </w:r>
      <w:r w:rsidR="003B5193" w:rsidRPr="00BB0E0E">
        <w:rPr>
          <w:b/>
          <w:bCs/>
          <w:sz w:val="26"/>
          <w:rtl/>
        </w:rPr>
        <w:t xml:space="preserve"> בתוספת</w:t>
      </w:r>
    </w:p>
    <w:p w14:paraId="2474D5B3" w14:textId="77777777" w:rsidR="007403F6" w:rsidRPr="00BB0E0E" w:rsidRDefault="001B273E" w:rsidP="00B71575">
      <w:pPr>
        <w:pStyle w:val="Hesber"/>
        <w:ind w:hanging="1"/>
        <w:rPr>
          <w:sz w:val="26"/>
          <w:rtl/>
        </w:rPr>
      </w:pPr>
      <w:r w:rsidRPr="00BB0E0E">
        <w:rPr>
          <w:rFonts w:hint="cs"/>
          <w:sz w:val="26"/>
          <w:rtl/>
        </w:rPr>
        <w:t xml:space="preserve">כפי שעולה מלשון התוספת </w:t>
      </w:r>
      <w:proofErr w:type="spellStart"/>
      <w:r w:rsidRPr="00BB0E0E">
        <w:rPr>
          <w:rFonts w:hint="cs"/>
          <w:sz w:val="26"/>
          <w:rtl/>
        </w:rPr>
        <w:t>השניה</w:t>
      </w:r>
      <w:proofErr w:type="spellEnd"/>
      <w:r w:rsidRPr="00BB0E0E">
        <w:rPr>
          <w:rFonts w:hint="cs"/>
          <w:sz w:val="26"/>
          <w:rtl/>
        </w:rPr>
        <w:t xml:space="preserve"> א, ההוראות המאומצות מהדין האירופי עוסקות בארבעה תחומים ובהם מזהמים כימיים במזון ומזהמים ביולוגיים במזון. ברם, מזהמים אלו לא הוגדרו במסגרת תיקון מס' 3. על-מנת לדייק בתחולת ההוראות המאומצות, ובפרט </w:t>
      </w:r>
      <w:proofErr w:type="spellStart"/>
      <w:r w:rsidRPr="00BB0E0E">
        <w:rPr>
          <w:rFonts w:hint="cs"/>
          <w:sz w:val="26"/>
          <w:rtl/>
        </w:rPr>
        <w:t>לענין</w:t>
      </w:r>
      <w:proofErr w:type="spellEnd"/>
      <w:r w:rsidRPr="00BB0E0E">
        <w:rPr>
          <w:rFonts w:hint="cs"/>
          <w:sz w:val="26"/>
          <w:rtl/>
        </w:rPr>
        <w:t xml:space="preserve"> התנאים וההחרגות להם יש צורך להוסיף הגדרות של "מזהם ביולוגי" ו"מזהם כימי", אליהן מתייחסות ההוראות המאומצות. </w:t>
      </w:r>
      <w:r w:rsidR="00D420C4" w:rsidRPr="00BB0E0E">
        <w:rPr>
          <w:rFonts w:hint="cs"/>
          <w:sz w:val="26"/>
          <w:rtl/>
        </w:rPr>
        <w:t xml:space="preserve"> ההגדרות המוצעות </w:t>
      </w:r>
      <w:r w:rsidR="007B5EE8">
        <w:rPr>
          <w:rFonts w:hint="cs"/>
          <w:sz w:val="26"/>
          <w:rtl/>
        </w:rPr>
        <w:t>תואמות את החקיקה האירופית המאומצת ו</w:t>
      </w:r>
      <w:r w:rsidR="00D420C4" w:rsidRPr="00BB0E0E">
        <w:rPr>
          <w:rFonts w:hint="cs"/>
          <w:sz w:val="26"/>
          <w:rtl/>
        </w:rPr>
        <w:t xml:space="preserve">נועדו לדייק כאמור ולהבחין בין תחומים אלו לבין הגדרות אחרות בחוק המזון </w:t>
      </w:r>
      <w:proofErr w:type="spellStart"/>
      <w:r w:rsidR="00D420C4" w:rsidRPr="00BB0E0E">
        <w:rPr>
          <w:rFonts w:hint="cs"/>
          <w:sz w:val="26"/>
          <w:rtl/>
        </w:rPr>
        <w:t>לענין</w:t>
      </w:r>
      <w:proofErr w:type="spellEnd"/>
      <w:r w:rsidR="00D420C4" w:rsidRPr="00BB0E0E">
        <w:rPr>
          <w:rFonts w:hint="cs"/>
          <w:sz w:val="26"/>
          <w:rtl/>
        </w:rPr>
        <w:t xml:space="preserve"> מרכיבים או תוספים אחרים במזון</w:t>
      </w:r>
      <w:r w:rsidR="0039168D" w:rsidRPr="00BB0E0E">
        <w:rPr>
          <w:rFonts w:hint="cs"/>
          <w:sz w:val="26"/>
          <w:rtl/>
        </w:rPr>
        <w:t>.</w:t>
      </w:r>
    </w:p>
    <w:p w14:paraId="3136FF08" w14:textId="77777777" w:rsidR="00715E11" w:rsidRPr="00BB0E0E" w:rsidRDefault="00715E11" w:rsidP="00B71575">
      <w:pPr>
        <w:pStyle w:val="Hesber"/>
        <w:ind w:hanging="1"/>
        <w:rPr>
          <w:sz w:val="26"/>
          <w:rtl/>
        </w:rPr>
      </w:pPr>
      <w:r w:rsidRPr="00BB0E0E">
        <w:rPr>
          <w:rFonts w:hint="cs"/>
          <w:sz w:val="26"/>
          <w:rtl/>
        </w:rPr>
        <w:t xml:space="preserve">כמו כן, למען הסר כל ספק מוצע להוסיף הגדרה ל"בשר גולמי" המצוי בטור ג' לתוספת </w:t>
      </w:r>
      <w:proofErr w:type="spellStart"/>
      <w:r w:rsidRPr="00BB0E0E">
        <w:rPr>
          <w:rFonts w:hint="cs"/>
          <w:sz w:val="26"/>
          <w:rtl/>
        </w:rPr>
        <w:t>לענין</w:t>
      </w:r>
      <w:proofErr w:type="spellEnd"/>
      <w:r w:rsidRPr="00BB0E0E">
        <w:rPr>
          <w:rFonts w:hint="cs"/>
          <w:sz w:val="26"/>
          <w:rtl/>
        </w:rPr>
        <w:t xml:space="preserve"> ההחרגות, המפנה להגדרה בחוק המזון.</w:t>
      </w:r>
    </w:p>
    <w:p w14:paraId="25E2A8EE" w14:textId="77777777" w:rsidR="0039168D" w:rsidRPr="00BB0E0E" w:rsidRDefault="0039168D" w:rsidP="0039168D">
      <w:pPr>
        <w:pStyle w:val="Hesber"/>
        <w:rPr>
          <w:sz w:val="26"/>
          <w:rtl/>
        </w:rPr>
      </w:pPr>
    </w:p>
    <w:p w14:paraId="03776FD5" w14:textId="77777777" w:rsidR="0039168D" w:rsidRPr="00BB0E0E" w:rsidRDefault="0039168D" w:rsidP="00B71575">
      <w:pPr>
        <w:pStyle w:val="Hesber"/>
        <w:ind w:hanging="1"/>
        <w:rPr>
          <w:sz w:val="26"/>
          <w:rtl/>
        </w:rPr>
      </w:pPr>
      <w:r w:rsidRPr="00BB0E0E">
        <w:rPr>
          <w:rFonts w:hint="cs"/>
          <w:b/>
          <w:bCs/>
          <w:sz w:val="26"/>
          <w:rtl/>
          <w:lang w:eastAsia="he-IL"/>
        </w:rPr>
        <w:t>סעיף 2, ל</w:t>
      </w:r>
      <w:r w:rsidRPr="00BB0E0E">
        <w:rPr>
          <w:rFonts w:hint="eastAsia"/>
          <w:b/>
          <w:bCs/>
          <w:sz w:val="26"/>
          <w:rtl/>
          <w:lang w:eastAsia="he-IL"/>
        </w:rPr>
        <w:t>עניין</w:t>
      </w:r>
      <w:r w:rsidRPr="00BB0E0E">
        <w:rPr>
          <w:b/>
          <w:bCs/>
          <w:sz w:val="26"/>
          <w:rtl/>
          <w:lang w:eastAsia="he-IL"/>
        </w:rPr>
        <w:t xml:space="preserve"> </w:t>
      </w:r>
      <w:r w:rsidRPr="00BB0E0E">
        <w:rPr>
          <w:rFonts w:hint="cs"/>
          <w:b/>
          <w:bCs/>
          <w:sz w:val="26"/>
          <w:rtl/>
          <w:lang w:eastAsia="he-IL"/>
        </w:rPr>
        <w:t>תנאים והחרגות</w:t>
      </w:r>
      <w:r w:rsidR="003B5193" w:rsidRPr="00BB0E0E">
        <w:rPr>
          <w:b/>
          <w:bCs/>
          <w:sz w:val="26"/>
          <w:rtl/>
        </w:rPr>
        <w:t xml:space="preserve"> בתוספת</w:t>
      </w:r>
    </w:p>
    <w:p w14:paraId="1809E8CB" w14:textId="77777777" w:rsidR="00C52F4B" w:rsidRPr="00BB0E0E" w:rsidRDefault="003B5193">
      <w:pPr>
        <w:pStyle w:val="Hesber"/>
        <w:numPr>
          <w:ilvl w:val="0"/>
          <w:numId w:val="30"/>
        </w:numPr>
        <w:rPr>
          <w:b/>
          <w:bCs/>
          <w:sz w:val="26"/>
          <w:rtl/>
        </w:rPr>
      </w:pPr>
      <w:proofErr w:type="spellStart"/>
      <w:r w:rsidRPr="00BB0E0E">
        <w:rPr>
          <w:rFonts w:hint="cs"/>
          <w:b/>
          <w:bCs/>
          <w:sz w:val="26"/>
          <w:rtl/>
        </w:rPr>
        <w:t>לענין</w:t>
      </w:r>
      <w:proofErr w:type="spellEnd"/>
      <w:r w:rsidRPr="00BB0E0E">
        <w:rPr>
          <w:b/>
          <w:bCs/>
          <w:sz w:val="26"/>
          <w:rtl/>
        </w:rPr>
        <w:t xml:space="preserve"> סעיף קטן (א) – שינויים בטור א':</w:t>
      </w:r>
    </w:p>
    <w:p w14:paraId="4F345FE1" w14:textId="77777777" w:rsidR="00B44E4B" w:rsidRPr="00BB0E0E" w:rsidRDefault="008A1FC0" w:rsidP="00B71575">
      <w:pPr>
        <w:spacing w:before="120" w:after="120"/>
        <w:ind w:hanging="341"/>
        <w:contextualSpacing w:val="0"/>
        <w:rPr>
          <w:sz w:val="26"/>
          <w:szCs w:val="26"/>
          <w:rtl/>
          <w:lang w:eastAsia="he-IL"/>
        </w:rPr>
      </w:pPr>
      <w:r w:rsidRPr="00BB0E0E">
        <w:rPr>
          <w:rFonts w:hint="cs"/>
          <w:sz w:val="26"/>
          <w:szCs w:val="26"/>
          <w:rtl/>
          <w:lang w:eastAsia="he-IL"/>
        </w:rPr>
        <w:t xml:space="preserve"> </w:t>
      </w:r>
      <w:r w:rsidR="000C3F7E" w:rsidRPr="00BB0E0E">
        <w:rPr>
          <w:rFonts w:hint="cs"/>
          <w:sz w:val="26"/>
          <w:szCs w:val="26"/>
          <w:rtl/>
          <w:lang w:eastAsia="he-IL"/>
        </w:rPr>
        <w:t xml:space="preserve">טור א' </w:t>
      </w:r>
      <w:r w:rsidR="00B44E4B" w:rsidRPr="00BB0E0E">
        <w:rPr>
          <w:rFonts w:hint="cs"/>
          <w:sz w:val="26"/>
          <w:szCs w:val="26"/>
          <w:rtl/>
          <w:lang w:eastAsia="he-IL"/>
        </w:rPr>
        <w:t xml:space="preserve">לתוספת שבנוסחה לפי תיקון 3 </w:t>
      </w:r>
      <w:r w:rsidR="000C3F7E" w:rsidRPr="00BB0E0E">
        <w:rPr>
          <w:rFonts w:hint="cs"/>
          <w:sz w:val="26"/>
          <w:szCs w:val="26"/>
          <w:rtl/>
          <w:lang w:eastAsia="he-IL"/>
        </w:rPr>
        <w:t xml:space="preserve">עוסק בשמות </w:t>
      </w:r>
      <w:r w:rsidR="00B44E4B" w:rsidRPr="00BB0E0E">
        <w:rPr>
          <w:rFonts w:hint="cs"/>
          <w:sz w:val="26"/>
          <w:szCs w:val="26"/>
          <w:rtl/>
          <w:lang w:eastAsia="he-IL"/>
        </w:rPr>
        <w:t xml:space="preserve"> 4 </w:t>
      </w:r>
      <w:r w:rsidR="000C3F7E" w:rsidRPr="00BB0E0E">
        <w:rPr>
          <w:rFonts w:hint="cs"/>
          <w:sz w:val="26"/>
          <w:szCs w:val="26"/>
          <w:rtl/>
          <w:lang w:eastAsia="he-IL"/>
        </w:rPr>
        <w:t xml:space="preserve">הוראות הדין האירופי המאומצות. </w:t>
      </w:r>
    </w:p>
    <w:p w14:paraId="274F140E" w14:textId="370D2699" w:rsidR="00B44E4B" w:rsidRPr="00BB0E0E" w:rsidRDefault="00B44E4B" w:rsidP="00F0274E">
      <w:pPr>
        <w:spacing w:before="120" w:after="120"/>
        <w:ind w:left="-1"/>
        <w:contextualSpacing w:val="0"/>
        <w:rPr>
          <w:sz w:val="26"/>
          <w:szCs w:val="26"/>
          <w:rtl/>
          <w:lang w:eastAsia="he-IL"/>
        </w:rPr>
      </w:pPr>
      <w:r w:rsidRPr="00BB0E0E">
        <w:rPr>
          <w:rFonts w:hint="cs"/>
          <w:sz w:val="26"/>
          <w:szCs w:val="26"/>
          <w:rtl/>
          <w:lang w:eastAsia="he-IL"/>
        </w:rPr>
        <w:t>מוצע לבטל את פרט (2) בטור זה העוסק בתקנת האיחוד האירופי מס' 73/2018</w:t>
      </w:r>
      <w:r w:rsidR="00715E11" w:rsidRPr="00BB0E0E">
        <w:rPr>
          <w:rFonts w:hint="cs"/>
          <w:sz w:val="26"/>
          <w:szCs w:val="26"/>
          <w:rtl/>
          <w:lang w:eastAsia="he-IL"/>
        </w:rPr>
        <w:t xml:space="preserve">, (ובהתאמה את כל ההתייחסויות לפרט זה ביתר הטורים שבתוספת). </w:t>
      </w:r>
      <w:r w:rsidR="003B5193" w:rsidRPr="00BB0E0E">
        <w:rPr>
          <w:rFonts w:hint="eastAsia"/>
          <w:sz w:val="26"/>
          <w:szCs w:val="26"/>
          <w:rtl/>
        </w:rPr>
        <w:t>זאת</w:t>
      </w:r>
      <w:r w:rsidR="003B5193" w:rsidRPr="00BB0E0E">
        <w:rPr>
          <w:sz w:val="26"/>
          <w:szCs w:val="26"/>
          <w:rtl/>
        </w:rPr>
        <w:t xml:space="preserve"> בשל כך </w:t>
      </w:r>
      <w:r w:rsidR="00456353" w:rsidRPr="00BB0E0E">
        <w:rPr>
          <w:rFonts w:hint="cs"/>
          <w:sz w:val="26"/>
          <w:szCs w:val="26"/>
          <w:rtl/>
        </w:rPr>
        <w:t xml:space="preserve">שתקנה זו </w:t>
      </w:r>
      <w:r w:rsidR="003B5193" w:rsidRPr="00BB0E0E">
        <w:rPr>
          <w:rFonts w:hint="eastAsia"/>
          <w:sz w:val="26"/>
          <w:szCs w:val="26"/>
          <w:rtl/>
        </w:rPr>
        <w:t>היא</w:t>
      </w:r>
      <w:r w:rsidR="003B5193" w:rsidRPr="00BB0E0E">
        <w:rPr>
          <w:sz w:val="26"/>
          <w:szCs w:val="26"/>
          <w:rtl/>
        </w:rPr>
        <w:t xml:space="preserve"> למעשה תקנה שמתקנת את תקנת האיחוד האירופי מספר 396/2005 בעניין שאריות חומרי הדברה המוזכרת בפרט (4) </w:t>
      </w:r>
      <w:r w:rsidR="003B5193" w:rsidRPr="00BB0E0E">
        <w:rPr>
          <w:rFonts w:hint="eastAsia"/>
          <w:sz w:val="26"/>
          <w:szCs w:val="26"/>
          <w:rtl/>
        </w:rPr>
        <w:t>לטור</w:t>
      </w:r>
      <w:r w:rsidR="003B5193" w:rsidRPr="00BB0E0E">
        <w:rPr>
          <w:sz w:val="26"/>
          <w:szCs w:val="26"/>
          <w:rtl/>
        </w:rPr>
        <w:t xml:space="preserve"> </w:t>
      </w:r>
      <w:r w:rsidRPr="00BB0E0E">
        <w:rPr>
          <w:rFonts w:hint="cs"/>
          <w:sz w:val="26"/>
          <w:szCs w:val="26"/>
          <w:rtl/>
        </w:rPr>
        <w:t>א'</w:t>
      </w:r>
      <w:r w:rsidR="003B5193" w:rsidRPr="00BB0E0E">
        <w:rPr>
          <w:sz w:val="26"/>
          <w:szCs w:val="26"/>
          <w:rtl/>
        </w:rPr>
        <w:t xml:space="preserve">, </w:t>
      </w:r>
      <w:r w:rsidR="00456353" w:rsidRPr="00BB0E0E">
        <w:rPr>
          <w:rFonts w:hint="cs"/>
          <w:sz w:val="26"/>
          <w:szCs w:val="26"/>
          <w:rtl/>
        </w:rPr>
        <w:t>בכל הנוגע ל</w:t>
      </w:r>
      <w:r w:rsidR="00715E11" w:rsidRPr="00BB0E0E">
        <w:rPr>
          <w:rFonts w:hint="cs"/>
          <w:sz w:val="26"/>
          <w:szCs w:val="26"/>
          <w:rtl/>
        </w:rPr>
        <w:t xml:space="preserve">תרכובות כספית. משכך הרי </w:t>
      </w:r>
      <w:r w:rsidR="00456353" w:rsidRPr="00BB0E0E">
        <w:rPr>
          <w:rFonts w:hint="cs"/>
          <w:sz w:val="26"/>
          <w:szCs w:val="26"/>
          <w:rtl/>
        </w:rPr>
        <w:t>שההתייחסות המפורשת לתקנה  73/2018 הינה מיותרת</w:t>
      </w:r>
      <w:r w:rsidR="006F064B">
        <w:rPr>
          <w:rFonts w:hint="cs"/>
          <w:sz w:val="26"/>
          <w:szCs w:val="26"/>
          <w:rtl/>
        </w:rPr>
        <w:t xml:space="preserve">. ואולם, </w:t>
      </w:r>
      <w:r w:rsidR="006F064B">
        <w:rPr>
          <w:rFonts w:hint="cs"/>
          <w:sz w:val="26"/>
          <w:szCs w:val="26"/>
          <w:rtl/>
        </w:rPr>
        <w:lastRenderedPageBreak/>
        <w:t>נדגיש כי תק</w:t>
      </w:r>
      <w:r w:rsidR="00715E11" w:rsidRPr="00BB0E0E">
        <w:rPr>
          <w:rFonts w:hint="cs"/>
          <w:sz w:val="26"/>
          <w:szCs w:val="26"/>
          <w:rtl/>
        </w:rPr>
        <w:t xml:space="preserve">נה </w:t>
      </w:r>
      <w:r w:rsidRPr="00BB0E0E">
        <w:rPr>
          <w:rFonts w:hint="cs"/>
          <w:sz w:val="26"/>
          <w:szCs w:val="26"/>
          <w:rtl/>
        </w:rPr>
        <w:t>מס</w:t>
      </w:r>
      <w:r w:rsidR="00456353" w:rsidRPr="00BB0E0E">
        <w:rPr>
          <w:rFonts w:hint="cs"/>
          <w:sz w:val="26"/>
          <w:szCs w:val="26"/>
          <w:rtl/>
        </w:rPr>
        <w:t>'</w:t>
      </w:r>
      <w:r w:rsidRPr="00BB0E0E">
        <w:rPr>
          <w:rFonts w:hint="cs"/>
          <w:sz w:val="26"/>
          <w:szCs w:val="26"/>
          <w:rtl/>
        </w:rPr>
        <w:t xml:space="preserve"> 396/2005</w:t>
      </w:r>
      <w:r w:rsidR="003B5193" w:rsidRPr="00BB0E0E">
        <w:rPr>
          <w:sz w:val="26"/>
          <w:szCs w:val="26"/>
          <w:rtl/>
        </w:rPr>
        <w:t xml:space="preserve"> </w:t>
      </w:r>
      <w:r w:rsidR="006F064B">
        <w:rPr>
          <w:rFonts w:hint="cs"/>
          <w:sz w:val="26"/>
          <w:szCs w:val="26"/>
          <w:rtl/>
        </w:rPr>
        <w:t xml:space="preserve">בפרט (4) כוללת בחובה גם את תקנת האיחוד האירופי האמורה </w:t>
      </w:r>
      <w:proofErr w:type="spellStart"/>
      <w:r w:rsidR="006F064B">
        <w:rPr>
          <w:rFonts w:hint="cs"/>
          <w:sz w:val="26"/>
          <w:szCs w:val="26"/>
          <w:rtl/>
        </w:rPr>
        <w:t>לענין</w:t>
      </w:r>
      <w:proofErr w:type="spellEnd"/>
      <w:r w:rsidR="006F064B">
        <w:rPr>
          <w:rFonts w:hint="cs"/>
          <w:sz w:val="26"/>
          <w:szCs w:val="26"/>
          <w:rtl/>
        </w:rPr>
        <w:t xml:space="preserve"> תרכובות כספית, כאילו היו שאריות חומרי הדברה ולכן האמו</w:t>
      </w:r>
      <w:r w:rsidR="00F0274E">
        <w:rPr>
          <w:rFonts w:hint="cs"/>
          <w:sz w:val="26"/>
          <w:szCs w:val="26"/>
          <w:rtl/>
        </w:rPr>
        <w:t>ר</w:t>
      </w:r>
      <w:r w:rsidR="006F064B">
        <w:rPr>
          <w:rFonts w:hint="cs"/>
          <w:sz w:val="26"/>
          <w:szCs w:val="26"/>
          <w:rtl/>
        </w:rPr>
        <w:t xml:space="preserve"> חל גם לגבי תרכובות הכספית.</w:t>
      </w:r>
    </w:p>
    <w:p w14:paraId="1FC12458" w14:textId="77777777" w:rsidR="008A1FC0" w:rsidRDefault="00B44E4B" w:rsidP="00B71575">
      <w:pPr>
        <w:spacing w:before="120" w:after="120"/>
        <w:ind w:left="-1"/>
        <w:contextualSpacing w:val="0"/>
        <w:rPr>
          <w:sz w:val="26"/>
          <w:szCs w:val="26"/>
          <w:rtl/>
          <w:lang w:eastAsia="he-IL"/>
        </w:rPr>
      </w:pPr>
      <w:r w:rsidRPr="00BB0E0E">
        <w:rPr>
          <w:rFonts w:hint="cs"/>
          <w:sz w:val="26"/>
          <w:szCs w:val="26"/>
          <w:rtl/>
          <w:lang w:eastAsia="he-IL"/>
        </w:rPr>
        <w:t xml:space="preserve">כמו כן, </w:t>
      </w:r>
      <w:r w:rsidR="00A16AF8" w:rsidRPr="00BB0E0E">
        <w:rPr>
          <w:rFonts w:hint="cs"/>
          <w:sz w:val="26"/>
          <w:szCs w:val="26"/>
          <w:rtl/>
          <w:lang w:eastAsia="he-IL"/>
        </w:rPr>
        <w:t>מוצע לדייק בשמותיהן של 3 תקנות האיחוד האירופי המאומצות: מס' 1881/2006, מס' 2073/2005 ומס' 396/2005,</w:t>
      </w:r>
      <w:r w:rsidR="00456353" w:rsidRPr="00BB0E0E">
        <w:rPr>
          <w:rFonts w:hint="cs"/>
          <w:sz w:val="26"/>
          <w:szCs w:val="26"/>
          <w:rtl/>
          <w:lang w:eastAsia="he-IL"/>
        </w:rPr>
        <w:t xml:space="preserve"> </w:t>
      </w:r>
      <w:r w:rsidR="00A16AF8" w:rsidRPr="00BB0E0E">
        <w:rPr>
          <w:rFonts w:hint="cs"/>
          <w:sz w:val="26"/>
          <w:szCs w:val="26"/>
          <w:rtl/>
          <w:lang w:eastAsia="he-IL"/>
        </w:rPr>
        <w:t>המצויות בפרטים (1)</w:t>
      </w:r>
      <w:r w:rsidR="005C038E" w:rsidRPr="00BB0E0E">
        <w:rPr>
          <w:rFonts w:hint="cs"/>
          <w:sz w:val="26"/>
          <w:szCs w:val="26"/>
          <w:rtl/>
          <w:lang w:eastAsia="he-IL"/>
        </w:rPr>
        <w:t>, (</w:t>
      </w:r>
      <w:r w:rsidR="007B5EE8">
        <w:rPr>
          <w:rFonts w:hint="cs"/>
          <w:sz w:val="26"/>
          <w:szCs w:val="26"/>
          <w:rtl/>
          <w:lang w:eastAsia="he-IL"/>
        </w:rPr>
        <w:t>3</w:t>
      </w:r>
      <w:r w:rsidR="005C038E" w:rsidRPr="00BB0E0E">
        <w:rPr>
          <w:rFonts w:hint="cs"/>
          <w:sz w:val="26"/>
          <w:szCs w:val="26"/>
          <w:rtl/>
          <w:lang w:eastAsia="he-IL"/>
        </w:rPr>
        <w:t>) ו-(4) שבטור א'</w:t>
      </w:r>
      <w:r w:rsidRPr="00BB0E0E">
        <w:rPr>
          <w:rFonts w:hint="cs"/>
          <w:sz w:val="26"/>
          <w:szCs w:val="26"/>
          <w:rtl/>
          <w:lang w:eastAsia="he-IL"/>
        </w:rPr>
        <w:t>, בהתאמה</w:t>
      </w:r>
      <w:r w:rsidR="00456353" w:rsidRPr="00BB0E0E">
        <w:rPr>
          <w:rFonts w:hint="cs"/>
          <w:sz w:val="26"/>
          <w:szCs w:val="26"/>
          <w:rtl/>
          <w:lang w:eastAsia="he-IL"/>
        </w:rPr>
        <w:t>,</w:t>
      </w:r>
      <w:r w:rsidR="00A16AF8" w:rsidRPr="00BB0E0E">
        <w:rPr>
          <w:rFonts w:hint="cs"/>
          <w:sz w:val="26"/>
          <w:szCs w:val="26"/>
          <w:rtl/>
          <w:lang w:eastAsia="he-IL"/>
        </w:rPr>
        <w:t xml:space="preserve"> הן בעברית והן בלועזית, וכן לדייק בהפניות לסעיפי התחולה ולתוספות לתקנות אלו, וזאת על ידי החלפת נוסח פרטים (1)</w:t>
      </w:r>
      <w:r w:rsidRPr="00BB0E0E">
        <w:rPr>
          <w:rFonts w:hint="cs"/>
          <w:sz w:val="26"/>
          <w:szCs w:val="26"/>
          <w:rtl/>
          <w:lang w:eastAsia="he-IL"/>
        </w:rPr>
        <w:t>, (3) ו-(4)</w:t>
      </w:r>
      <w:r w:rsidR="00A16AF8" w:rsidRPr="00BB0E0E">
        <w:rPr>
          <w:rFonts w:hint="cs"/>
          <w:sz w:val="26"/>
          <w:szCs w:val="26"/>
          <w:rtl/>
          <w:lang w:eastAsia="he-IL"/>
        </w:rPr>
        <w:t xml:space="preserve"> </w:t>
      </w:r>
      <w:r w:rsidR="00FD2CCD">
        <w:rPr>
          <w:rFonts w:hint="cs"/>
          <w:sz w:val="26"/>
          <w:szCs w:val="26"/>
          <w:rtl/>
          <w:lang w:eastAsia="he-IL"/>
        </w:rPr>
        <w:t xml:space="preserve">בטור א' </w:t>
      </w:r>
      <w:r w:rsidR="00A16AF8" w:rsidRPr="00BB0E0E">
        <w:rPr>
          <w:rFonts w:hint="cs"/>
          <w:sz w:val="26"/>
          <w:szCs w:val="26"/>
          <w:rtl/>
          <w:lang w:eastAsia="he-IL"/>
        </w:rPr>
        <w:t xml:space="preserve">בהתאמה, בנוסח המוצע. </w:t>
      </w:r>
    </w:p>
    <w:p w14:paraId="4F9C13D7" w14:textId="77777777" w:rsidR="001C06D6" w:rsidRPr="00BB0E0E" w:rsidRDefault="001C06D6" w:rsidP="001766A3">
      <w:pPr>
        <w:pStyle w:val="Hesber"/>
        <w:numPr>
          <w:ilvl w:val="0"/>
          <w:numId w:val="30"/>
        </w:numPr>
        <w:rPr>
          <w:b/>
          <w:bCs/>
          <w:sz w:val="26"/>
        </w:rPr>
      </w:pPr>
      <w:proofErr w:type="spellStart"/>
      <w:r w:rsidRPr="00BB0E0E">
        <w:rPr>
          <w:rFonts w:hint="cs"/>
          <w:b/>
          <w:bCs/>
          <w:sz w:val="26"/>
          <w:rtl/>
        </w:rPr>
        <w:t>לענין</w:t>
      </w:r>
      <w:proofErr w:type="spellEnd"/>
      <w:r w:rsidRPr="00BB0E0E">
        <w:rPr>
          <w:rFonts w:hint="cs"/>
          <w:b/>
          <w:bCs/>
          <w:sz w:val="26"/>
          <w:rtl/>
        </w:rPr>
        <w:t xml:space="preserve"> סעיף קטן (</w:t>
      </w:r>
      <w:r w:rsidR="001766A3" w:rsidRPr="00BB0E0E">
        <w:rPr>
          <w:rFonts w:hint="cs"/>
          <w:b/>
          <w:bCs/>
          <w:sz w:val="26"/>
          <w:rtl/>
        </w:rPr>
        <w:t>ב</w:t>
      </w:r>
      <w:r w:rsidRPr="00BB0E0E">
        <w:rPr>
          <w:rFonts w:hint="cs"/>
          <w:b/>
          <w:bCs/>
          <w:sz w:val="26"/>
          <w:rtl/>
        </w:rPr>
        <w:t xml:space="preserve">) </w:t>
      </w:r>
      <w:r w:rsidRPr="00BB0E0E">
        <w:rPr>
          <w:b/>
          <w:bCs/>
          <w:sz w:val="26"/>
          <w:rtl/>
        </w:rPr>
        <w:t>–</w:t>
      </w:r>
      <w:r w:rsidRPr="00BB0E0E">
        <w:rPr>
          <w:rFonts w:hint="cs"/>
          <w:b/>
          <w:bCs/>
          <w:sz w:val="26"/>
          <w:rtl/>
        </w:rPr>
        <w:t xml:space="preserve"> שינויים בטור </w:t>
      </w:r>
      <w:r w:rsidR="001766A3" w:rsidRPr="00BB0E0E">
        <w:rPr>
          <w:rFonts w:hint="cs"/>
          <w:b/>
          <w:bCs/>
          <w:sz w:val="26"/>
          <w:rtl/>
        </w:rPr>
        <w:t>ב</w:t>
      </w:r>
      <w:r w:rsidRPr="00BB0E0E">
        <w:rPr>
          <w:rFonts w:hint="cs"/>
          <w:b/>
          <w:bCs/>
          <w:sz w:val="26"/>
          <w:rtl/>
        </w:rPr>
        <w:t>':</w:t>
      </w:r>
    </w:p>
    <w:p w14:paraId="31B21113" w14:textId="77777777" w:rsidR="001C06D6" w:rsidRPr="00BB0E0E" w:rsidRDefault="00534DA6" w:rsidP="00B71575">
      <w:pPr>
        <w:ind w:hanging="341"/>
        <w:rPr>
          <w:sz w:val="26"/>
          <w:szCs w:val="26"/>
          <w:rtl/>
        </w:rPr>
      </w:pPr>
      <w:r w:rsidRPr="00BB0E0E">
        <w:rPr>
          <w:rFonts w:hint="cs"/>
          <w:sz w:val="26"/>
          <w:szCs w:val="26"/>
          <w:rtl/>
        </w:rPr>
        <w:t xml:space="preserve">מדובר בתיקוני נוסח וכן ביטול ההתייחסות לפרט (2), בעקבות ביטול פרט </w:t>
      </w:r>
      <w:r w:rsidR="001766A3" w:rsidRPr="00BB0E0E">
        <w:rPr>
          <w:rFonts w:hint="cs"/>
          <w:sz w:val="26"/>
          <w:szCs w:val="26"/>
          <w:rtl/>
        </w:rPr>
        <w:t xml:space="preserve">זה </w:t>
      </w:r>
      <w:r w:rsidRPr="00BB0E0E">
        <w:rPr>
          <w:rFonts w:hint="cs"/>
          <w:sz w:val="26"/>
          <w:szCs w:val="26"/>
          <w:rtl/>
        </w:rPr>
        <w:t>בטור א'.</w:t>
      </w:r>
    </w:p>
    <w:p w14:paraId="1745C3F2" w14:textId="77777777" w:rsidR="00354BEE" w:rsidRPr="00BB0E0E" w:rsidRDefault="00534DA6" w:rsidP="00B71575">
      <w:pPr>
        <w:pStyle w:val="Hesber"/>
        <w:ind w:hanging="1"/>
        <w:rPr>
          <w:sz w:val="26"/>
          <w:rtl/>
        </w:rPr>
      </w:pPr>
      <w:r w:rsidRPr="00BB0E0E">
        <w:rPr>
          <w:rFonts w:hint="cs"/>
          <w:sz w:val="26"/>
          <w:rtl/>
        </w:rPr>
        <w:t xml:space="preserve">כמו כן, </w:t>
      </w:r>
      <w:proofErr w:type="spellStart"/>
      <w:r w:rsidRPr="00BB0E0E">
        <w:rPr>
          <w:rFonts w:hint="cs"/>
          <w:sz w:val="26"/>
          <w:rtl/>
        </w:rPr>
        <w:t>לענין</w:t>
      </w:r>
      <w:proofErr w:type="spellEnd"/>
      <w:r w:rsidRPr="00BB0E0E">
        <w:rPr>
          <w:rFonts w:hint="cs"/>
          <w:sz w:val="26"/>
          <w:rtl/>
        </w:rPr>
        <w:t xml:space="preserve"> התנאים וההחרגות הנוגע</w:t>
      </w:r>
      <w:r w:rsidR="00B2768F">
        <w:rPr>
          <w:rFonts w:hint="cs"/>
          <w:sz w:val="26"/>
          <w:rtl/>
        </w:rPr>
        <w:t>ים</w:t>
      </w:r>
      <w:r w:rsidRPr="00BB0E0E">
        <w:rPr>
          <w:rFonts w:hint="cs"/>
          <w:sz w:val="26"/>
          <w:rtl/>
        </w:rPr>
        <w:t xml:space="preserve"> לתקנת האיחוד האירופי מס' </w:t>
      </w:r>
      <w:r w:rsidR="00B2768F" w:rsidRPr="00BB0E0E">
        <w:rPr>
          <w:rFonts w:hint="cs"/>
          <w:sz w:val="26"/>
          <w:rtl/>
          <w:lang w:eastAsia="he-IL"/>
        </w:rPr>
        <w:t xml:space="preserve">2073/2005 </w:t>
      </w:r>
      <w:r w:rsidRPr="00BB0E0E">
        <w:rPr>
          <w:rFonts w:hint="cs"/>
          <w:sz w:val="26"/>
          <w:rtl/>
          <w:lang w:eastAsia="he-IL"/>
        </w:rPr>
        <w:t xml:space="preserve">העוסקת </w:t>
      </w:r>
      <w:r w:rsidR="00DB4FDB" w:rsidRPr="00BB0E0E">
        <w:rPr>
          <w:rFonts w:hint="cs"/>
          <w:sz w:val="26"/>
          <w:rtl/>
          <w:lang w:eastAsia="he-IL"/>
        </w:rPr>
        <w:t>ב</w:t>
      </w:r>
      <w:r w:rsidR="006024B1" w:rsidRPr="00BB0E0E">
        <w:rPr>
          <w:rFonts w:hint="cs"/>
          <w:sz w:val="26"/>
          <w:rtl/>
          <w:lang w:eastAsia="he-IL"/>
        </w:rPr>
        <w:t>קריטריונים מיקרוביולוגיים עבור מוצרי מזון</w:t>
      </w:r>
      <w:r w:rsidRPr="00BB0E0E">
        <w:rPr>
          <w:rFonts w:hint="cs"/>
          <w:sz w:val="26"/>
          <w:rtl/>
          <w:lang w:eastAsia="he-IL"/>
        </w:rPr>
        <w:t>,</w:t>
      </w:r>
      <w:r w:rsidR="00DB4FDB" w:rsidRPr="00BB0E0E">
        <w:rPr>
          <w:rFonts w:hint="cs"/>
          <w:sz w:val="26"/>
          <w:rtl/>
          <w:lang w:eastAsia="he-IL"/>
        </w:rPr>
        <w:t xml:space="preserve"> </w:t>
      </w:r>
      <w:r w:rsidR="003B5193" w:rsidRPr="00BB0E0E">
        <w:rPr>
          <w:rFonts w:hint="cs"/>
          <w:sz w:val="26"/>
          <w:rtl/>
          <w:lang w:eastAsia="he-IL"/>
        </w:rPr>
        <w:t>מוצע</w:t>
      </w:r>
      <w:r w:rsidR="003B5193" w:rsidRPr="00BB0E0E">
        <w:rPr>
          <w:sz w:val="26"/>
          <w:rtl/>
          <w:lang w:eastAsia="he-IL"/>
        </w:rPr>
        <w:t xml:space="preserve">, להוסיף בטור </w:t>
      </w:r>
      <w:r w:rsidR="00DB4FDB" w:rsidRPr="00BB0E0E">
        <w:rPr>
          <w:rFonts w:hint="cs"/>
          <w:sz w:val="26"/>
          <w:rtl/>
          <w:lang w:eastAsia="he-IL"/>
        </w:rPr>
        <w:t xml:space="preserve">זה </w:t>
      </w:r>
      <w:r w:rsidR="003B5193" w:rsidRPr="00BB0E0E">
        <w:rPr>
          <w:rFonts w:hint="cs"/>
          <w:sz w:val="26"/>
          <w:rtl/>
          <w:lang w:eastAsia="he-IL"/>
        </w:rPr>
        <w:t>מספר</w:t>
      </w:r>
      <w:r w:rsidR="003B5193" w:rsidRPr="00BB0E0E">
        <w:rPr>
          <w:sz w:val="26"/>
          <w:rtl/>
          <w:lang w:eastAsia="he-IL"/>
        </w:rPr>
        <w:t xml:space="preserve"> תנאים והחרגות, ובכלל זה לעניין רמות מרביות של </w:t>
      </w:r>
      <w:proofErr w:type="spellStart"/>
      <w:r w:rsidR="003B5193" w:rsidRPr="00BB0E0E">
        <w:rPr>
          <w:rFonts w:hint="cs"/>
          <w:sz w:val="26"/>
          <w:rtl/>
          <w:lang w:eastAsia="he-IL"/>
        </w:rPr>
        <w:t>ליסטריה</w:t>
      </w:r>
      <w:proofErr w:type="spellEnd"/>
      <w:r w:rsidR="003B5193" w:rsidRPr="00BB0E0E">
        <w:rPr>
          <w:sz w:val="26"/>
          <w:rtl/>
          <w:lang w:eastAsia="he-IL"/>
        </w:rPr>
        <w:t xml:space="preserve"> וסלמונלה במזון,</w:t>
      </w:r>
      <w:r w:rsidR="001766A3" w:rsidRPr="00BB0E0E">
        <w:rPr>
          <w:rFonts w:hint="cs"/>
          <w:sz w:val="26"/>
          <w:rtl/>
          <w:lang w:eastAsia="he-IL"/>
        </w:rPr>
        <w:t xml:space="preserve"> לסוגי מזון ובתנאים</w:t>
      </w:r>
      <w:r w:rsidR="003B5193" w:rsidRPr="00BB0E0E">
        <w:rPr>
          <w:sz w:val="26"/>
          <w:rtl/>
          <w:lang w:eastAsia="he-IL"/>
        </w:rPr>
        <w:t xml:space="preserve"> והכול כמפורט </w:t>
      </w:r>
      <w:r w:rsidR="001766A3" w:rsidRPr="00BB0E0E">
        <w:rPr>
          <w:rFonts w:hint="cs"/>
          <w:sz w:val="26"/>
          <w:rtl/>
          <w:lang w:eastAsia="he-IL"/>
        </w:rPr>
        <w:t>בנוסח פרט (3) המוצע בטור זה.</w:t>
      </w:r>
      <w:r w:rsidR="00354BEE" w:rsidRPr="00BB0E0E">
        <w:rPr>
          <w:rFonts w:hint="cs"/>
          <w:sz w:val="26"/>
          <w:rtl/>
          <w:lang w:eastAsia="he-IL"/>
        </w:rPr>
        <w:t xml:space="preserve"> </w:t>
      </w:r>
    </w:p>
    <w:p w14:paraId="6A7ADDAC" w14:textId="77777777" w:rsidR="00354BEE" w:rsidRPr="00BB0E0E" w:rsidRDefault="00354BEE" w:rsidP="00B71575">
      <w:pPr>
        <w:pStyle w:val="Hesber"/>
        <w:ind w:hanging="1"/>
        <w:rPr>
          <w:sz w:val="26"/>
          <w:rtl/>
        </w:rPr>
      </w:pPr>
      <w:r w:rsidRPr="00BB0E0E">
        <w:rPr>
          <w:rFonts w:hint="cs"/>
          <w:sz w:val="26"/>
          <w:rtl/>
        </w:rPr>
        <w:t xml:space="preserve">אין המדובר בהוספת תנאים מחמירים או הרחבת ההחרגות המופיעות בנוסח התוספת </w:t>
      </w:r>
      <w:proofErr w:type="spellStart"/>
      <w:r w:rsidRPr="00BB0E0E">
        <w:rPr>
          <w:rFonts w:hint="cs"/>
          <w:sz w:val="26"/>
          <w:rtl/>
        </w:rPr>
        <w:t>השניה</w:t>
      </w:r>
      <w:proofErr w:type="spellEnd"/>
      <w:r w:rsidRPr="00BB0E0E">
        <w:rPr>
          <w:rFonts w:hint="cs"/>
          <w:sz w:val="26"/>
          <w:rtl/>
        </w:rPr>
        <w:t xml:space="preserve"> א כפי שהופיעה בחוק התכנית הכלכלית</w:t>
      </w:r>
      <w:r w:rsidR="00B2768F">
        <w:rPr>
          <w:rFonts w:hint="cs"/>
          <w:sz w:val="26"/>
          <w:rtl/>
        </w:rPr>
        <w:t xml:space="preserve"> 2021</w:t>
      </w:r>
      <w:r w:rsidRPr="00BB0E0E">
        <w:rPr>
          <w:rFonts w:hint="cs"/>
          <w:sz w:val="26"/>
          <w:rtl/>
        </w:rPr>
        <w:t xml:space="preserve">, אלא בדיוק </w:t>
      </w:r>
      <w:proofErr w:type="spellStart"/>
      <w:r w:rsidRPr="00BB0E0E">
        <w:rPr>
          <w:rFonts w:hint="cs"/>
          <w:sz w:val="26"/>
          <w:rtl/>
        </w:rPr>
        <w:t>המינוחים</w:t>
      </w:r>
      <w:proofErr w:type="spellEnd"/>
      <w:r w:rsidRPr="00BB0E0E">
        <w:rPr>
          <w:rFonts w:hint="cs"/>
          <w:sz w:val="26"/>
          <w:rtl/>
        </w:rPr>
        <w:t xml:space="preserve"> וההפניות ובצמצום דווקא של ההחרגות מהדין המאומץ. כך למשל במקום ההחרגה הגורפת </w:t>
      </w:r>
      <w:proofErr w:type="spellStart"/>
      <w:r w:rsidRPr="00BB0E0E">
        <w:rPr>
          <w:rFonts w:hint="cs"/>
          <w:sz w:val="26"/>
          <w:rtl/>
        </w:rPr>
        <w:t>לענין</w:t>
      </w:r>
      <w:proofErr w:type="spellEnd"/>
      <w:r w:rsidRPr="00BB0E0E">
        <w:rPr>
          <w:rFonts w:hint="cs"/>
          <w:sz w:val="26"/>
          <w:rtl/>
        </w:rPr>
        <w:t xml:space="preserve"> סלמונלה, מוצע שההחרגה מהדין האירופי, ביחס לגורם מזהם זה, תהיה רק לגבי מזונות מסוימים</w:t>
      </w:r>
      <w:r w:rsidR="00EF75CB">
        <w:rPr>
          <w:rFonts w:hint="cs"/>
          <w:sz w:val="26"/>
          <w:rtl/>
        </w:rPr>
        <w:t xml:space="preserve"> (טחינה, אגוזים ותבלינים)</w:t>
      </w:r>
      <w:r w:rsidRPr="00BB0E0E">
        <w:rPr>
          <w:rFonts w:hint="cs"/>
          <w:sz w:val="26"/>
          <w:rtl/>
        </w:rPr>
        <w:t xml:space="preserve">, וגם זאת רק בהיבט אחד </w:t>
      </w:r>
      <w:r w:rsidRPr="00BB0E0E">
        <w:rPr>
          <w:sz w:val="26"/>
          <w:rtl/>
        </w:rPr>
        <w:t>–</w:t>
      </w:r>
      <w:r w:rsidRPr="00BB0E0E">
        <w:rPr>
          <w:rFonts w:hint="cs"/>
          <w:sz w:val="26"/>
          <w:rtl/>
        </w:rPr>
        <w:t xml:space="preserve"> של מס' </w:t>
      </w:r>
      <w:r w:rsidR="004066ED">
        <w:rPr>
          <w:rFonts w:hint="cs"/>
          <w:sz w:val="26"/>
          <w:rtl/>
        </w:rPr>
        <w:t>מנות הדגימה במדגם</w:t>
      </w:r>
      <w:r w:rsidRPr="00BB0E0E">
        <w:rPr>
          <w:rFonts w:hint="cs"/>
          <w:sz w:val="26"/>
          <w:rtl/>
        </w:rPr>
        <w:t xml:space="preserve">. כמו כן, הובהר כי </w:t>
      </w:r>
      <w:proofErr w:type="spellStart"/>
      <w:r w:rsidRPr="00BB0E0E">
        <w:rPr>
          <w:rFonts w:hint="cs"/>
          <w:sz w:val="26"/>
          <w:rtl/>
        </w:rPr>
        <w:t>לענין</w:t>
      </w:r>
      <w:proofErr w:type="spellEnd"/>
      <w:r w:rsidRPr="00BB0E0E">
        <w:rPr>
          <w:rFonts w:hint="cs"/>
          <w:sz w:val="26"/>
          <w:rtl/>
        </w:rPr>
        <w:t xml:space="preserve"> ההוראות המאומצות בנושא תנאי תברואה </w:t>
      </w:r>
      <w:r w:rsidR="00FE209B">
        <w:rPr>
          <w:rFonts w:hint="cs"/>
          <w:sz w:val="26"/>
          <w:rtl/>
        </w:rPr>
        <w:t>החלתן היא על</w:t>
      </w:r>
      <w:r w:rsidRPr="00BB0E0E">
        <w:rPr>
          <w:rFonts w:hint="cs"/>
          <w:sz w:val="26"/>
          <w:rtl/>
        </w:rPr>
        <w:t xml:space="preserve"> </w:t>
      </w:r>
      <w:r w:rsidR="004066ED">
        <w:rPr>
          <w:rFonts w:hint="cs"/>
          <w:sz w:val="26"/>
          <w:rtl/>
        </w:rPr>
        <w:t>תהליך הייצור בלבד של מזון</w:t>
      </w:r>
      <w:r w:rsidRPr="00BB0E0E">
        <w:rPr>
          <w:rFonts w:hint="cs"/>
          <w:sz w:val="26"/>
          <w:rtl/>
        </w:rPr>
        <w:t xml:space="preserve"> </w:t>
      </w:r>
      <w:r w:rsidR="004066ED">
        <w:rPr>
          <w:rFonts w:hint="cs"/>
          <w:sz w:val="26"/>
          <w:rtl/>
        </w:rPr>
        <w:t xml:space="preserve">ולא על יבוא ושיווק. </w:t>
      </w:r>
      <w:r w:rsidR="008235DA">
        <w:rPr>
          <w:rFonts w:hint="cs"/>
          <w:sz w:val="26"/>
          <w:rtl/>
        </w:rPr>
        <w:t xml:space="preserve">זאת, </w:t>
      </w:r>
      <w:r w:rsidR="00FE209B">
        <w:rPr>
          <w:rFonts w:hint="cs"/>
          <w:sz w:val="26"/>
          <w:rtl/>
        </w:rPr>
        <w:t>מאחר ו</w:t>
      </w:r>
      <w:r w:rsidR="008235DA">
        <w:rPr>
          <w:rFonts w:hint="cs"/>
          <w:sz w:val="26"/>
          <w:rtl/>
        </w:rPr>
        <w:t xml:space="preserve">הקריטריונים לפיהם ניתן לבחון את המזון </w:t>
      </w:r>
      <w:r w:rsidR="00FE209B">
        <w:rPr>
          <w:rFonts w:hint="cs"/>
          <w:sz w:val="26"/>
          <w:rtl/>
        </w:rPr>
        <w:t xml:space="preserve">בשלב של יבוא או שיווק, </w:t>
      </w:r>
      <w:r w:rsidR="008235DA">
        <w:rPr>
          <w:rFonts w:hint="cs"/>
          <w:sz w:val="26"/>
          <w:rtl/>
        </w:rPr>
        <w:t xml:space="preserve">הם קריטריונים של בטיחות מזון, המנויים </w:t>
      </w:r>
      <w:r w:rsidR="00FE209B" w:rsidRPr="00BB0E0E">
        <w:rPr>
          <w:sz w:val="26"/>
          <w:rtl/>
        </w:rPr>
        <w:t xml:space="preserve">בפרק 1 של נספח </w:t>
      </w:r>
      <w:r w:rsidR="00FE209B" w:rsidRPr="00BB0E0E">
        <w:rPr>
          <w:sz w:val="26"/>
        </w:rPr>
        <w:t>I</w:t>
      </w:r>
      <w:r w:rsidR="00FE209B" w:rsidRPr="00BB0E0E">
        <w:rPr>
          <w:sz w:val="26"/>
          <w:rtl/>
        </w:rPr>
        <w:t xml:space="preserve"> לתקנה</w:t>
      </w:r>
      <w:r w:rsidR="00FE209B">
        <w:rPr>
          <w:rFonts w:hint="cs"/>
          <w:sz w:val="26"/>
          <w:rtl/>
        </w:rPr>
        <w:t xml:space="preserve"> </w:t>
      </w:r>
      <w:proofErr w:type="spellStart"/>
      <w:r w:rsidR="008235DA">
        <w:rPr>
          <w:rFonts w:hint="cs"/>
          <w:sz w:val="26"/>
          <w:rtl/>
        </w:rPr>
        <w:t>לתקנה</w:t>
      </w:r>
      <w:proofErr w:type="spellEnd"/>
      <w:r w:rsidR="008235DA">
        <w:rPr>
          <w:rFonts w:hint="cs"/>
          <w:sz w:val="26"/>
          <w:rtl/>
        </w:rPr>
        <w:t xml:space="preserve"> האירופאית </w:t>
      </w:r>
      <w:r w:rsidR="00FE209B" w:rsidRPr="00BB0E0E">
        <w:rPr>
          <w:rFonts w:hint="cs"/>
          <w:sz w:val="26"/>
          <w:rtl/>
        </w:rPr>
        <w:t xml:space="preserve">מס' </w:t>
      </w:r>
      <w:r w:rsidR="00FE209B" w:rsidRPr="00BB0E0E">
        <w:rPr>
          <w:rFonts w:hint="cs"/>
          <w:sz w:val="26"/>
          <w:rtl/>
          <w:lang w:eastAsia="he-IL"/>
        </w:rPr>
        <w:t>2073/2005</w:t>
      </w:r>
      <w:r w:rsidR="008235DA">
        <w:rPr>
          <w:rFonts w:hint="cs"/>
          <w:sz w:val="26"/>
          <w:rtl/>
        </w:rPr>
        <w:t xml:space="preserve"> </w:t>
      </w:r>
      <w:r w:rsidR="00FE209B">
        <w:rPr>
          <w:rFonts w:hint="cs"/>
          <w:sz w:val="26"/>
          <w:rtl/>
        </w:rPr>
        <w:t>המאומצת ממילא.</w:t>
      </w:r>
    </w:p>
    <w:p w14:paraId="0697099F" w14:textId="77777777" w:rsidR="00354BEE" w:rsidRPr="00BB0E0E" w:rsidRDefault="00354BEE" w:rsidP="00B81693">
      <w:pPr>
        <w:pStyle w:val="Hesber"/>
        <w:rPr>
          <w:sz w:val="26"/>
          <w:rtl/>
          <w:lang w:eastAsia="he-IL"/>
        </w:rPr>
      </w:pPr>
      <w:r w:rsidRPr="00BB0E0E">
        <w:rPr>
          <w:rFonts w:hint="cs"/>
          <w:sz w:val="26"/>
          <w:rtl/>
          <w:lang w:eastAsia="he-IL"/>
        </w:rPr>
        <w:t xml:space="preserve"> </w:t>
      </w:r>
    </w:p>
    <w:p w14:paraId="6B58CF15" w14:textId="77777777" w:rsidR="001766A3" w:rsidRPr="00BB0E0E" w:rsidRDefault="001766A3" w:rsidP="001766A3">
      <w:pPr>
        <w:pStyle w:val="Hesber"/>
        <w:numPr>
          <w:ilvl w:val="0"/>
          <w:numId w:val="30"/>
        </w:numPr>
        <w:rPr>
          <w:b/>
          <w:bCs/>
          <w:sz w:val="26"/>
        </w:rPr>
      </w:pPr>
      <w:proofErr w:type="spellStart"/>
      <w:r w:rsidRPr="00BB0E0E">
        <w:rPr>
          <w:rFonts w:hint="cs"/>
          <w:b/>
          <w:bCs/>
          <w:sz w:val="26"/>
          <w:rtl/>
        </w:rPr>
        <w:t>לענין</w:t>
      </w:r>
      <w:proofErr w:type="spellEnd"/>
      <w:r w:rsidRPr="00BB0E0E">
        <w:rPr>
          <w:rFonts w:hint="cs"/>
          <w:b/>
          <w:bCs/>
          <w:sz w:val="26"/>
          <w:rtl/>
        </w:rPr>
        <w:t xml:space="preserve"> סעיף קטן (ג) </w:t>
      </w:r>
      <w:r w:rsidRPr="00BB0E0E">
        <w:rPr>
          <w:b/>
          <w:bCs/>
          <w:sz w:val="26"/>
          <w:rtl/>
        </w:rPr>
        <w:t>–</w:t>
      </w:r>
      <w:r w:rsidRPr="00BB0E0E">
        <w:rPr>
          <w:rFonts w:hint="cs"/>
          <w:b/>
          <w:bCs/>
          <w:sz w:val="26"/>
          <w:rtl/>
        </w:rPr>
        <w:t xml:space="preserve"> שינויים בטור ג':</w:t>
      </w:r>
    </w:p>
    <w:p w14:paraId="490D4CEB" w14:textId="77777777" w:rsidR="00C52F4B" w:rsidRDefault="001766A3" w:rsidP="00B71575">
      <w:pPr>
        <w:ind w:left="-1"/>
        <w:rPr>
          <w:sz w:val="26"/>
          <w:szCs w:val="26"/>
          <w:rtl/>
        </w:rPr>
      </w:pPr>
      <w:r w:rsidRPr="00BB0E0E">
        <w:rPr>
          <w:rFonts w:hint="cs"/>
          <w:sz w:val="26"/>
          <w:szCs w:val="26"/>
          <w:rtl/>
        </w:rPr>
        <w:t>מדובר בתיקוני נוסח וכן ביטול ההתייחסות לפרט (2), בעקבות ביטול פרט זה בטור א'.</w:t>
      </w:r>
    </w:p>
    <w:p w14:paraId="1E4CA99E" w14:textId="77777777" w:rsidR="00B71575" w:rsidRPr="00BB0E0E" w:rsidRDefault="00B71575" w:rsidP="00B71575">
      <w:pPr>
        <w:ind w:left="-1"/>
        <w:rPr>
          <w:sz w:val="26"/>
          <w:szCs w:val="26"/>
          <w:rtl/>
        </w:rPr>
      </w:pPr>
    </w:p>
    <w:p w14:paraId="7E13C87E" w14:textId="77777777" w:rsidR="001766A3" w:rsidRPr="00BB0E0E" w:rsidRDefault="001766A3" w:rsidP="001766A3">
      <w:pPr>
        <w:pStyle w:val="Hesber"/>
        <w:numPr>
          <w:ilvl w:val="0"/>
          <w:numId w:val="30"/>
        </w:numPr>
        <w:rPr>
          <w:b/>
          <w:bCs/>
          <w:sz w:val="26"/>
        </w:rPr>
      </w:pPr>
      <w:proofErr w:type="spellStart"/>
      <w:r w:rsidRPr="00BB0E0E">
        <w:rPr>
          <w:rFonts w:hint="cs"/>
          <w:b/>
          <w:bCs/>
          <w:sz w:val="26"/>
          <w:rtl/>
        </w:rPr>
        <w:t>לענין</w:t>
      </w:r>
      <w:proofErr w:type="spellEnd"/>
      <w:r w:rsidRPr="00BB0E0E">
        <w:rPr>
          <w:rFonts w:hint="cs"/>
          <w:b/>
          <w:bCs/>
          <w:sz w:val="26"/>
          <w:rtl/>
        </w:rPr>
        <w:t xml:space="preserve"> סעיף קטן (ד) </w:t>
      </w:r>
      <w:r w:rsidRPr="00BB0E0E">
        <w:rPr>
          <w:b/>
          <w:bCs/>
          <w:sz w:val="26"/>
          <w:rtl/>
        </w:rPr>
        <w:t>–</w:t>
      </w:r>
      <w:r w:rsidRPr="00BB0E0E">
        <w:rPr>
          <w:rFonts w:hint="cs"/>
          <w:b/>
          <w:bCs/>
          <w:sz w:val="26"/>
          <w:rtl/>
        </w:rPr>
        <w:t xml:space="preserve"> הוספת טור ד':</w:t>
      </w:r>
    </w:p>
    <w:p w14:paraId="57FF8F85" w14:textId="77777777" w:rsidR="00C52F4B" w:rsidRPr="00BB0E0E" w:rsidRDefault="003B5193" w:rsidP="00B71575">
      <w:pPr>
        <w:ind w:left="-1"/>
        <w:rPr>
          <w:sz w:val="26"/>
          <w:szCs w:val="26"/>
        </w:rPr>
      </w:pPr>
      <w:r w:rsidRPr="00BB0E0E">
        <w:rPr>
          <w:rFonts w:hint="cs"/>
          <w:sz w:val="26"/>
          <w:szCs w:val="26"/>
          <w:rtl/>
        </w:rPr>
        <w:t>למען</w:t>
      </w:r>
      <w:r w:rsidRPr="00BB0E0E">
        <w:rPr>
          <w:sz w:val="26"/>
          <w:szCs w:val="26"/>
          <w:rtl/>
        </w:rPr>
        <w:t xml:space="preserve"> </w:t>
      </w:r>
      <w:r w:rsidRPr="00BB0E0E">
        <w:rPr>
          <w:rFonts w:hint="cs"/>
          <w:sz w:val="26"/>
          <w:szCs w:val="26"/>
          <w:rtl/>
        </w:rPr>
        <w:t>הבהירות</w:t>
      </w:r>
      <w:r w:rsidR="001766A3" w:rsidRPr="00BB0E0E">
        <w:rPr>
          <w:rFonts w:hint="cs"/>
          <w:sz w:val="26"/>
          <w:szCs w:val="26"/>
          <w:rtl/>
        </w:rPr>
        <w:t>,</w:t>
      </w:r>
      <w:r w:rsidRPr="00BB0E0E">
        <w:rPr>
          <w:sz w:val="26"/>
          <w:szCs w:val="26"/>
          <w:rtl/>
        </w:rPr>
        <w:t xml:space="preserve"> מוצע להוסיף </w:t>
      </w:r>
      <w:r w:rsidR="001766A3" w:rsidRPr="00BB0E0E">
        <w:rPr>
          <w:rFonts w:hint="cs"/>
          <w:sz w:val="26"/>
          <w:szCs w:val="26"/>
          <w:rtl/>
        </w:rPr>
        <w:t xml:space="preserve">טור ד' לתוספת ובו </w:t>
      </w:r>
      <w:proofErr w:type="spellStart"/>
      <w:r w:rsidR="001766A3" w:rsidRPr="00BB0E0E">
        <w:rPr>
          <w:rFonts w:hint="cs"/>
          <w:sz w:val="26"/>
          <w:szCs w:val="26"/>
          <w:rtl/>
        </w:rPr>
        <w:t>יצויינו</w:t>
      </w:r>
      <w:proofErr w:type="spellEnd"/>
      <w:r w:rsidR="001766A3" w:rsidRPr="00BB0E0E">
        <w:rPr>
          <w:rFonts w:hint="cs"/>
          <w:sz w:val="26"/>
          <w:szCs w:val="26"/>
          <w:rtl/>
        </w:rPr>
        <w:t xml:space="preserve"> הסעיפים בחוק </w:t>
      </w:r>
      <w:r w:rsidR="00155A5E">
        <w:rPr>
          <w:rFonts w:hint="cs"/>
          <w:sz w:val="26"/>
          <w:szCs w:val="26"/>
          <w:rtl/>
        </w:rPr>
        <w:t xml:space="preserve">המזון </w:t>
      </w:r>
      <w:r w:rsidR="002F370D">
        <w:rPr>
          <w:rFonts w:hint="cs"/>
          <w:sz w:val="26"/>
          <w:szCs w:val="26"/>
          <w:rtl/>
        </w:rPr>
        <w:t>אשר סמכות שר הבריאות לפיהן, מוגבלת עקב האימוץ וזאת בהתאם להוראות סעיף 3(ו) לחוק כנוסחו בתיקון מס' 3.</w:t>
      </w:r>
    </w:p>
    <w:p w14:paraId="0231C400" w14:textId="77777777" w:rsidR="001766A3" w:rsidRPr="00BB0E0E" w:rsidRDefault="001766A3" w:rsidP="006024B1">
      <w:pPr>
        <w:rPr>
          <w:sz w:val="26"/>
          <w:szCs w:val="26"/>
          <w:rtl/>
        </w:rPr>
      </w:pPr>
    </w:p>
    <w:p w14:paraId="4A38EFF1" w14:textId="77777777" w:rsidR="000B5306" w:rsidRPr="00BB0E0E" w:rsidRDefault="000B5306" w:rsidP="000B5306">
      <w:pPr>
        <w:pStyle w:val="Hesber"/>
        <w:rPr>
          <w:b/>
          <w:bCs/>
          <w:sz w:val="26"/>
          <w:rtl/>
          <w:lang w:eastAsia="he-IL"/>
        </w:rPr>
      </w:pPr>
      <w:r w:rsidRPr="00BB0E0E">
        <w:rPr>
          <w:rFonts w:hint="cs"/>
          <w:b/>
          <w:bCs/>
          <w:sz w:val="26"/>
          <w:rtl/>
          <w:lang w:eastAsia="he-IL"/>
        </w:rPr>
        <w:t xml:space="preserve">סעיפים 3-4 </w:t>
      </w:r>
      <w:proofErr w:type="spellStart"/>
      <w:r w:rsidRPr="00BB0E0E">
        <w:rPr>
          <w:rFonts w:hint="cs"/>
          <w:b/>
          <w:bCs/>
          <w:sz w:val="26"/>
          <w:rtl/>
          <w:lang w:eastAsia="he-IL"/>
        </w:rPr>
        <w:t>לענין</w:t>
      </w:r>
      <w:proofErr w:type="spellEnd"/>
      <w:r w:rsidRPr="00BB0E0E">
        <w:rPr>
          <w:rFonts w:hint="cs"/>
          <w:b/>
          <w:bCs/>
          <w:sz w:val="26"/>
          <w:rtl/>
          <w:lang w:eastAsia="he-IL"/>
        </w:rPr>
        <w:t xml:space="preserve"> התחילה והוראות מעבר</w:t>
      </w:r>
    </w:p>
    <w:p w14:paraId="0559D662" w14:textId="77777777" w:rsidR="000B5306" w:rsidRPr="00BB0E0E" w:rsidRDefault="000B5306" w:rsidP="00B71575">
      <w:pPr>
        <w:pStyle w:val="Hesber"/>
        <w:ind w:hanging="1"/>
        <w:rPr>
          <w:sz w:val="26"/>
          <w:rtl/>
        </w:rPr>
      </w:pPr>
      <w:r w:rsidRPr="00BB0E0E">
        <w:rPr>
          <w:rFonts w:hint="cs"/>
          <w:sz w:val="26"/>
          <w:rtl/>
        </w:rPr>
        <w:t>בהתאם לסעיף 109(א) לחוק התכנית הכלכלית</w:t>
      </w:r>
      <w:r w:rsidR="002D03C2">
        <w:rPr>
          <w:rFonts w:hint="cs"/>
          <w:sz w:val="26"/>
          <w:rtl/>
        </w:rPr>
        <w:t xml:space="preserve"> 2021</w:t>
      </w:r>
      <w:r w:rsidRPr="00BB0E0E">
        <w:rPr>
          <w:rFonts w:hint="cs"/>
          <w:sz w:val="26"/>
          <w:rtl/>
        </w:rPr>
        <w:t>, תחילתן של</w:t>
      </w:r>
      <w:r w:rsidR="004D4908" w:rsidRPr="00BB0E0E">
        <w:rPr>
          <w:rFonts w:hint="cs"/>
          <w:sz w:val="26"/>
          <w:rtl/>
        </w:rPr>
        <w:t xml:space="preserve"> ההוראות המאומצות המפורטות בתוספת השנייה א' לחוק המזון יהיה </w:t>
      </w:r>
      <w:r w:rsidR="00E30987" w:rsidRPr="00BB0E0E">
        <w:rPr>
          <w:rFonts w:hint="cs"/>
          <w:sz w:val="26"/>
          <w:rtl/>
        </w:rPr>
        <w:t xml:space="preserve"> יום ה-</w:t>
      </w:r>
      <w:r w:rsidR="004D4908" w:rsidRPr="00BB0E0E">
        <w:rPr>
          <w:rFonts w:hint="cs"/>
          <w:sz w:val="26"/>
          <w:rtl/>
        </w:rPr>
        <w:t xml:space="preserve"> 1 בינואר 2023</w:t>
      </w:r>
      <w:r w:rsidR="00E30987" w:rsidRPr="00BB0E0E">
        <w:rPr>
          <w:rFonts w:hint="cs"/>
          <w:sz w:val="26"/>
          <w:rtl/>
        </w:rPr>
        <w:t xml:space="preserve"> (להלן- מועד התחילה העיקרי).</w:t>
      </w:r>
    </w:p>
    <w:p w14:paraId="6282324F" w14:textId="77777777" w:rsidR="000B5306" w:rsidRPr="00BB0E0E" w:rsidRDefault="004D4908" w:rsidP="00B71575">
      <w:pPr>
        <w:pStyle w:val="Hesber"/>
        <w:ind w:hanging="1"/>
        <w:rPr>
          <w:sz w:val="26"/>
          <w:rtl/>
        </w:rPr>
      </w:pPr>
      <w:r w:rsidRPr="00BB0E0E">
        <w:rPr>
          <w:rFonts w:hint="cs"/>
          <w:sz w:val="26"/>
          <w:rtl/>
        </w:rPr>
        <w:t xml:space="preserve">עם זאת, לאור התיקונים המוצעים בתוספת </w:t>
      </w:r>
      <w:proofErr w:type="spellStart"/>
      <w:r w:rsidRPr="00BB0E0E">
        <w:rPr>
          <w:rFonts w:hint="cs"/>
          <w:sz w:val="26"/>
          <w:rtl/>
        </w:rPr>
        <w:t>השניה</w:t>
      </w:r>
      <w:proofErr w:type="spellEnd"/>
      <w:r w:rsidRPr="00BB0E0E">
        <w:rPr>
          <w:rFonts w:hint="cs"/>
          <w:sz w:val="26"/>
          <w:rtl/>
        </w:rPr>
        <w:t xml:space="preserve"> א ועל מנת ליישבם עם מכלול ההוראות שהוספו לחוק המזון במסגרת תיקון מס' 3, יש צורך בהוראות מעבר </w:t>
      </w:r>
      <w:r w:rsidR="00C40920">
        <w:rPr>
          <w:rFonts w:hint="cs"/>
          <w:sz w:val="26"/>
          <w:rtl/>
        </w:rPr>
        <w:t xml:space="preserve">הכוללות היערכות. נדגיש כי תקופת מעבר הינה חיונית ביותר לצורך היערכות המשק </w:t>
      </w:r>
      <w:r w:rsidR="00861C29">
        <w:rPr>
          <w:rFonts w:hint="cs"/>
          <w:sz w:val="26"/>
          <w:rtl/>
        </w:rPr>
        <w:t>ל</w:t>
      </w:r>
      <w:r w:rsidR="00C40920">
        <w:rPr>
          <w:rFonts w:hint="cs"/>
          <w:sz w:val="26"/>
          <w:rtl/>
        </w:rPr>
        <w:t xml:space="preserve">יישום והטמעת </w:t>
      </w:r>
      <w:r w:rsidR="00861C29">
        <w:rPr>
          <w:rFonts w:hint="cs"/>
          <w:sz w:val="26"/>
          <w:rtl/>
        </w:rPr>
        <w:t>ה</w:t>
      </w:r>
      <w:r w:rsidR="00C40920">
        <w:rPr>
          <w:rFonts w:hint="cs"/>
          <w:sz w:val="26"/>
          <w:rtl/>
        </w:rPr>
        <w:t xml:space="preserve">רפורמה </w:t>
      </w:r>
      <w:r w:rsidR="00861C29">
        <w:rPr>
          <w:rFonts w:hint="cs"/>
          <w:sz w:val="26"/>
          <w:rtl/>
        </w:rPr>
        <w:t>ובכלל זה הבטחת</w:t>
      </w:r>
      <w:r w:rsidR="00C40920">
        <w:rPr>
          <w:rFonts w:hint="cs"/>
          <w:sz w:val="26"/>
          <w:rtl/>
        </w:rPr>
        <w:t xml:space="preserve"> הפעילות השוטפת של התעשייה ומניעת בזבוז מזון, כפי שנפרט להלן.</w:t>
      </w:r>
    </w:p>
    <w:p w14:paraId="37D0F031" w14:textId="77777777" w:rsidR="00E30987" w:rsidRPr="00BB0E0E" w:rsidRDefault="00E30987" w:rsidP="004D4908">
      <w:pPr>
        <w:pStyle w:val="Hesber"/>
        <w:rPr>
          <w:sz w:val="26"/>
          <w:rtl/>
        </w:rPr>
      </w:pPr>
    </w:p>
    <w:p w14:paraId="659B6C6D" w14:textId="77777777" w:rsidR="00C52F4B" w:rsidRPr="00BB0E0E" w:rsidRDefault="004D4908">
      <w:pPr>
        <w:pStyle w:val="Hesber"/>
        <w:rPr>
          <w:b/>
          <w:bCs/>
          <w:sz w:val="26"/>
          <w:lang w:eastAsia="he-IL"/>
        </w:rPr>
      </w:pPr>
      <w:proofErr w:type="spellStart"/>
      <w:r w:rsidRPr="00BB0E0E">
        <w:rPr>
          <w:rFonts w:hint="cs"/>
          <w:b/>
          <w:bCs/>
          <w:sz w:val="26"/>
          <w:rtl/>
          <w:lang w:eastAsia="he-IL"/>
        </w:rPr>
        <w:t>לענין</w:t>
      </w:r>
      <w:proofErr w:type="spellEnd"/>
      <w:r w:rsidRPr="00BB0E0E">
        <w:rPr>
          <w:rFonts w:hint="cs"/>
          <w:b/>
          <w:bCs/>
          <w:sz w:val="26"/>
          <w:rtl/>
          <w:lang w:eastAsia="he-IL"/>
        </w:rPr>
        <w:t xml:space="preserve"> סעיף 4(א) </w:t>
      </w:r>
      <w:r w:rsidRPr="00BB0E0E">
        <w:rPr>
          <w:b/>
          <w:bCs/>
          <w:sz w:val="26"/>
          <w:rtl/>
          <w:lang w:eastAsia="he-IL"/>
        </w:rPr>
        <w:t>–</w:t>
      </w:r>
      <w:r w:rsidRPr="00BB0E0E">
        <w:rPr>
          <w:rFonts w:hint="cs"/>
          <w:b/>
          <w:bCs/>
          <w:sz w:val="26"/>
          <w:rtl/>
          <w:lang w:eastAsia="he-IL"/>
        </w:rPr>
        <w:t xml:space="preserve"> תחילת תחולתה של </w:t>
      </w:r>
      <w:r w:rsidR="003B5193" w:rsidRPr="00BB0E0E">
        <w:rPr>
          <w:b/>
          <w:bCs/>
          <w:sz w:val="26"/>
          <w:rtl/>
          <w:lang w:eastAsia="he-IL"/>
        </w:rPr>
        <w:t>ההוראה המנויה בפרט (3) בתוספת השנייה א' לחוק ה</w:t>
      </w:r>
      <w:r w:rsidR="003B5193" w:rsidRPr="00BB0E0E">
        <w:rPr>
          <w:rFonts w:hint="cs"/>
          <w:b/>
          <w:bCs/>
          <w:sz w:val="26"/>
          <w:rtl/>
          <w:lang w:eastAsia="he-IL"/>
        </w:rPr>
        <w:t>עיקרי</w:t>
      </w:r>
      <w:r w:rsidR="003B5193" w:rsidRPr="00BB0E0E">
        <w:rPr>
          <w:b/>
          <w:bCs/>
          <w:sz w:val="26"/>
          <w:rtl/>
          <w:lang w:eastAsia="he-IL"/>
        </w:rPr>
        <w:t xml:space="preserve"> כנוסחה בצו זה</w:t>
      </w:r>
      <w:r w:rsidRPr="00BB0E0E">
        <w:rPr>
          <w:rFonts w:hint="cs"/>
          <w:b/>
          <w:bCs/>
          <w:sz w:val="26"/>
          <w:rtl/>
          <w:lang w:eastAsia="he-IL"/>
        </w:rPr>
        <w:t xml:space="preserve"> - </w:t>
      </w:r>
    </w:p>
    <w:p w14:paraId="169B8FA1" w14:textId="77777777" w:rsidR="004D4908" w:rsidRPr="00E213C0" w:rsidRDefault="00E30987" w:rsidP="00B71575">
      <w:pPr>
        <w:pStyle w:val="Hesber"/>
        <w:ind w:hanging="1"/>
        <w:rPr>
          <w:sz w:val="26"/>
          <w:rtl/>
        </w:rPr>
      </w:pPr>
      <w:r w:rsidRPr="00BB0E0E">
        <w:rPr>
          <w:rFonts w:hint="cs"/>
          <w:sz w:val="26"/>
          <w:rtl/>
        </w:rPr>
        <w:t>על פי סעיף 109(ב)(1) לחוק התכנית הכלכלית</w:t>
      </w:r>
      <w:r w:rsidR="00AE3136">
        <w:rPr>
          <w:rFonts w:hint="cs"/>
          <w:sz w:val="26"/>
          <w:rtl/>
        </w:rPr>
        <w:t xml:space="preserve"> 2021</w:t>
      </w:r>
      <w:r w:rsidRPr="00BB0E0E">
        <w:rPr>
          <w:rFonts w:hint="cs"/>
          <w:sz w:val="26"/>
          <w:rtl/>
        </w:rPr>
        <w:t xml:space="preserve">, תיקון סעיף 41 לחוק המזון בכל הנוגע ליישום תכנית בטיחות מזון בבקרה </w:t>
      </w:r>
      <w:r w:rsidRPr="00E213C0">
        <w:rPr>
          <w:rFonts w:hint="cs"/>
          <w:sz w:val="26"/>
          <w:rtl/>
        </w:rPr>
        <w:t xml:space="preserve">עצמית, הוחרג, ביחד עם סעיפים נוספים, </w:t>
      </w:r>
      <w:proofErr w:type="spellStart"/>
      <w:r w:rsidRPr="00E213C0">
        <w:rPr>
          <w:rFonts w:hint="cs"/>
          <w:sz w:val="26"/>
          <w:rtl/>
        </w:rPr>
        <w:t>לענין</w:t>
      </w:r>
      <w:proofErr w:type="spellEnd"/>
      <w:r w:rsidRPr="00E213C0">
        <w:rPr>
          <w:rFonts w:hint="cs"/>
          <w:sz w:val="26"/>
          <w:rtl/>
        </w:rPr>
        <w:t xml:space="preserve"> מועד התחילה העיקרי, ונקבע שיום התחילה לגביו יהיה ביום 1 באוגוסט 2026. זאת, על מנת לאפשר תקופת התארגנות להטמעת השינויים הנדרשים בתהליכי הייצור.</w:t>
      </w:r>
    </w:p>
    <w:p w14:paraId="68E1DAE5" w14:textId="77777777" w:rsidR="00E30987" w:rsidRPr="00E213C0" w:rsidRDefault="003B5193" w:rsidP="00B71575">
      <w:pPr>
        <w:pStyle w:val="Hesber"/>
        <w:ind w:hanging="1"/>
        <w:rPr>
          <w:sz w:val="26"/>
          <w:rtl/>
        </w:rPr>
      </w:pPr>
      <w:r w:rsidRPr="00E213C0">
        <w:rPr>
          <w:rFonts w:hint="cs"/>
          <w:sz w:val="26"/>
          <w:rtl/>
        </w:rPr>
        <w:t>לנוכח</w:t>
      </w:r>
      <w:r w:rsidRPr="00E213C0">
        <w:rPr>
          <w:sz w:val="26"/>
          <w:rtl/>
        </w:rPr>
        <w:t xml:space="preserve"> השינויים המוצעים </w:t>
      </w:r>
      <w:r w:rsidRPr="00E213C0">
        <w:rPr>
          <w:rFonts w:hint="cs"/>
          <w:sz w:val="26"/>
          <w:rtl/>
        </w:rPr>
        <w:t>במסגרת</w:t>
      </w:r>
      <w:r w:rsidRPr="00E213C0">
        <w:rPr>
          <w:sz w:val="26"/>
          <w:rtl/>
        </w:rPr>
        <w:t xml:space="preserve"> צו זה, </w:t>
      </w:r>
      <w:r w:rsidRPr="00E213C0">
        <w:rPr>
          <w:rFonts w:hint="cs"/>
          <w:sz w:val="26"/>
          <w:rtl/>
        </w:rPr>
        <w:t>ביחס</w:t>
      </w:r>
      <w:r w:rsidRPr="00E213C0">
        <w:rPr>
          <w:sz w:val="26"/>
          <w:rtl/>
        </w:rPr>
        <w:t xml:space="preserve"> לפרט (3) בטור ב' לתוספת, </w:t>
      </w:r>
      <w:proofErr w:type="spellStart"/>
      <w:r w:rsidRPr="00E213C0">
        <w:rPr>
          <w:rFonts w:hint="cs"/>
          <w:sz w:val="26"/>
          <w:rtl/>
        </w:rPr>
        <w:t>לענין</w:t>
      </w:r>
      <w:proofErr w:type="spellEnd"/>
      <w:r w:rsidRPr="00E213C0">
        <w:rPr>
          <w:sz w:val="26"/>
          <w:rtl/>
        </w:rPr>
        <w:t xml:space="preserve"> החלת </w:t>
      </w:r>
      <w:r w:rsidRPr="00E213C0">
        <w:rPr>
          <w:rFonts w:hint="cs"/>
          <w:sz w:val="26"/>
          <w:rtl/>
        </w:rPr>
        <w:t>תקנת</w:t>
      </w:r>
      <w:r w:rsidRPr="00E213C0">
        <w:rPr>
          <w:sz w:val="26"/>
          <w:rtl/>
        </w:rPr>
        <w:t xml:space="preserve"> האיחוד האירופי </w:t>
      </w:r>
      <w:r w:rsidRPr="00E213C0">
        <w:rPr>
          <w:rFonts w:hint="cs"/>
          <w:sz w:val="26"/>
          <w:rtl/>
          <w:lang w:eastAsia="he-IL"/>
        </w:rPr>
        <w:t>מס</w:t>
      </w:r>
      <w:r w:rsidRPr="00E213C0">
        <w:rPr>
          <w:sz w:val="26"/>
          <w:rtl/>
          <w:lang w:eastAsia="he-IL"/>
        </w:rPr>
        <w:t>' 2073/2005</w:t>
      </w:r>
      <w:r w:rsidRPr="00E213C0">
        <w:rPr>
          <w:sz w:val="26"/>
          <w:rtl/>
        </w:rPr>
        <w:t xml:space="preserve"> העוסקת בקריטריונים מיקרוביולוגיים </w:t>
      </w:r>
      <w:r w:rsidRPr="00E213C0">
        <w:rPr>
          <w:rFonts w:hint="cs"/>
          <w:sz w:val="26"/>
          <w:rtl/>
        </w:rPr>
        <w:t>עבור</w:t>
      </w:r>
      <w:r w:rsidRPr="00E213C0">
        <w:rPr>
          <w:sz w:val="26"/>
          <w:rtl/>
        </w:rPr>
        <w:t xml:space="preserve"> </w:t>
      </w:r>
      <w:r w:rsidRPr="00E213C0">
        <w:rPr>
          <w:rFonts w:hint="cs"/>
          <w:sz w:val="26"/>
          <w:rtl/>
        </w:rPr>
        <w:t>מוצרי</w:t>
      </w:r>
      <w:r w:rsidRPr="00E213C0">
        <w:rPr>
          <w:sz w:val="26"/>
          <w:rtl/>
        </w:rPr>
        <w:t xml:space="preserve"> </w:t>
      </w:r>
      <w:r w:rsidRPr="00E213C0">
        <w:rPr>
          <w:rFonts w:hint="cs"/>
          <w:sz w:val="26"/>
          <w:rtl/>
        </w:rPr>
        <w:t>מזון</w:t>
      </w:r>
      <w:r w:rsidRPr="00E213C0">
        <w:rPr>
          <w:sz w:val="26"/>
          <w:rtl/>
        </w:rPr>
        <w:t xml:space="preserve">, </w:t>
      </w:r>
      <w:r w:rsidRPr="00E213C0">
        <w:rPr>
          <w:rFonts w:hint="cs"/>
          <w:sz w:val="26"/>
          <w:rtl/>
        </w:rPr>
        <w:t>יש</w:t>
      </w:r>
      <w:r w:rsidRPr="00E213C0">
        <w:rPr>
          <w:sz w:val="26"/>
          <w:rtl/>
        </w:rPr>
        <w:t xml:space="preserve"> </w:t>
      </w:r>
      <w:r w:rsidRPr="00E213C0">
        <w:rPr>
          <w:rFonts w:hint="cs"/>
          <w:sz w:val="26"/>
          <w:rtl/>
        </w:rPr>
        <w:t>הכרח</w:t>
      </w:r>
      <w:r w:rsidRPr="00E213C0">
        <w:rPr>
          <w:sz w:val="26"/>
          <w:rtl/>
        </w:rPr>
        <w:t xml:space="preserve"> </w:t>
      </w:r>
      <w:r w:rsidRPr="00E213C0">
        <w:rPr>
          <w:rFonts w:hint="cs"/>
          <w:sz w:val="26"/>
          <w:rtl/>
        </w:rPr>
        <w:t>להתאים</w:t>
      </w:r>
      <w:r w:rsidRPr="00E213C0">
        <w:rPr>
          <w:sz w:val="26"/>
          <w:rtl/>
        </w:rPr>
        <w:t xml:space="preserve"> </w:t>
      </w:r>
      <w:r w:rsidRPr="00E213C0">
        <w:rPr>
          <w:rFonts w:hint="cs"/>
          <w:sz w:val="26"/>
          <w:rtl/>
        </w:rPr>
        <w:t>ולסנכרן</w:t>
      </w:r>
      <w:r w:rsidRPr="00E213C0">
        <w:rPr>
          <w:sz w:val="26"/>
          <w:rtl/>
        </w:rPr>
        <w:t xml:space="preserve"> בין </w:t>
      </w:r>
      <w:r w:rsidRPr="00E213C0">
        <w:rPr>
          <w:rFonts w:hint="cs"/>
          <w:sz w:val="26"/>
          <w:rtl/>
        </w:rPr>
        <w:t>תחילת</w:t>
      </w:r>
      <w:r w:rsidRPr="00E213C0">
        <w:rPr>
          <w:sz w:val="26"/>
          <w:rtl/>
        </w:rPr>
        <w:t xml:space="preserve"> </w:t>
      </w:r>
      <w:r w:rsidR="00AE3136">
        <w:rPr>
          <w:rFonts w:hint="cs"/>
          <w:sz w:val="26"/>
          <w:rtl/>
        </w:rPr>
        <w:t>ה</w:t>
      </w:r>
      <w:r w:rsidRPr="00E213C0">
        <w:rPr>
          <w:sz w:val="26"/>
          <w:rtl/>
        </w:rPr>
        <w:t xml:space="preserve">שינויים </w:t>
      </w:r>
      <w:r w:rsidR="00AE3136">
        <w:rPr>
          <w:rFonts w:hint="cs"/>
          <w:sz w:val="26"/>
          <w:rtl/>
        </w:rPr>
        <w:t>כאמור</w:t>
      </w:r>
      <w:r w:rsidR="00892DCB">
        <w:rPr>
          <w:rFonts w:hint="cs"/>
          <w:sz w:val="26"/>
          <w:rtl/>
        </w:rPr>
        <w:t xml:space="preserve"> -</w:t>
      </w:r>
      <w:r w:rsidRPr="00E213C0">
        <w:rPr>
          <w:sz w:val="26"/>
          <w:rtl/>
        </w:rPr>
        <w:t xml:space="preserve"> תנאים והחרגות בכל הנוגע לדרישות </w:t>
      </w:r>
      <w:proofErr w:type="spellStart"/>
      <w:r w:rsidRPr="00E213C0">
        <w:rPr>
          <w:rFonts w:hint="cs"/>
          <w:sz w:val="26"/>
          <w:rtl/>
        </w:rPr>
        <w:t>ההגי</w:t>
      </w:r>
      <w:r w:rsidR="008235DA">
        <w:rPr>
          <w:rFonts w:hint="cs"/>
          <w:sz w:val="26"/>
          <w:rtl/>
        </w:rPr>
        <w:t>י</w:t>
      </w:r>
      <w:r w:rsidRPr="00E213C0">
        <w:rPr>
          <w:rFonts w:hint="cs"/>
          <w:sz w:val="26"/>
          <w:rtl/>
        </w:rPr>
        <w:t>נה</w:t>
      </w:r>
      <w:proofErr w:type="spellEnd"/>
      <w:r w:rsidR="001E717D" w:rsidRPr="00E213C0">
        <w:rPr>
          <w:rFonts w:hint="cs"/>
          <w:sz w:val="26"/>
          <w:rtl/>
        </w:rPr>
        <w:t xml:space="preserve"> (תנאי תברואה)</w:t>
      </w:r>
      <w:r w:rsidRPr="00E213C0">
        <w:rPr>
          <w:sz w:val="26"/>
          <w:rtl/>
        </w:rPr>
        <w:t xml:space="preserve">  </w:t>
      </w:r>
      <w:r w:rsidRPr="00E213C0">
        <w:rPr>
          <w:rFonts w:hint="cs"/>
          <w:sz w:val="26"/>
          <w:rtl/>
        </w:rPr>
        <w:t>בתהליכי</w:t>
      </w:r>
      <w:r w:rsidRPr="00E213C0">
        <w:rPr>
          <w:sz w:val="26"/>
          <w:rtl/>
        </w:rPr>
        <w:t xml:space="preserve"> הייצור, לבין </w:t>
      </w:r>
      <w:r w:rsidRPr="00E213C0">
        <w:rPr>
          <w:rFonts w:hint="cs"/>
          <w:sz w:val="26"/>
          <w:rtl/>
        </w:rPr>
        <w:t>תחילת</w:t>
      </w:r>
      <w:r w:rsidRPr="00E213C0">
        <w:rPr>
          <w:sz w:val="26"/>
          <w:rtl/>
        </w:rPr>
        <w:t xml:space="preserve"> </w:t>
      </w:r>
      <w:r w:rsidRPr="00E213C0">
        <w:rPr>
          <w:rFonts w:hint="cs"/>
          <w:sz w:val="26"/>
          <w:rtl/>
        </w:rPr>
        <w:t>החובה</w:t>
      </w:r>
      <w:r w:rsidRPr="00E213C0">
        <w:rPr>
          <w:sz w:val="26"/>
          <w:rtl/>
        </w:rPr>
        <w:t xml:space="preserve"> ליישום תכנית בטיחות מזון בבקרה עצמית לפי סעיף 41 </w:t>
      </w:r>
      <w:r w:rsidRPr="00E213C0">
        <w:rPr>
          <w:rFonts w:hint="cs"/>
          <w:sz w:val="26"/>
          <w:rtl/>
        </w:rPr>
        <w:t>כאמור</w:t>
      </w:r>
      <w:r w:rsidRPr="00E213C0">
        <w:rPr>
          <w:sz w:val="26"/>
          <w:rtl/>
        </w:rPr>
        <w:t>.</w:t>
      </w:r>
    </w:p>
    <w:p w14:paraId="3B976101" w14:textId="77777777" w:rsidR="002E6252" w:rsidRPr="00E213C0" w:rsidRDefault="003B5193" w:rsidP="00B71575">
      <w:pPr>
        <w:pStyle w:val="Hesber"/>
        <w:ind w:hanging="1"/>
        <w:rPr>
          <w:sz w:val="26"/>
          <w:rtl/>
        </w:rPr>
      </w:pPr>
      <w:r w:rsidRPr="00E213C0">
        <w:rPr>
          <w:rFonts w:hint="cs"/>
          <w:sz w:val="26"/>
          <w:rtl/>
        </w:rPr>
        <w:t>תחילה</w:t>
      </w:r>
      <w:r w:rsidRPr="00E213C0">
        <w:rPr>
          <w:sz w:val="26"/>
          <w:rtl/>
        </w:rPr>
        <w:t xml:space="preserve"> </w:t>
      </w:r>
      <w:proofErr w:type="spellStart"/>
      <w:r w:rsidRPr="00E213C0">
        <w:rPr>
          <w:sz w:val="26"/>
          <w:rtl/>
        </w:rPr>
        <w:t>מיידית</w:t>
      </w:r>
      <w:proofErr w:type="spellEnd"/>
      <w:r w:rsidRPr="00E213C0">
        <w:rPr>
          <w:sz w:val="26"/>
          <w:rtl/>
        </w:rPr>
        <w:t xml:space="preserve"> של ההוראות האמורות בטור ב' בתוספת</w:t>
      </w:r>
      <w:r w:rsidR="00CD6D90" w:rsidRPr="00E213C0">
        <w:rPr>
          <w:rFonts w:hint="cs"/>
          <w:sz w:val="26"/>
          <w:rtl/>
        </w:rPr>
        <w:t>,</w:t>
      </w:r>
      <w:r w:rsidRPr="00E213C0">
        <w:rPr>
          <w:sz w:val="26"/>
          <w:rtl/>
        </w:rPr>
        <w:t xml:space="preserve"> על היצרנים</w:t>
      </w:r>
      <w:r w:rsidR="00892DCB">
        <w:rPr>
          <w:rFonts w:hint="cs"/>
          <w:sz w:val="26"/>
          <w:rtl/>
        </w:rPr>
        <w:t xml:space="preserve"> שאין להם כיום מערכת </w:t>
      </w:r>
      <w:r w:rsidR="00892DCB">
        <w:rPr>
          <w:sz w:val="26"/>
        </w:rPr>
        <w:t xml:space="preserve"> HACCP </w:t>
      </w:r>
      <w:r w:rsidR="00892DCB">
        <w:rPr>
          <w:rFonts w:hint="cs"/>
          <w:sz w:val="26"/>
          <w:rtl/>
        </w:rPr>
        <w:t xml:space="preserve"> (במסגרת אישור ייצור נאות)</w:t>
      </w:r>
      <w:r w:rsidRPr="00E213C0">
        <w:rPr>
          <w:sz w:val="26"/>
          <w:rtl/>
        </w:rPr>
        <w:t xml:space="preserve">, </w:t>
      </w:r>
      <w:r w:rsidR="00437E80">
        <w:rPr>
          <w:rFonts w:hint="cs"/>
          <w:sz w:val="26"/>
          <w:rtl/>
        </w:rPr>
        <w:t xml:space="preserve">שכן </w:t>
      </w:r>
      <w:r w:rsidRPr="00E213C0">
        <w:rPr>
          <w:sz w:val="26"/>
          <w:rtl/>
        </w:rPr>
        <w:t>טרם חלה עליהם חוב</w:t>
      </w:r>
      <w:r w:rsidR="00892DCB">
        <w:rPr>
          <w:rFonts w:hint="cs"/>
          <w:sz w:val="26"/>
          <w:rtl/>
        </w:rPr>
        <w:t>ת</w:t>
      </w:r>
      <w:r w:rsidRPr="00E213C0">
        <w:rPr>
          <w:sz w:val="26"/>
          <w:rtl/>
        </w:rPr>
        <w:t xml:space="preserve"> </w:t>
      </w:r>
      <w:r w:rsidRPr="00E213C0">
        <w:rPr>
          <w:rFonts w:hint="cs"/>
          <w:sz w:val="26"/>
          <w:rtl/>
        </w:rPr>
        <w:t>יישום</w:t>
      </w:r>
      <w:r w:rsidRPr="00E213C0">
        <w:rPr>
          <w:sz w:val="26"/>
          <w:rtl/>
        </w:rPr>
        <w:t xml:space="preserve"> </w:t>
      </w:r>
      <w:r w:rsidRPr="00E213C0">
        <w:rPr>
          <w:rFonts w:hint="cs"/>
          <w:sz w:val="26"/>
          <w:rtl/>
        </w:rPr>
        <w:t>תכנית</w:t>
      </w:r>
      <w:r w:rsidRPr="00E213C0">
        <w:rPr>
          <w:sz w:val="26"/>
          <w:rtl/>
        </w:rPr>
        <w:t xml:space="preserve"> </w:t>
      </w:r>
      <w:r w:rsidRPr="00E213C0">
        <w:rPr>
          <w:rFonts w:hint="cs"/>
          <w:sz w:val="26"/>
          <w:rtl/>
        </w:rPr>
        <w:t>בטיחות</w:t>
      </w:r>
      <w:r w:rsidRPr="00E213C0">
        <w:rPr>
          <w:sz w:val="26"/>
          <w:rtl/>
        </w:rPr>
        <w:t xml:space="preserve"> </w:t>
      </w:r>
      <w:r w:rsidRPr="00E213C0">
        <w:rPr>
          <w:rFonts w:hint="cs"/>
          <w:sz w:val="26"/>
          <w:rtl/>
        </w:rPr>
        <w:t>מזון</w:t>
      </w:r>
      <w:r w:rsidRPr="00E213C0">
        <w:rPr>
          <w:sz w:val="26"/>
          <w:rtl/>
        </w:rPr>
        <w:t xml:space="preserve"> </w:t>
      </w:r>
      <w:r w:rsidRPr="00E213C0">
        <w:rPr>
          <w:rFonts w:hint="cs"/>
          <w:sz w:val="26"/>
          <w:rtl/>
        </w:rPr>
        <w:t>בבקרה</w:t>
      </w:r>
      <w:r w:rsidRPr="00E213C0">
        <w:rPr>
          <w:sz w:val="26"/>
          <w:rtl/>
        </w:rPr>
        <w:t xml:space="preserve"> </w:t>
      </w:r>
      <w:r w:rsidRPr="00E213C0">
        <w:rPr>
          <w:rFonts w:hint="cs"/>
          <w:sz w:val="26"/>
          <w:rtl/>
        </w:rPr>
        <w:t>עצמית</w:t>
      </w:r>
      <w:r w:rsidR="001E717D" w:rsidRPr="00E213C0">
        <w:rPr>
          <w:rFonts w:hint="cs"/>
          <w:sz w:val="26"/>
          <w:rtl/>
        </w:rPr>
        <w:t xml:space="preserve"> לפי סע</w:t>
      </w:r>
      <w:r w:rsidR="00437E80">
        <w:rPr>
          <w:rFonts w:hint="cs"/>
          <w:sz w:val="26"/>
          <w:rtl/>
        </w:rPr>
        <w:t xml:space="preserve">' </w:t>
      </w:r>
      <w:r w:rsidR="001E717D" w:rsidRPr="00E213C0">
        <w:rPr>
          <w:rFonts w:hint="cs"/>
          <w:sz w:val="26"/>
          <w:rtl/>
        </w:rPr>
        <w:t>41</w:t>
      </w:r>
      <w:r w:rsidR="00437E80">
        <w:rPr>
          <w:rFonts w:hint="cs"/>
          <w:sz w:val="26"/>
          <w:rtl/>
        </w:rPr>
        <w:t xml:space="preserve"> כאמור, </w:t>
      </w:r>
      <w:r w:rsidRPr="00E213C0">
        <w:rPr>
          <w:rFonts w:hint="cs"/>
          <w:sz w:val="26"/>
          <w:rtl/>
        </w:rPr>
        <w:t>סותרת</w:t>
      </w:r>
      <w:r w:rsidRPr="00E213C0">
        <w:rPr>
          <w:sz w:val="26"/>
          <w:rtl/>
        </w:rPr>
        <w:t xml:space="preserve"> למעשה את כוונת המחוקק לדחות </w:t>
      </w:r>
      <w:r w:rsidRPr="00E213C0">
        <w:rPr>
          <w:rFonts w:hint="cs"/>
          <w:sz w:val="26"/>
          <w:rtl/>
        </w:rPr>
        <w:t>התחולה</w:t>
      </w:r>
      <w:r w:rsidRPr="00E213C0">
        <w:rPr>
          <w:sz w:val="26"/>
          <w:rtl/>
        </w:rPr>
        <w:t xml:space="preserve"> </w:t>
      </w:r>
      <w:r w:rsidRPr="00E213C0">
        <w:rPr>
          <w:rFonts w:hint="cs"/>
          <w:sz w:val="26"/>
          <w:rtl/>
        </w:rPr>
        <w:t>של</w:t>
      </w:r>
      <w:r w:rsidRPr="00E213C0">
        <w:rPr>
          <w:sz w:val="26"/>
          <w:rtl/>
        </w:rPr>
        <w:t xml:space="preserve"> </w:t>
      </w:r>
      <w:r w:rsidRPr="00E213C0">
        <w:rPr>
          <w:rFonts w:hint="cs"/>
          <w:sz w:val="26"/>
          <w:rtl/>
        </w:rPr>
        <w:t>סעיף</w:t>
      </w:r>
      <w:r w:rsidRPr="00E213C0">
        <w:rPr>
          <w:sz w:val="26"/>
          <w:rtl/>
        </w:rPr>
        <w:t xml:space="preserve"> 41 </w:t>
      </w:r>
      <w:r w:rsidR="00892DCB">
        <w:rPr>
          <w:rFonts w:hint="cs"/>
          <w:sz w:val="26"/>
          <w:rtl/>
        </w:rPr>
        <w:t>ליום 1 באוגוסט 2026</w:t>
      </w:r>
      <w:r w:rsidRPr="00E213C0">
        <w:rPr>
          <w:sz w:val="26"/>
          <w:rtl/>
        </w:rPr>
        <w:t xml:space="preserve">, </w:t>
      </w:r>
      <w:r w:rsidRPr="00E213C0">
        <w:rPr>
          <w:rFonts w:hint="cs"/>
          <w:sz w:val="26"/>
          <w:rtl/>
        </w:rPr>
        <w:t>שכן</w:t>
      </w:r>
      <w:r w:rsidRPr="00E213C0">
        <w:rPr>
          <w:sz w:val="26"/>
          <w:rtl/>
        </w:rPr>
        <w:t xml:space="preserve"> </w:t>
      </w:r>
      <w:r w:rsidRPr="00E213C0">
        <w:rPr>
          <w:rFonts w:hint="cs"/>
          <w:sz w:val="26"/>
          <w:rtl/>
        </w:rPr>
        <w:t>מחייבת</w:t>
      </w:r>
      <w:r w:rsidRPr="00E213C0">
        <w:rPr>
          <w:sz w:val="26"/>
          <w:rtl/>
        </w:rPr>
        <w:t xml:space="preserve"> </w:t>
      </w:r>
      <w:r w:rsidRPr="00E213C0">
        <w:rPr>
          <w:rFonts w:hint="cs"/>
          <w:sz w:val="26"/>
          <w:rtl/>
        </w:rPr>
        <w:t>אותם</w:t>
      </w:r>
      <w:r w:rsidRPr="00E213C0">
        <w:rPr>
          <w:sz w:val="26"/>
          <w:rtl/>
        </w:rPr>
        <w:t xml:space="preserve"> לפעול לפיה באופן </w:t>
      </w:r>
      <w:proofErr w:type="spellStart"/>
      <w:r w:rsidRPr="00E213C0">
        <w:rPr>
          <w:sz w:val="26"/>
          <w:rtl/>
        </w:rPr>
        <w:t>מיידי</w:t>
      </w:r>
      <w:proofErr w:type="spellEnd"/>
      <w:r w:rsidRPr="00E213C0">
        <w:rPr>
          <w:sz w:val="26"/>
          <w:rtl/>
        </w:rPr>
        <w:t xml:space="preserve"> כדי לעמוד בדרישות ההוראות המאומצות</w:t>
      </w:r>
      <w:r w:rsidR="00892DCB">
        <w:rPr>
          <w:rFonts w:hint="cs"/>
          <w:sz w:val="26"/>
          <w:rtl/>
        </w:rPr>
        <w:t xml:space="preserve"> כנוסחן בתיקון מס' 3.</w:t>
      </w:r>
    </w:p>
    <w:p w14:paraId="397126B9" w14:textId="77777777" w:rsidR="001E717D" w:rsidRPr="00E213C0" w:rsidRDefault="00437E80" w:rsidP="00B71575">
      <w:pPr>
        <w:pStyle w:val="Hesber"/>
        <w:ind w:hanging="1"/>
        <w:rPr>
          <w:sz w:val="26"/>
          <w:rtl/>
        </w:rPr>
      </w:pPr>
      <w:r>
        <w:rPr>
          <w:rFonts w:hint="cs"/>
          <w:sz w:val="26"/>
          <w:rtl/>
        </w:rPr>
        <w:t>לפיכך</w:t>
      </w:r>
      <w:r w:rsidR="003B5193" w:rsidRPr="00E213C0">
        <w:rPr>
          <w:sz w:val="26"/>
          <w:rtl/>
        </w:rPr>
        <w:t xml:space="preserve">, </w:t>
      </w:r>
      <w:r w:rsidR="003B5193" w:rsidRPr="00E213C0">
        <w:rPr>
          <w:rFonts w:hint="cs"/>
          <w:sz w:val="26"/>
          <w:rtl/>
        </w:rPr>
        <w:t>מוצע</w:t>
      </w:r>
      <w:r w:rsidR="003B5193" w:rsidRPr="00E213C0">
        <w:rPr>
          <w:sz w:val="26"/>
          <w:rtl/>
        </w:rPr>
        <w:t xml:space="preserve"> לקבוע כי מועד התחילה של ההוראה האמורה </w:t>
      </w:r>
      <w:proofErr w:type="spellStart"/>
      <w:r w:rsidR="003B5193" w:rsidRPr="00E213C0">
        <w:rPr>
          <w:rFonts w:hint="cs"/>
          <w:sz w:val="26"/>
          <w:rtl/>
        </w:rPr>
        <w:t>לענין</w:t>
      </w:r>
      <w:proofErr w:type="spellEnd"/>
      <w:r w:rsidR="003B5193" w:rsidRPr="00E213C0">
        <w:rPr>
          <w:sz w:val="26"/>
          <w:rtl/>
        </w:rPr>
        <w:t xml:space="preserve"> פרט 3 </w:t>
      </w:r>
      <w:r w:rsidR="003B5193" w:rsidRPr="00E213C0">
        <w:rPr>
          <w:rFonts w:hint="cs"/>
          <w:sz w:val="26"/>
          <w:rtl/>
        </w:rPr>
        <w:t>בטור</w:t>
      </w:r>
      <w:r w:rsidR="003B5193" w:rsidRPr="00E213C0">
        <w:rPr>
          <w:sz w:val="26"/>
          <w:rtl/>
        </w:rPr>
        <w:t xml:space="preserve"> </w:t>
      </w:r>
      <w:r w:rsidR="003B5193" w:rsidRPr="00E213C0">
        <w:rPr>
          <w:rFonts w:hint="cs"/>
          <w:sz w:val="26"/>
          <w:rtl/>
        </w:rPr>
        <w:t>ב</w:t>
      </w:r>
      <w:r w:rsidR="003B5193" w:rsidRPr="00E213C0">
        <w:rPr>
          <w:sz w:val="26"/>
          <w:rtl/>
        </w:rPr>
        <w:t xml:space="preserve">' </w:t>
      </w:r>
      <w:r w:rsidR="003B5193" w:rsidRPr="00E213C0">
        <w:rPr>
          <w:rFonts w:hint="cs"/>
          <w:sz w:val="26"/>
          <w:rtl/>
        </w:rPr>
        <w:t>בתוספת</w:t>
      </w:r>
      <w:r w:rsidR="003B5193" w:rsidRPr="00E213C0">
        <w:rPr>
          <w:sz w:val="26"/>
          <w:rtl/>
        </w:rPr>
        <w:t xml:space="preserve">, </w:t>
      </w:r>
      <w:r w:rsidR="003B5193" w:rsidRPr="00E213C0">
        <w:rPr>
          <w:rFonts w:hint="cs"/>
          <w:sz w:val="26"/>
          <w:rtl/>
        </w:rPr>
        <w:t>בכל</w:t>
      </w:r>
      <w:r w:rsidR="003B5193" w:rsidRPr="00E213C0">
        <w:rPr>
          <w:sz w:val="26"/>
          <w:rtl/>
        </w:rPr>
        <w:t xml:space="preserve"> </w:t>
      </w:r>
      <w:r w:rsidR="003B5193" w:rsidRPr="00E213C0">
        <w:rPr>
          <w:rFonts w:hint="cs"/>
          <w:sz w:val="26"/>
          <w:rtl/>
        </w:rPr>
        <w:t>הנוגע</w:t>
      </w:r>
      <w:r w:rsidR="003B5193" w:rsidRPr="00E213C0">
        <w:rPr>
          <w:sz w:val="26"/>
          <w:rtl/>
        </w:rPr>
        <w:t xml:space="preserve"> </w:t>
      </w:r>
      <w:r w:rsidR="003B5193" w:rsidRPr="00E213C0">
        <w:rPr>
          <w:rFonts w:hint="cs"/>
          <w:sz w:val="26"/>
          <w:rtl/>
        </w:rPr>
        <w:t>לתנאי</w:t>
      </w:r>
      <w:r w:rsidR="003B5193" w:rsidRPr="00E213C0">
        <w:rPr>
          <w:sz w:val="26"/>
          <w:rtl/>
        </w:rPr>
        <w:t xml:space="preserve"> </w:t>
      </w:r>
      <w:r w:rsidR="003B5193" w:rsidRPr="00E213C0">
        <w:rPr>
          <w:rFonts w:hint="cs"/>
          <w:sz w:val="26"/>
          <w:rtl/>
        </w:rPr>
        <w:t>תברואה</w:t>
      </w:r>
      <w:r w:rsidR="003B5193" w:rsidRPr="00E213C0">
        <w:rPr>
          <w:sz w:val="26"/>
          <w:rtl/>
        </w:rPr>
        <w:t xml:space="preserve"> בתהליכי ייצור יהיה גם הוא ביום 1 באוגוסט, כאשר עד לתקופה </w:t>
      </w:r>
      <w:r w:rsidR="003B5193" w:rsidRPr="00E213C0">
        <w:rPr>
          <w:rFonts w:hint="cs"/>
          <w:sz w:val="26"/>
          <w:rtl/>
        </w:rPr>
        <w:t>הנקובה</w:t>
      </w:r>
      <w:r w:rsidR="003B5193" w:rsidRPr="00E213C0">
        <w:rPr>
          <w:sz w:val="26"/>
          <w:rtl/>
        </w:rPr>
        <w:t xml:space="preserve"> </w:t>
      </w:r>
      <w:r w:rsidR="003B5193" w:rsidRPr="00E213C0">
        <w:rPr>
          <w:rFonts w:hint="cs"/>
          <w:sz w:val="26"/>
          <w:rtl/>
        </w:rPr>
        <w:t>בסעיף</w:t>
      </w:r>
      <w:r w:rsidR="003B5193" w:rsidRPr="00E213C0">
        <w:rPr>
          <w:sz w:val="26"/>
          <w:rtl/>
        </w:rPr>
        <w:t xml:space="preserve"> </w:t>
      </w:r>
      <w:r w:rsidR="003B5193" w:rsidRPr="00E213C0">
        <w:rPr>
          <w:rFonts w:hint="cs"/>
          <w:sz w:val="26"/>
          <w:rtl/>
        </w:rPr>
        <w:t>המוצע</w:t>
      </w:r>
      <w:r w:rsidR="003B5193" w:rsidRPr="00E213C0">
        <w:rPr>
          <w:sz w:val="26"/>
          <w:rtl/>
        </w:rPr>
        <w:t xml:space="preserve">, </w:t>
      </w:r>
      <w:proofErr w:type="spellStart"/>
      <w:r w:rsidR="003B5193" w:rsidRPr="00E213C0">
        <w:rPr>
          <w:rFonts w:hint="cs"/>
          <w:sz w:val="26"/>
          <w:rtl/>
        </w:rPr>
        <w:t>מחוייב</w:t>
      </w:r>
      <w:proofErr w:type="spellEnd"/>
      <w:r w:rsidR="003B5193" w:rsidRPr="00E213C0">
        <w:rPr>
          <w:sz w:val="26"/>
          <w:rtl/>
        </w:rPr>
        <w:t xml:space="preserve"> היצרן</w:t>
      </w:r>
      <w:r>
        <w:rPr>
          <w:rFonts w:hint="cs"/>
          <w:sz w:val="26"/>
          <w:rtl/>
        </w:rPr>
        <w:t xml:space="preserve"> שאין בידו אישור יצור נאות כאמור</w:t>
      </w:r>
      <w:r w:rsidR="003B5193" w:rsidRPr="00E213C0">
        <w:rPr>
          <w:sz w:val="26"/>
          <w:rtl/>
        </w:rPr>
        <w:t xml:space="preserve">, לפעול בכל הנוגע לתחום זה לפי התקינה הישראלית המחייבת </w:t>
      </w:r>
      <w:r w:rsidR="003B5193" w:rsidRPr="00E213C0">
        <w:rPr>
          <w:rFonts w:hint="cs"/>
          <w:sz w:val="26"/>
          <w:rtl/>
        </w:rPr>
        <w:t>והנוגעת</w:t>
      </w:r>
      <w:r w:rsidR="003B5193" w:rsidRPr="00E213C0">
        <w:rPr>
          <w:sz w:val="26"/>
          <w:rtl/>
        </w:rPr>
        <w:t xml:space="preserve"> </w:t>
      </w:r>
      <w:r w:rsidR="003B5193" w:rsidRPr="00E213C0">
        <w:rPr>
          <w:rFonts w:hint="cs"/>
          <w:sz w:val="26"/>
          <w:rtl/>
        </w:rPr>
        <w:t>למוצרי</w:t>
      </w:r>
      <w:r w:rsidR="003B5193" w:rsidRPr="00E213C0">
        <w:rPr>
          <w:sz w:val="26"/>
          <w:rtl/>
        </w:rPr>
        <w:t xml:space="preserve"> </w:t>
      </w:r>
      <w:r w:rsidR="003B5193" w:rsidRPr="00E213C0">
        <w:rPr>
          <w:rFonts w:hint="cs"/>
          <w:sz w:val="26"/>
          <w:rtl/>
        </w:rPr>
        <w:t>המזון</w:t>
      </w:r>
      <w:r w:rsidR="003B5193" w:rsidRPr="00E213C0">
        <w:rPr>
          <w:sz w:val="26"/>
          <w:rtl/>
        </w:rPr>
        <w:t xml:space="preserve">, </w:t>
      </w:r>
      <w:r w:rsidR="003B5193" w:rsidRPr="00E213C0">
        <w:rPr>
          <w:rFonts w:hint="cs"/>
          <w:sz w:val="26"/>
          <w:rtl/>
        </w:rPr>
        <w:t>המפורט</w:t>
      </w:r>
      <w:r>
        <w:rPr>
          <w:rFonts w:hint="cs"/>
          <w:sz w:val="26"/>
          <w:rtl/>
        </w:rPr>
        <w:t>ת</w:t>
      </w:r>
      <w:r w:rsidR="003B5193" w:rsidRPr="00E213C0">
        <w:rPr>
          <w:sz w:val="26"/>
          <w:rtl/>
        </w:rPr>
        <w:t xml:space="preserve"> </w:t>
      </w:r>
      <w:r w:rsidR="003B5193" w:rsidRPr="00E213C0">
        <w:rPr>
          <w:rFonts w:hint="cs"/>
          <w:sz w:val="26"/>
          <w:rtl/>
        </w:rPr>
        <w:t>בפסקאות</w:t>
      </w:r>
      <w:r w:rsidR="003B5193" w:rsidRPr="00E213C0">
        <w:rPr>
          <w:sz w:val="26"/>
          <w:rtl/>
        </w:rPr>
        <w:t xml:space="preserve"> (1)</w:t>
      </w:r>
      <w:r>
        <w:rPr>
          <w:rFonts w:hint="cs"/>
          <w:sz w:val="26"/>
          <w:rtl/>
        </w:rPr>
        <w:t xml:space="preserve"> עד </w:t>
      </w:r>
      <w:r w:rsidR="003B5193" w:rsidRPr="00E213C0">
        <w:rPr>
          <w:sz w:val="26"/>
          <w:rtl/>
        </w:rPr>
        <w:t xml:space="preserve">(15) </w:t>
      </w:r>
      <w:r w:rsidR="003B5193" w:rsidRPr="00E213C0">
        <w:rPr>
          <w:rFonts w:hint="cs"/>
          <w:sz w:val="26"/>
          <w:rtl/>
        </w:rPr>
        <w:t>שם</w:t>
      </w:r>
      <w:r w:rsidR="003B5193" w:rsidRPr="00E213C0">
        <w:rPr>
          <w:sz w:val="26"/>
          <w:rtl/>
        </w:rPr>
        <w:t>.</w:t>
      </w:r>
    </w:p>
    <w:p w14:paraId="44E76C5C" w14:textId="77777777" w:rsidR="000B5306" w:rsidRPr="00E213C0" w:rsidRDefault="000B5306" w:rsidP="006024B1">
      <w:pPr>
        <w:rPr>
          <w:sz w:val="26"/>
          <w:szCs w:val="26"/>
          <w:rtl/>
        </w:rPr>
      </w:pPr>
    </w:p>
    <w:p w14:paraId="7D34E780" w14:textId="77777777" w:rsidR="00AB3FD1" w:rsidRPr="00E213C0" w:rsidRDefault="00AB3FD1" w:rsidP="006140F0">
      <w:pPr>
        <w:pStyle w:val="Hesber"/>
        <w:rPr>
          <w:b/>
          <w:bCs/>
          <w:sz w:val="26"/>
          <w:lang w:eastAsia="he-IL"/>
        </w:rPr>
      </w:pPr>
      <w:proofErr w:type="spellStart"/>
      <w:r w:rsidRPr="00E213C0">
        <w:rPr>
          <w:rFonts w:hint="cs"/>
          <w:b/>
          <w:bCs/>
          <w:sz w:val="26"/>
          <w:rtl/>
          <w:lang w:eastAsia="he-IL"/>
        </w:rPr>
        <w:t>לענין</w:t>
      </w:r>
      <w:proofErr w:type="spellEnd"/>
      <w:r w:rsidRPr="00E213C0">
        <w:rPr>
          <w:rFonts w:hint="cs"/>
          <w:b/>
          <w:bCs/>
          <w:sz w:val="26"/>
          <w:rtl/>
          <w:lang w:eastAsia="he-IL"/>
        </w:rPr>
        <w:t xml:space="preserve"> סעיפים 4(ב) </w:t>
      </w:r>
      <w:r w:rsidRPr="00E213C0">
        <w:rPr>
          <w:b/>
          <w:bCs/>
          <w:sz w:val="26"/>
          <w:rtl/>
          <w:lang w:eastAsia="he-IL"/>
        </w:rPr>
        <w:t>–</w:t>
      </w:r>
      <w:r w:rsidRPr="00E213C0">
        <w:rPr>
          <w:rFonts w:hint="cs"/>
          <w:b/>
          <w:bCs/>
          <w:sz w:val="26"/>
          <w:rtl/>
          <w:lang w:eastAsia="he-IL"/>
        </w:rPr>
        <w:t xml:space="preserve"> תקופת מעבר להחלת הוראות התוספת</w:t>
      </w:r>
    </w:p>
    <w:p w14:paraId="71A210C8" w14:textId="77777777" w:rsidR="00C52F4B" w:rsidRPr="00E213C0" w:rsidRDefault="003B5193" w:rsidP="00B71575">
      <w:pPr>
        <w:pStyle w:val="Hesber"/>
        <w:ind w:hanging="1"/>
        <w:rPr>
          <w:sz w:val="26"/>
          <w:rtl/>
        </w:rPr>
      </w:pPr>
      <w:r w:rsidRPr="00E213C0">
        <w:rPr>
          <w:rFonts w:hint="eastAsia"/>
          <w:sz w:val="26"/>
          <w:rtl/>
        </w:rPr>
        <w:t>כאמור</w:t>
      </w:r>
      <w:r w:rsidRPr="00E213C0">
        <w:rPr>
          <w:sz w:val="26"/>
          <w:rtl/>
        </w:rPr>
        <w:t xml:space="preserve">, השינויים המוצעים בתוספת הינם הכרחיים כדי להבהיר ולחדד </w:t>
      </w:r>
      <w:r w:rsidRPr="00E213C0">
        <w:rPr>
          <w:rFonts w:hint="eastAsia"/>
          <w:sz w:val="26"/>
          <w:rtl/>
        </w:rPr>
        <w:t>מחד</w:t>
      </w:r>
      <w:r w:rsidRPr="00E213C0">
        <w:rPr>
          <w:sz w:val="26"/>
          <w:rtl/>
        </w:rPr>
        <w:t xml:space="preserve"> - </w:t>
      </w:r>
      <w:r w:rsidRPr="00E213C0">
        <w:rPr>
          <w:rFonts w:hint="eastAsia"/>
          <w:sz w:val="26"/>
          <w:rtl/>
        </w:rPr>
        <w:t>מהן</w:t>
      </w:r>
      <w:r w:rsidRPr="00E213C0">
        <w:rPr>
          <w:sz w:val="26"/>
          <w:rtl/>
        </w:rPr>
        <w:t xml:space="preserve"> בדיוק ההוראות בתקנות האיחוד האירופי שאומצו </w:t>
      </w:r>
      <w:r w:rsidRPr="00E213C0">
        <w:rPr>
          <w:rFonts w:hint="eastAsia"/>
          <w:sz w:val="26"/>
          <w:rtl/>
        </w:rPr>
        <w:t>ופירוטן</w:t>
      </w:r>
      <w:r w:rsidRPr="00E213C0">
        <w:rPr>
          <w:sz w:val="26"/>
          <w:rtl/>
        </w:rPr>
        <w:t xml:space="preserve">, </w:t>
      </w:r>
      <w:r w:rsidRPr="00E213C0">
        <w:rPr>
          <w:rFonts w:hint="eastAsia"/>
          <w:sz w:val="26"/>
          <w:rtl/>
        </w:rPr>
        <w:t>ומאידך</w:t>
      </w:r>
      <w:r w:rsidRPr="00E213C0">
        <w:rPr>
          <w:sz w:val="26"/>
          <w:rtl/>
        </w:rPr>
        <w:t xml:space="preserve"> </w:t>
      </w:r>
      <w:r w:rsidR="006140F0">
        <w:rPr>
          <w:rFonts w:hint="cs"/>
          <w:sz w:val="26"/>
          <w:rtl/>
        </w:rPr>
        <w:t xml:space="preserve"> - </w:t>
      </w:r>
      <w:r w:rsidRPr="00E213C0">
        <w:rPr>
          <w:rFonts w:hint="eastAsia"/>
          <w:sz w:val="26"/>
          <w:rtl/>
        </w:rPr>
        <w:t>מהם</w:t>
      </w:r>
      <w:r w:rsidRPr="00E213C0">
        <w:rPr>
          <w:sz w:val="26"/>
          <w:rtl/>
        </w:rPr>
        <w:t xml:space="preserve"> </w:t>
      </w:r>
      <w:r w:rsidRPr="00E213C0">
        <w:rPr>
          <w:rFonts w:hint="eastAsia"/>
          <w:sz w:val="26"/>
          <w:rtl/>
        </w:rPr>
        <w:t>התנאים</w:t>
      </w:r>
      <w:r w:rsidRPr="00E213C0">
        <w:rPr>
          <w:sz w:val="26"/>
          <w:rtl/>
        </w:rPr>
        <w:t xml:space="preserve"> </w:t>
      </w:r>
      <w:r w:rsidRPr="00E213C0">
        <w:rPr>
          <w:rFonts w:hint="eastAsia"/>
          <w:sz w:val="26"/>
          <w:rtl/>
        </w:rPr>
        <w:t>וההחרגות</w:t>
      </w:r>
      <w:r w:rsidRPr="00E213C0">
        <w:rPr>
          <w:sz w:val="26"/>
          <w:rtl/>
        </w:rPr>
        <w:t xml:space="preserve"> </w:t>
      </w:r>
      <w:r w:rsidRPr="00E213C0">
        <w:rPr>
          <w:rFonts w:hint="eastAsia"/>
          <w:sz w:val="26"/>
          <w:rtl/>
        </w:rPr>
        <w:t>להחלתן</w:t>
      </w:r>
      <w:r w:rsidRPr="00E213C0">
        <w:rPr>
          <w:sz w:val="26"/>
          <w:rtl/>
        </w:rPr>
        <w:t xml:space="preserve">. </w:t>
      </w:r>
      <w:r w:rsidRPr="00E213C0">
        <w:rPr>
          <w:rFonts w:hint="eastAsia"/>
          <w:sz w:val="26"/>
          <w:rtl/>
        </w:rPr>
        <w:t>לאור</w:t>
      </w:r>
      <w:r w:rsidRPr="00E213C0">
        <w:rPr>
          <w:sz w:val="26"/>
          <w:rtl/>
        </w:rPr>
        <w:t xml:space="preserve"> </w:t>
      </w:r>
      <w:r w:rsidRPr="00E213C0">
        <w:rPr>
          <w:rFonts w:hint="eastAsia"/>
          <w:sz w:val="26"/>
          <w:rtl/>
        </w:rPr>
        <w:t>חדשנות</w:t>
      </w:r>
      <w:r w:rsidR="006140F0">
        <w:rPr>
          <w:rFonts w:hint="cs"/>
          <w:sz w:val="26"/>
          <w:rtl/>
        </w:rPr>
        <w:t>ו</w:t>
      </w:r>
      <w:r w:rsidRPr="00E213C0">
        <w:rPr>
          <w:sz w:val="26"/>
          <w:rtl/>
        </w:rPr>
        <w:t xml:space="preserve"> </w:t>
      </w:r>
      <w:r w:rsidRPr="00E213C0">
        <w:rPr>
          <w:rFonts w:hint="eastAsia"/>
          <w:sz w:val="26"/>
          <w:rtl/>
        </w:rPr>
        <w:t>וראשוניותו</w:t>
      </w:r>
      <w:r w:rsidRPr="00E213C0">
        <w:rPr>
          <w:sz w:val="26"/>
          <w:rtl/>
        </w:rPr>
        <w:t xml:space="preserve"> </w:t>
      </w:r>
      <w:r w:rsidRPr="00E213C0">
        <w:rPr>
          <w:rFonts w:hint="eastAsia"/>
          <w:sz w:val="26"/>
          <w:rtl/>
        </w:rPr>
        <w:t>של</w:t>
      </w:r>
      <w:r w:rsidRPr="00E213C0">
        <w:rPr>
          <w:sz w:val="26"/>
          <w:rtl/>
        </w:rPr>
        <w:t xml:space="preserve"> </w:t>
      </w:r>
      <w:r w:rsidRPr="00E213C0">
        <w:rPr>
          <w:rFonts w:hint="eastAsia"/>
          <w:sz w:val="26"/>
          <w:rtl/>
        </w:rPr>
        <w:t>מהלך</w:t>
      </w:r>
      <w:r w:rsidRPr="00E213C0">
        <w:rPr>
          <w:sz w:val="26"/>
          <w:rtl/>
        </w:rPr>
        <w:t xml:space="preserve"> </w:t>
      </w:r>
      <w:r w:rsidRPr="00E213C0">
        <w:rPr>
          <w:rFonts w:hint="eastAsia"/>
          <w:sz w:val="26"/>
          <w:rtl/>
        </w:rPr>
        <w:t>חקיקתי</w:t>
      </w:r>
      <w:r w:rsidRPr="00E213C0">
        <w:rPr>
          <w:sz w:val="26"/>
          <w:rtl/>
        </w:rPr>
        <w:t xml:space="preserve"> </w:t>
      </w:r>
      <w:r w:rsidRPr="00E213C0">
        <w:rPr>
          <w:rFonts w:hint="eastAsia"/>
          <w:sz w:val="26"/>
          <w:rtl/>
        </w:rPr>
        <w:t>זה</w:t>
      </w:r>
      <w:r w:rsidRPr="00E213C0">
        <w:rPr>
          <w:sz w:val="26"/>
          <w:rtl/>
        </w:rPr>
        <w:t xml:space="preserve"> </w:t>
      </w:r>
      <w:r w:rsidRPr="00E213C0">
        <w:rPr>
          <w:rFonts w:hint="eastAsia"/>
          <w:sz w:val="26"/>
          <w:rtl/>
        </w:rPr>
        <w:t>של</w:t>
      </w:r>
      <w:r w:rsidRPr="00E213C0">
        <w:rPr>
          <w:sz w:val="26"/>
          <w:rtl/>
        </w:rPr>
        <w:t xml:space="preserve"> </w:t>
      </w:r>
      <w:r w:rsidRPr="00E213C0">
        <w:rPr>
          <w:rFonts w:hint="eastAsia"/>
          <w:sz w:val="26"/>
          <w:rtl/>
        </w:rPr>
        <w:t>אימוץ</w:t>
      </w:r>
      <w:r w:rsidRPr="00E213C0">
        <w:rPr>
          <w:sz w:val="26"/>
          <w:rtl/>
        </w:rPr>
        <w:t xml:space="preserve"> </w:t>
      </w:r>
      <w:r w:rsidRPr="00E213C0">
        <w:rPr>
          <w:rFonts w:hint="eastAsia"/>
          <w:sz w:val="26"/>
          <w:rtl/>
        </w:rPr>
        <w:t>דין</w:t>
      </w:r>
      <w:r w:rsidRPr="00E213C0">
        <w:rPr>
          <w:sz w:val="26"/>
          <w:rtl/>
        </w:rPr>
        <w:t xml:space="preserve"> </w:t>
      </w:r>
      <w:r w:rsidRPr="00E213C0">
        <w:rPr>
          <w:rFonts w:hint="eastAsia"/>
          <w:sz w:val="26"/>
          <w:rtl/>
        </w:rPr>
        <w:t>זר</w:t>
      </w:r>
      <w:r w:rsidRPr="00E213C0">
        <w:rPr>
          <w:sz w:val="26"/>
          <w:rtl/>
        </w:rPr>
        <w:t xml:space="preserve">, </w:t>
      </w:r>
      <w:proofErr w:type="spellStart"/>
      <w:r w:rsidRPr="00E213C0">
        <w:rPr>
          <w:rFonts w:hint="eastAsia"/>
          <w:sz w:val="26"/>
          <w:rtl/>
        </w:rPr>
        <w:t>א</w:t>
      </w:r>
      <w:r w:rsidR="006140F0">
        <w:rPr>
          <w:rFonts w:hint="cs"/>
          <w:sz w:val="26"/>
          <w:rtl/>
        </w:rPr>
        <w:t>י</w:t>
      </w:r>
      <w:r w:rsidRPr="00E213C0">
        <w:rPr>
          <w:rFonts w:hint="eastAsia"/>
          <w:sz w:val="26"/>
          <w:rtl/>
        </w:rPr>
        <w:t>פשר</w:t>
      </w:r>
      <w:proofErr w:type="spellEnd"/>
      <w:r w:rsidRPr="00E213C0">
        <w:rPr>
          <w:sz w:val="26"/>
          <w:rtl/>
        </w:rPr>
        <w:t xml:space="preserve"> </w:t>
      </w:r>
      <w:r w:rsidRPr="00E213C0">
        <w:rPr>
          <w:rFonts w:hint="eastAsia"/>
          <w:sz w:val="26"/>
          <w:rtl/>
        </w:rPr>
        <w:t>המחוקק</w:t>
      </w:r>
      <w:r w:rsidRPr="00E213C0">
        <w:rPr>
          <w:sz w:val="26"/>
          <w:rtl/>
        </w:rPr>
        <w:t xml:space="preserve">, </w:t>
      </w:r>
      <w:r w:rsidRPr="00E213C0">
        <w:rPr>
          <w:rFonts w:hint="eastAsia"/>
          <w:sz w:val="26"/>
          <w:rtl/>
        </w:rPr>
        <w:t>במסגרת</w:t>
      </w:r>
      <w:r w:rsidRPr="00E213C0">
        <w:rPr>
          <w:sz w:val="26"/>
          <w:rtl/>
        </w:rPr>
        <w:t xml:space="preserve"> </w:t>
      </w:r>
      <w:r w:rsidRPr="00E213C0">
        <w:rPr>
          <w:rFonts w:hint="eastAsia"/>
          <w:sz w:val="26"/>
          <w:rtl/>
        </w:rPr>
        <w:t>חוק</w:t>
      </w:r>
      <w:r w:rsidRPr="00E213C0">
        <w:rPr>
          <w:sz w:val="26"/>
          <w:rtl/>
        </w:rPr>
        <w:t xml:space="preserve"> </w:t>
      </w:r>
      <w:r w:rsidRPr="00E213C0">
        <w:rPr>
          <w:rFonts w:hint="eastAsia"/>
          <w:sz w:val="26"/>
          <w:rtl/>
        </w:rPr>
        <w:t>התכנית</w:t>
      </w:r>
      <w:r w:rsidRPr="00E213C0">
        <w:rPr>
          <w:sz w:val="26"/>
          <w:rtl/>
        </w:rPr>
        <w:t xml:space="preserve"> </w:t>
      </w:r>
      <w:r w:rsidRPr="00E213C0">
        <w:rPr>
          <w:rFonts w:hint="eastAsia"/>
          <w:sz w:val="26"/>
          <w:rtl/>
        </w:rPr>
        <w:t>הכלכלית</w:t>
      </w:r>
      <w:r w:rsidR="006140F0">
        <w:rPr>
          <w:rFonts w:hint="cs"/>
          <w:sz w:val="26"/>
          <w:rtl/>
        </w:rPr>
        <w:t>,</w:t>
      </w:r>
      <w:r w:rsidRPr="00E213C0">
        <w:rPr>
          <w:sz w:val="26"/>
          <w:rtl/>
        </w:rPr>
        <w:t xml:space="preserve"> לש</w:t>
      </w:r>
      <w:r w:rsidRPr="00E213C0">
        <w:rPr>
          <w:rFonts w:hint="eastAsia"/>
          <w:sz w:val="26"/>
          <w:rtl/>
        </w:rPr>
        <w:t>ר</w:t>
      </w:r>
      <w:r w:rsidRPr="00E213C0">
        <w:rPr>
          <w:sz w:val="26"/>
          <w:rtl/>
        </w:rPr>
        <w:t xml:space="preserve">, לתקן את התוספת </w:t>
      </w:r>
      <w:proofErr w:type="spellStart"/>
      <w:r w:rsidRPr="00E213C0">
        <w:rPr>
          <w:rFonts w:hint="eastAsia"/>
          <w:sz w:val="26"/>
          <w:rtl/>
        </w:rPr>
        <w:t>השניה</w:t>
      </w:r>
      <w:proofErr w:type="spellEnd"/>
      <w:r w:rsidRPr="00E213C0">
        <w:rPr>
          <w:sz w:val="26"/>
          <w:rtl/>
        </w:rPr>
        <w:t xml:space="preserve"> א – בדרך של </w:t>
      </w:r>
      <w:r w:rsidRPr="00E213C0">
        <w:rPr>
          <w:rFonts w:hint="eastAsia"/>
          <w:sz w:val="26"/>
          <w:rtl/>
        </w:rPr>
        <w:t>צו</w:t>
      </w:r>
      <w:r w:rsidRPr="00E213C0">
        <w:rPr>
          <w:sz w:val="26"/>
          <w:rtl/>
        </w:rPr>
        <w:t xml:space="preserve">, להוסיף </w:t>
      </w:r>
      <w:r w:rsidRPr="00E213C0">
        <w:rPr>
          <w:rFonts w:hint="eastAsia"/>
          <w:sz w:val="26"/>
          <w:rtl/>
        </w:rPr>
        <w:t>הוראות</w:t>
      </w:r>
      <w:r w:rsidRPr="00E213C0">
        <w:rPr>
          <w:sz w:val="26"/>
          <w:rtl/>
        </w:rPr>
        <w:t xml:space="preserve"> אימוץ וכן </w:t>
      </w:r>
      <w:r w:rsidRPr="00E213C0">
        <w:rPr>
          <w:rFonts w:hint="eastAsia"/>
          <w:sz w:val="26"/>
          <w:rtl/>
        </w:rPr>
        <w:t>להוסיף</w:t>
      </w:r>
      <w:r w:rsidRPr="00E213C0">
        <w:rPr>
          <w:sz w:val="26"/>
          <w:rtl/>
        </w:rPr>
        <w:t xml:space="preserve"> תנאים והחרגות</w:t>
      </w:r>
      <w:r w:rsidR="006140F0">
        <w:rPr>
          <w:rFonts w:hint="cs"/>
          <w:sz w:val="26"/>
          <w:rtl/>
        </w:rPr>
        <w:t xml:space="preserve"> להוראות המאומצות</w:t>
      </w:r>
      <w:r w:rsidRPr="00E213C0">
        <w:rPr>
          <w:sz w:val="26"/>
          <w:rtl/>
        </w:rPr>
        <w:t>, כאשר היה ברור כבר בחקיקת החוק שהתוספת האמורה אינה שלמה ויידרש לתקנה ולחדדה</w:t>
      </w:r>
      <w:r w:rsidR="006140F0">
        <w:rPr>
          <w:rFonts w:hint="cs"/>
          <w:sz w:val="26"/>
          <w:rtl/>
        </w:rPr>
        <w:t xml:space="preserve"> ולהוסיף לה בהתאם, הוראות מעבר.</w:t>
      </w:r>
      <w:r w:rsidRPr="00E213C0">
        <w:rPr>
          <w:sz w:val="26"/>
          <w:rtl/>
        </w:rPr>
        <w:t xml:space="preserve"> </w:t>
      </w:r>
    </w:p>
    <w:p w14:paraId="716ACF73" w14:textId="77777777" w:rsidR="00C52F4B" w:rsidRPr="00E213C0" w:rsidRDefault="003B5193" w:rsidP="000B6D53">
      <w:pPr>
        <w:pStyle w:val="Hesber"/>
        <w:ind w:hanging="1"/>
        <w:rPr>
          <w:sz w:val="26"/>
          <w:rtl/>
        </w:rPr>
      </w:pPr>
      <w:r w:rsidRPr="00E213C0">
        <w:rPr>
          <w:rFonts w:hint="eastAsia"/>
          <w:sz w:val="26"/>
          <w:rtl/>
        </w:rPr>
        <w:t>התיקונים</w:t>
      </w:r>
      <w:r w:rsidRPr="00E213C0">
        <w:rPr>
          <w:sz w:val="26"/>
          <w:rtl/>
        </w:rPr>
        <w:t xml:space="preserve"> המוצעים בצו זה הם ביטוי לצורך זה ב</w:t>
      </w:r>
      <w:r w:rsidR="00BE6435">
        <w:rPr>
          <w:rFonts w:hint="cs"/>
          <w:sz w:val="26"/>
          <w:rtl/>
        </w:rPr>
        <w:t xml:space="preserve">דרך של </w:t>
      </w:r>
      <w:r w:rsidRPr="00E213C0">
        <w:rPr>
          <w:sz w:val="26"/>
          <w:rtl/>
        </w:rPr>
        <w:t>תיקון והבהרה בתוספת</w:t>
      </w:r>
      <w:r w:rsidR="00BE6435">
        <w:rPr>
          <w:rFonts w:hint="cs"/>
          <w:sz w:val="26"/>
          <w:rtl/>
        </w:rPr>
        <w:t>,</w:t>
      </w:r>
      <w:r w:rsidRPr="00E213C0">
        <w:rPr>
          <w:sz w:val="26"/>
          <w:rtl/>
        </w:rPr>
        <w:t xml:space="preserve"> הן של המונחים והן של התנאים וההחרגות. </w:t>
      </w:r>
      <w:r w:rsidRPr="00E213C0">
        <w:rPr>
          <w:rFonts w:hint="eastAsia"/>
          <w:sz w:val="26"/>
          <w:rtl/>
        </w:rPr>
        <w:t>לנ</w:t>
      </w:r>
      <w:r w:rsidR="00BE6435">
        <w:rPr>
          <w:rFonts w:hint="cs"/>
          <w:sz w:val="26"/>
          <w:rtl/>
        </w:rPr>
        <w:t>ו</w:t>
      </w:r>
      <w:r w:rsidRPr="00E213C0">
        <w:rPr>
          <w:rFonts w:hint="eastAsia"/>
          <w:sz w:val="26"/>
          <w:rtl/>
        </w:rPr>
        <w:t>כח</w:t>
      </w:r>
      <w:r w:rsidRPr="00E213C0">
        <w:rPr>
          <w:sz w:val="26"/>
          <w:rtl/>
        </w:rPr>
        <w:t xml:space="preserve"> </w:t>
      </w:r>
      <w:r w:rsidRPr="00E213C0">
        <w:rPr>
          <w:rFonts w:hint="eastAsia"/>
          <w:sz w:val="26"/>
          <w:rtl/>
        </w:rPr>
        <w:t>שינויים</w:t>
      </w:r>
      <w:r w:rsidRPr="00E213C0">
        <w:rPr>
          <w:sz w:val="26"/>
          <w:rtl/>
        </w:rPr>
        <w:t xml:space="preserve"> </w:t>
      </w:r>
      <w:r w:rsidRPr="00E213C0">
        <w:rPr>
          <w:rFonts w:hint="eastAsia"/>
          <w:sz w:val="26"/>
          <w:rtl/>
        </w:rPr>
        <w:t>אלה</w:t>
      </w:r>
      <w:r w:rsidRPr="00E213C0">
        <w:rPr>
          <w:sz w:val="26"/>
          <w:rtl/>
        </w:rPr>
        <w:t xml:space="preserve"> יש צורך בהיערכות של יצרנים ויבואנים, בפרט אלה שיש </w:t>
      </w:r>
      <w:r w:rsidRPr="00E213C0">
        <w:rPr>
          <w:rFonts w:hint="eastAsia"/>
          <w:sz w:val="26"/>
          <w:rtl/>
        </w:rPr>
        <w:t>בידיהם</w:t>
      </w:r>
      <w:r w:rsidRPr="00E213C0">
        <w:rPr>
          <w:sz w:val="26"/>
          <w:rtl/>
        </w:rPr>
        <w:t xml:space="preserve"> מלאים של מזון וגם חומרי הגלם לפי החקיקה הקיימת, משום שאין ביכולתם לעמוד בדרישות </w:t>
      </w:r>
      <w:r w:rsidRPr="00E213C0">
        <w:rPr>
          <w:rFonts w:hint="eastAsia"/>
          <w:sz w:val="26"/>
          <w:rtl/>
        </w:rPr>
        <w:t>הרגולטוריות</w:t>
      </w:r>
      <w:r w:rsidRPr="00E213C0">
        <w:rPr>
          <w:sz w:val="26"/>
          <w:rtl/>
        </w:rPr>
        <w:t xml:space="preserve"> של </w:t>
      </w:r>
      <w:r w:rsidR="00BE6435">
        <w:rPr>
          <w:rFonts w:hint="cs"/>
          <w:sz w:val="26"/>
          <w:rtl/>
        </w:rPr>
        <w:t>הדין</w:t>
      </w:r>
      <w:r w:rsidRPr="00E213C0">
        <w:rPr>
          <w:sz w:val="26"/>
          <w:rtl/>
        </w:rPr>
        <w:t xml:space="preserve"> האירופי, </w:t>
      </w:r>
      <w:r w:rsidRPr="00E213C0">
        <w:rPr>
          <w:rFonts w:hint="eastAsia"/>
          <w:sz w:val="26"/>
          <w:rtl/>
        </w:rPr>
        <w:t>בפרט</w:t>
      </w:r>
      <w:r w:rsidRPr="00E213C0">
        <w:rPr>
          <w:sz w:val="26"/>
          <w:rtl/>
        </w:rPr>
        <w:t xml:space="preserve"> </w:t>
      </w:r>
      <w:r w:rsidRPr="00E213C0">
        <w:rPr>
          <w:rFonts w:hint="eastAsia"/>
          <w:sz w:val="26"/>
          <w:rtl/>
        </w:rPr>
        <w:t>כפי</w:t>
      </w:r>
      <w:r w:rsidRPr="00E213C0">
        <w:rPr>
          <w:sz w:val="26"/>
          <w:rtl/>
        </w:rPr>
        <w:t xml:space="preserve"> </w:t>
      </w:r>
      <w:r w:rsidRPr="00E213C0">
        <w:rPr>
          <w:rFonts w:hint="eastAsia"/>
          <w:sz w:val="26"/>
          <w:rtl/>
        </w:rPr>
        <w:t>שבוטאו</w:t>
      </w:r>
      <w:r w:rsidRPr="00E213C0">
        <w:rPr>
          <w:sz w:val="26"/>
          <w:rtl/>
        </w:rPr>
        <w:t xml:space="preserve"> </w:t>
      </w:r>
      <w:r w:rsidRPr="00E213C0">
        <w:rPr>
          <w:rFonts w:hint="eastAsia"/>
          <w:sz w:val="26"/>
          <w:rtl/>
        </w:rPr>
        <w:t>והתחדדו</w:t>
      </w:r>
      <w:r w:rsidRPr="00E213C0">
        <w:rPr>
          <w:sz w:val="26"/>
          <w:rtl/>
        </w:rPr>
        <w:t xml:space="preserve"> </w:t>
      </w:r>
      <w:r w:rsidRPr="00E213C0">
        <w:rPr>
          <w:rFonts w:hint="eastAsia"/>
          <w:sz w:val="26"/>
          <w:rtl/>
        </w:rPr>
        <w:t>בתוספת</w:t>
      </w:r>
      <w:r w:rsidRPr="00E213C0">
        <w:rPr>
          <w:sz w:val="26"/>
          <w:rtl/>
        </w:rPr>
        <w:t xml:space="preserve">. </w:t>
      </w:r>
      <w:r w:rsidRPr="00E213C0">
        <w:rPr>
          <w:rFonts w:hint="eastAsia"/>
          <w:sz w:val="26"/>
          <w:rtl/>
        </w:rPr>
        <w:t>לכן</w:t>
      </w:r>
      <w:r w:rsidRPr="00E213C0">
        <w:rPr>
          <w:sz w:val="26"/>
          <w:rtl/>
        </w:rPr>
        <w:t xml:space="preserve"> </w:t>
      </w:r>
      <w:r w:rsidRPr="00E213C0">
        <w:rPr>
          <w:rFonts w:hint="eastAsia"/>
          <w:sz w:val="26"/>
          <w:rtl/>
        </w:rPr>
        <w:t>יש</w:t>
      </w:r>
      <w:r w:rsidRPr="00E213C0">
        <w:rPr>
          <w:sz w:val="26"/>
          <w:rtl/>
        </w:rPr>
        <w:t xml:space="preserve"> </w:t>
      </w:r>
      <w:r w:rsidRPr="00E213C0">
        <w:rPr>
          <w:rFonts w:hint="eastAsia"/>
          <w:sz w:val="26"/>
          <w:rtl/>
        </w:rPr>
        <w:t>צורך</w:t>
      </w:r>
      <w:r w:rsidRPr="00E213C0">
        <w:rPr>
          <w:sz w:val="26"/>
          <w:rtl/>
        </w:rPr>
        <w:t xml:space="preserve"> </w:t>
      </w:r>
      <w:proofErr w:type="spellStart"/>
      <w:r w:rsidRPr="00E213C0">
        <w:rPr>
          <w:rFonts w:hint="eastAsia"/>
          <w:sz w:val="26"/>
          <w:rtl/>
        </w:rPr>
        <w:t>אמיתי</w:t>
      </w:r>
      <w:proofErr w:type="spellEnd"/>
      <w:r w:rsidRPr="00E213C0">
        <w:rPr>
          <w:sz w:val="26"/>
          <w:rtl/>
        </w:rPr>
        <w:t xml:space="preserve"> </w:t>
      </w:r>
      <w:r w:rsidRPr="00E213C0">
        <w:rPr>
          <w:rFonts w:hint="eastAsia"/>
          <w:sz w:val="26"/>
          <w:rtl/>
        </w:rPr>
        <w:t>במתן</w:t>
      </w:r>
      <w:r w:rsidRPr="00E213C0">
        <w:rPr>
          <w:sz w:val="26"/>
          <w:rtl/>
        </w:rPr>
        <w:t xml:space="preserve"> </w:t>
      </w:r>
      <w:r w:rsidRPr="00E213C0">
        <w:rPr>
          <w:rFonts w:hint="eastAsia"/>
          <w:sz w:val="26"/>
          <w:rtl/>
        </w:rPr>
        <w:t>אופציה</w:t>
      </w:r>
      <w:r w:rsidRPr="00E213C0">
        <w:rPr>
          <w:sz w:val="26"/>
          <w:rtl/>
        </w:rPr>
        <w:t xml:space="preserve"> </w:t>
      </w:r>
      <w:r w:rsidRPr="00E213C0">
        <w:rPr>
          <w:rFonts w:hint="eastAsia"/>
          <w:sz w:val="26"/>
          <w:rtl/>
        </w:rPr>
        <w:t>לאותם</w:t>
      </w:r>
      <w:r w:rsidRPr="00E213C0">
        <w:rPr>
          <w:sz w:val="26"/>
          <w:rtl/>
        </w:rPr>
        <w:t xml:space="preserve"> </w:t>
      </w:r>
      <w:r w:rsidRPr="00E213C0">
        <w:rPr>
          <w:rFonts w:hint="eastAsia"/>
          <w:sz w:val="26"/>
          <w:rtl/>
        </w:rPr>
        <w:t>יצרנים</w:t>
      </w:r>
      <w:r w:rsidRPr="00E213C0">
        <w:rPr>
          <w:sz w:val="26"/>
          <w:rtl/>
        </w:rPr>
        <w:t xml:space="preserve">/יבואנים </w:t>
      </w:r>
      <w:r w:rsidRPr="00E213C0">
        <w:rPr>
          <w:rFonts w:hint="eastAsia"/>
          <w:sz w:val="26"/>
          <w:rtl/>
        </w:rPr>
        <w:t>לפעול</w:t>
      </w:r>
      <w:r w:rsidRPr="00E213C0">
        <w:rPr>
          <w:sz w:val="26"/>
          <w:rtl/>
        </w:rPr>
        <w:t xml:space="preserve"> </w:t>
      </w:r>
      <w:r w:rsidRPr="00E213C0">
        <w:rPr>
          <w:rFonts w:hint="eastAsia"/>
          <w:sz w:val="26"/>
          <w:rtl/>
        </w:rPr>
        <w:t>לפי</w:t>
      </w:r>
      <w:r w:rsidRPr="00E213C0">
        <w:rPr>
          <w:sz w:val="26"/>
          <w:rtl/>
        </w:rPr>
        <w:t xml:space="preserve"> </w:t>
      </w:r>
      <w:r w:rsidRPr="00E213C0">
        <w:rPr>
          <w:rFonts w:hint="eastAsia"/>
          <w:sz w:val="26"/>
          <w:rtl/>
        </w:rPr>
        <w:t>החקיקה</w:t>
      </w:r>
      <w:r w:rsidRPr="00E213C0">
        <w:rPr>
          <w:sz w:val="26"/>
          <w:rtl/>
        </w:rPr>
        <w:t xml:space="preserve"> </w:t>
      </w:r>
      <w:r w:rsidRPr="00E213C0">
        <w:rPr>
          <w:rFonts w:hint="eastAsia"/>
          <w:sz w:val="26"/>
          <w:rtl/>
        </w:rPr>
        <w:t>הקיימת</w:t>
      </w:r>
      <w:r w:rsidRPr="00E213C0">
        <w:rPr>
          <w:sz w:val="26"/>
          <w:rtl/>
        </w:rPr>
        <w:t xml:space="preserve"> </w:t>
      </w:r>
      <w:r w:rsidRPr="00E213C0">
        <w:rPr>
          <w:rFonts w:hint="eastAsia"/>
          <w:sz w:val="26"/>
          <w:rtl/>
        </w:rPr>
        <w:t>בתקופת</w:t>
      </w:r>
      <w:r w:rsidRPr="00E213C0">
        <w:rPr>
          <w:sz w:val="26"/>
          <w:rtl/>
        </w:rPr>
        <w:t xml:space="preserve"> </w:t>
      </w:r>
      <w:r w:rsidRPr="00E213C0">
        <w:rPr>
          <w:rFonts w:hint="eastAsia"/>
          <w:sz w:val="26"/>
          <w:rtl/>
        </w:rPr>
        <w:t>המעבר</w:t>
      </w:r>
      <w:r w:rsidRPr="00E213C0">
        <w:rPr>
          <w:sz w:val="26"/>
          <w:rtl/>
        </w:rPr>
        <w:t xml:space="preserve"> כמוצע. </w:t>
      </w:r>
      <w:r w:rsidR="00BE6435">
        <w:rPr>
          <w:rFonts w:hint="cs"/>
          <w:sz w:val="26"/>
          <w:rtl/>
        </w:rPr>
        <w:t>מהלך זה ימנע, בין היתר, אובדן מזון.</w:t>
      </w:r>
    </w:p>
    <w:p w14:paraId="29A5664A" w14:textId="77777777" w:rsidR="00C52F4B" w:rsidRPr="00E213C0" w:rsidRDefault="003B5193" w:rsidP="000B6D53">
      <w:pPr>
        <w:pStyle w:val="Hesber"/>
        <w:ind w:hanging="1"/>
        <w:rPr>
          <w:sz w:val="26"/>
          <w:rtl/>
        </w:rPr>
      </w:pPr>
      <w:r w:rsidRPr="00E213C0">
        <w:rPr>
          <w:rFonts w:hint="eastAsia"/>
          <w:sz w:val="26"/>
          <w:rtl/>
        </w:rPr>
        <w:t>האופציה</w:t>
      </w:r>
      <w:r w:rsidRPr="00E213C0">
        <w:rPr>
          <w:sz w:val="26"/>
          <w:rtl/>
        </w:rPr>
        <w:t xml:space="preserve"> </w:t>
      </w:r>
      <w:r w:rsidRPr="00E213C0">
        <w:rPr>
          <w:rFonts w:hint="eastAsia"/>
          <w:sz w:val="26"/>
          <w:rtl/>
        </w:rPr>
        <w:t>פתוחה</w:t>
      </w:r>
      <w:r w:rsidRPr="00E213C0">
        <w:rPr>
          <w:sz w:val="26"/>
          <w:rtl/>
        </w:rPr>
        <w:t xml:space="preserve"> </w:t>
      </w:r>
      <w:r w:rsidRPr="00E213C0">
        <w:rPr>
          <w:rFonts w:hint="eastAsia"/>
          <w:sz w:val="26"/>
          <w:rtl/>
        </w:rPr>
        <w:t>למי</w:t>
      </w:r>
      <w:r w:rsidRPr="00E213C0">
        <w:rPr>
          <w:sz w:val="26"/>
          <w:rtl/>
        </w:rPr>
        <w:t xml:space="preserve"> </w:t>
      </w:r>
      <w:r w:rsidRPr="00E213C0">
        <w:rPr>
          <w:rFonts w:hint="eastAsia"/>
          <w:sz w:val="26"/>
          <w:rtl/>
        </w:rPr>
        <w:t>שיבקש</w:t>
      </w:r>
      <w:r w:rsidRPr="00E213C0">
        <w:rPr>
          <w:sz w:val="26"/>
          <w:rtl/>
        </w:rPr>
        <w:t xml:space="preserve"> זאת, מקרב היצרנים או היבואנים (להוציא יבואן ב</w:t>
      </w:r>
      <w:r w:rsidR="00BE6435">
        <w:rPr>
          <w:rFonts w:hint="cs"/>
          <w:sz w:val="26"/>
          <w:rtl/>
        </w:rPr>
        <w:t>"</w:t>
      </w:r>
      <w:r w:rsidRPr="00E213C0">
        <w:rPr>
          <w:sz w:val="26"/>
          <w:rtl/>
        </w:rPr>
        <w:t>מסלו</w:t>
      </w:r>
      <w:r w:rsidRPr="00E213C0">
        <w:rPr>
          <w:rFonts w:hint="eastAsia"/>
          <w:sz w:val="26"/>
          <w:rtl/>
        </w:rPr>
        <w:t>ל</w:t>
      </w:r>
      <w:r w:rsidRPr="00E213C0">
        <w:rPr>
          <w:sz w:val="26"/>
          <w:rtl/>
        </w:rPr>
        <w:t xml:space="preserve"> האירופי</w:t>
      </w:r>
      <w:r w:rsidR="00BE6435">
        <w:rPr>
          <w:rFonts w:hint="cs"/>
          <w:sz w:val="26"/>
          <w:rtl/>
        </w:rPr>
        <w:t>"</w:t>
      </w:r>
      <w:r w:rsidRPr="00E213C0">
        <w:rPr>
          <w:sz w:val="26"/>
          <w:rtl/>
        </w:rPr>
        <w:t xml:space="preserve"> </w:t>
      </w:r>
      <w:r w:rsidRPr="00E213C0">
        <w:rPr>
          <w:rFonts w:hint="eastAsia"/>
          <w:sz w:val="26"/>
          <w:rtl/>
        </w:rPr>
        <w:t>הפועל</w:t>
      </w:r>
      <w:r w:rsidRPr="00E213C0">
        <w:rPr>
          <w:sz w:val="26"/>
          <w:rtl/>
        </w:rPr>
        <w:t xml:space="preserve"> </w:t>
      </w:r>
      <w:r w:rsidRPr="00E213C0">
        <w:rPr>
          <w:rFonts w:hint="eastAsia"/>
          <w:sz w:val="26"/>
          <w:rtl/>
        </w:rPr>
        <w:lastRenderedPageBreak/>
        <w:t>ממילא</w:t>
      </w:r>
      <w:r w:rsidRPr="00E213C0">
        <w:rPr>
          <w:sz w:val="26"/>
          <w:rtl/>
        </w:rPr>
        <w:t xml:space="preserve"> </w:t>
      </w:r>
      <w:r w:rsidRPr="00E213C0">
        <w:rPr>
          <w:rFonts w:hint="eastAsia"/>
          <w:sz w:val="26"/>
          <w:rtl/>
        </w:rPr>
        <w:t>לפי</w:t>
      </w:r>
      <w:r w:rsidRPr="00E213C0">
        <w:rPr>
          <w:sz w:val="26"/>
          <w:rtl/>
        </w:rPr>
        <w:t xml:space="preserve"> </w:t>
      </w:r>
      <w:r w:rsidRPr="00E213C0">
        <w:rPr>
          <w:rFonts w:hint="eastAsia"/>
          <w:sz w:val="26"/>
          <w:rtl/>
        </w:rPr>
        <w:t>הדין</w:t>
      </w:r>
      <w:r w:rsidRPr="00E213C0">
        <w:rPr>
          <w:sz w:val="26"/>
          <w:rtl/>
        </w:rPr>
        <w:t xml:space="preserve"> </w:t>
      </w:r>
      <w:r w:rsidRPr="00E213C0">
        <w:rPr>
          <w:rFonts w:hint="eastAsia"/>
          <w:sz w:val="26"/>
          <w:rtl/>
        </w:rPr>
        <w:t>האירופי</w:t>
      </w:r>
      <w:r w:rsidRPr="00E213C0">
        <w:rPr>
          <w:sz w:val="26"/>
          <w:rtl/>
        </w:rPr>
        <w:t xml:space="preserve">), </w:t>
      </w:r>
      <w:r w:rsidRPr="00E213C0">
        <w:rPr>
          <w:rFonts w:hint="eastAsia"/>
          <w:sz w:val="26"/>
          <w:rtl/>
        </w:rPr>
        <w:t>בכפוף</w:t>
      </w:r>
      <w:r w:rsidRPr="00E213C0">
        <w:rPr>
          <w:sz w:val="26"/>
          <w:rtl/>
        </w:rPr>
        <w:t xml:space="preserve"> לכך שיפעל </w:t>
      </w:r>
      <w:r w:rsidRPr="00E213C0">
        <w:rPr>
          <w:rFonts w:hint="eastAsia"/>
          <w:sz w:val="26"/>
          <w:rtl/>
        </w:rPr>
        <w:t>בהתאם</w:t>
      </w:r>
      <w:r w:rsidRPr="00E213C0">
        <w:rPr>
          <w:sz w:val="26"/>
          <w:rtl/>
        </w:rPr>
        <w:t xml:space="preserve"> </w:t>
      </w:r>
      <w:r w:rsidR="00BE6435">
        <w:rPr>
          <w:rFonts w:hint="cs"/>
          <w:sz w:val="26"/>
          <w:rtl/>
        </w:rPr>
        <w:t>ל</w:t>
      </w:r>
      <w:r w:rsidRPr="00E213C0">
        <w:rPr>
          <w:rFonts w:hint="eastAsia"/>
          <w:sz w:val="26"/>
          <w:rtl/>
        </w:rPr>
        <w:t>טופס</w:t>
      </w:r>
      <w:r w:rsidRPr="00E213C0">
        <w:rPr>
          <w:sz w:val="26"/>
          <w:rtl/>
        </w:rPr>
        <w:t xml:space="preserve"> </w:t>
      </w:r>
      <w:r w:rsidRPr="00E213C0">
        <w:rPr>
          <w:rFonts w:hint="eastAsia"/>
          <w:sz w:val="26"/>
          <w:rtl/>
        </w:rPr>
        <w:t>הבקשה</w:t>
      </w:r>
      <w:r w:rsidRPr="00E213C0">
        <w:rPr>
          <w:sz w:val="26"/>
          <w:rtl/>
        </w:rPr>
        <w:t xml:space="preserve"> </w:t>
      </w:r>
      <w:r w:rsidRPr="00E213C0">
        <w:rPr>
          <w:rFonts w:hint="eastAsia"/>
          <w:sz w:val="26"/>
          <w:rtl/>
        </w:rPr>
        <w:t>המקוון</w:t>
      </w:r>
      <w:r w:rsidRPr="00E213C0">
        <w:rPr>
          <w:sz w:val="26"/>
          <w:rtl/>
        </w:rPr>
        <w:t xml:space="preserve">. לגבי </w:t>
      </w:r>
      <w:r w:rsidRPr="00E213C0">
        <w:rPr>
          <w:rFonts w:hint="eastAsia"/>
          <w:sz w:val="26"/>
          <w:rtl/>
        </w:rPr>
        <w:t>מי</w:t>
      </w:r>
      <w:r w:rsidRPr="00E213C0">
        <w:rPr>
          <w:sz w:val="26"/>
          <w:rtl/>
        </w:rPr>
        <w:t xml:space="preserve"> </w:t>
      </w:r>
      <w:r w:rsidRPr="00E213C0">
        <w:rPr>
          <w:rFonts w:hint="eastAsia"/>
          <w:sz w:val="26"/>
          <w:rtl/>
        </w:rPr>
        <w:t>שלא</w:t>
      </w:r>
      <w:r w:rsidRPr="00E213C0">
        <w:rPr>
          <w:sz w:val="26"/>
          <w:rtl/>
        </w:rPr>
        <w:t xml:space="preserve"> </w:t>
      </w:r>
      <w:r w:rsidRPr="00E213C0">
        <w:rPr>
          <w:rFonts w:hint="eastAsia"/>
          <w:sz w:val="26"/>
          <w:rtl/>
        </w:rPr>
        <w:t>ביקש</w:t>
      </w:r>
      <w:r w:rsidRPr="00E213C0">
        <w:rPr>
          <w:sz w:val="26"/>
          <w:rtl/>
        </w:rPr>
        <w:t xml:space="preserve"> </w:t>
      </w:r>
      <w:r w:rsidRPr="00E213C0">
        <w:rPr>
          <w:rFonts w:hint="eastAsia"/>
          <w:sz w:val="26"/>
          <w:rtl/>
        </w:rPr>
        <w:t>כן</w:t>
      </w:r>
      <w:r w:rsidRPr="00E213C0">
        <w:rPr>
          <w:sz w:val="26"/>
          <w:rtl/>
        </w:rPr>
        <w:t xml:space="preserve"> – התחולה במועד</w:t>
      </w:r>
      <w:r w:rsidR="00BE6435">
        <w:rPr>
          <w:rFonts w:hint="cs"/>
          <w:sz w:val="26"/>
          <w:rtl/>
        </w:rPr>
        <w:t xml:space="preserve"> המקורי.</w:t>
      </w:r>
      <w:r w:rsidRPr="00E213C0">
        <w:rPr>
          <w:sz w:val="26"/>
          <w:rtl/>
        </w:rPr>
        <w:t xml:space="preserve"> </w:t>
      </w:r>
    </w:p>
    <w:p w14:paraId="4951F3EF" w14:textId="77777777" w:rsidR="00C52F4B" w:rsidRPr="00BB0E0E" w:rsidRDefault="003B5193" w:rsidP="000B6D53">
      <w:pPr>
        <w:pStyle w:val="Hesber"/>
        <w:ind w:hanging="1"/>
        <w:rPr>
          <w:sz w:val="26"/>
        </w:rPr>
      </w:pPr>
      <w:r w:rsidRPr="00E213C0">
        <w:rPr>
          <w:rFonts w:hint="eastAsia"/>
          <w:sz w:val="26"/>
          <w:rtl/>
        </w:rPr>
        <w:t>המשמעות</w:t>
      </w:r>
      <w:r w:rsidRPr="00E213C0">
        <w:rPr>
          <w:sz w:val="26"/>
          <w:rtl/>
        </w:rPr>
        <w:t xml:space="preserve"> </w:t>
      </w:r>
      <w:r w:rsidRPr="00E213C0">
        <w:rPr>
          <w:rFonts w:hint="eastAsia"/>
          <w:sz w:val="26"/>
          <w:rtl/>
        </w:rPr>
        <w:t>הינה</w:t>
      </w:r>
      <w:r w:rsidRPr="00E213C0">
        <w:rPr>
          <w:sz w:val="26"/>
          <w:rtl/>
        </w:rPr>
        <w:t xml:space="preserve"> </w:t>
      </w:r>
      <w:r w:rsidRPr="00E213C0">
        <w:rPr>
          <w:rFonts w:hint="eastAsia"/>
          <w:sz w:val="26"/>
          <w:rtl/>
        </w:rPr>
        <w:t>שלגבי</w:t>
      </w:r>
      <w:r w:rsidRPr="00E213C0">
        <w:rPr>
          <w:sz w:val="26"/>
          <w:rtl/>
        </w:rPr>
        <w:t xml:space="preserve"> </w:t>
      </w:r>
      <w:r w:rsidRPr="00E213C0">
        <w:rPr>
          <w:rFonts w:hint="eastAsia"/>
          <w:sz w:val="26"/>
          <w:rtl/>
        </w:rPr>
        <w:t>יבואנים</w:t>
      </w:r>
      <w:r w:rsidRPr="00E213C0">
        <w:rPr>
          <w:sz w:val="26"/>
          <w:rtl/>
        </w:rPr>
        <w:t xml:space="preserve"> </w:t>
      </w:r>
      <w:r w:rsidRPr="00E213C0">
        <w:rPr>
          <w:rFonts w:hint="eastAsia"/>
          <w:sz w:val="26"/>
          <w:rtl/>
        </w:rPr>
        <w:t>או</w:t>
      </w:r>
      <w:r w:rsidRPr="00E213C0">
        <w:rPr>
          <w:sz w:val="26"/>
          <w:rtl/>
        </w:rPr>
        <w:t xml:space="preserve"> </w:t>
      </w:r>
      <w:r w:rsidRPr="00E213C0">
        <w:rPr>
          <w:rFonts w:hint="eastAsia"/>
          <w:sz w:val="26"/>
          <w:rtl/>
        </w:rPr>
        <w:t>יצרנים</w:t>
      </w:r>
      <w:r w:rsidRPr="00E213C0">
        <w:rPr>
          <w:sz w:val="26"/>
          <w:rtl/>
        </w:rPr>
        <w:t xml:space="preserve"> </w:t>
      </w:r>
      <w:r w:rsidRPr="00E213C0">
        <w:rPr>
          <w:rFonts w:hint="eastAsia"/>
          <w:sz w:val="26"/>
          <w:rtl/>
        </w:rPr>
        <w:t>שבחרו</w:t>
      </w:r>
      <w:r w:rsidRPr="00E213C0">
        <w:rPr>
          <w:sz w:val="26"/>
          <w:rtl/>
        </w:rPr>
        <w:t xml:space="preserve"> </w:t>
      </w:r>
      <w:r w:rsidRPr="00E213C0">
        <w:rPr>
          <w:rFonts w:hint="eastAsia"/>
          <w:sz w:val="26"/>
          <w:rtl/>
        </w:rPr>
        <w:t>באופציה</w:t>
      </w:r>
      <w:r w:rsidRPr="00E213C0">
        <w:rPr>
          <w:sz w:val="26"/>
          <w:rtl/>
        </w:rPr>
        <w:t xml:space="preserve"> </w:t>
      </w:r>
      <w:r w:rsidRPr="00E213C0">
        <w:rPr>
          <w:rFonts w:hint="eastAsia"/>
          <w:sz w:val="26"/>
          <w:rtl/>
        </w:rPr>
        <w:t>זו</w:t>
      </w:r>
      <w:r w:rsidR="00BE6435">
        <w:rPr>
          <w:rFonts w:hint="cs"/>
          <w:sz w:val="26"/>
          <w:rtl/>
        </w:rPr>
        <w:t>,</w:t>
      </w:r>
      <w:r w:rsidRPr="00E213C0">
        <w:rPr>
          <w:sz w:val="26"/>
          <w:rtl/>
        </w:rPr>
        <w:t xml:space="preserve"> </w:t>
      </w:r>
      <w:r w:rsidR="00BE6435">
        <w:rPr>
          <w:rFonts w:hint="cs"/>
          <w:sz w:val="26"/>
          <w:rtl/>
        </w:rPr>
        <w:t xml:space="preserve">הדין שיחול על המזון מושא בקשתם, </w:t>
      </w:r>
      <w:r w:rsidRPr="00E213C0">
        <w:rPr>
          <w:rFonts w:hint="eastAsia"/>
          <w:sz w:val="26"/>
          <w:rtl/>
        </w:rPr>
        <w:t>ב</w:t>
      </w:r>
      <w:r w:rsidR="00BE6435">
        <w:rPr>
          <w:rFonts w:hint="cs"/>
          <w:sz w:val="26"/>
          <w:rtl/>
        </w:rPr>
        <w:t xml:space="preserve">משך כל </w:t>
      </w:r>
      <w:r w:rsidRPr="00E213C0">
        <w:rPr>
          <w:rFonts w:hint="eastAsia"/>
          <w:sz w:val="26"/>
          <w:rtl/>
        </w:rPr>
        <w:t>תקופת</w:t>
      </w:r>
      <w:r w:rsidRPr="00E213C0">
        <w:rPr>
          <w:sz w:val="26"/>
          <w:rtl/>
        </w:rPr>
        <w:t xml:space="preserve"> </w:t>
      </w:r>
      <w:r w:rsidRPr="00E213C0">
        <w:rPr>
          <w:rFonts w:hint="eastAsia"/>
          <w:sz w:val="26"/>
          <w:rtl/>
        </w:rPr>
        <w:t>המעבר</w:t>
      </w:r>
      <w:r w:rsidR="00BE6435">
        <w:rPr>
          <w:rFonts w:hint="cs"/>
          <w:sz w:val="26"/>
          <w:rtl/>
        </w:rPr>
        <w:t>,</w:t>
      </w:r>
      <w:r w:rsidRPr="00E213C0">
        <w:rPr>
          <w:sz w:val="26"/>
          <w:rtl/>
        </w:rPr>
        <w:t xml:space="preserve"> </w:t>
      </w:r>
      <w:r w:rsidR="00BE6435">
        <w:rPr>
          <w:rFonts w:hint="cs"/>
          <w:sz w:val="26"/>
          <w:rtl/>
        </w:rPr>
        <w:t>יהיה</w:t>
      </w:r>
      <w:r w:rsidRPr="00E213C0">
        <w:rPr>
          <w:sz w:val="26"/>
          <w:rtl/>
        </w:rPr>
        <w:t xml:space="preserve"> </w:t>
      </w:r>
      <w:r w:rsidRPr="00E213C0">
        <w:rPr>
          <w:rFonts w:hint="eastAsia"/>
          <w:sz w:val="26"/>
          <w:rtl/>
        </w:rPr>
        <w:t>הדין</w:t>
      </w:r>
      <w:r w:rsidRPr="00E213C0">
        <w:rPr>
          <w:sz w:val="26"/>
          <w:rtl/>
        </w:rPr>
        <w:t xml:space="preserve"> </w:t>
      </w:r>
      <w:r w:rsidRPr="00E213C0">
        <w:rPr>
          <w:rFonts w:hint="eastAsia"/>
          <w:sz w:val="26"/>
          <w:rtl/>
        </w:rPr>
        <w:t>הקיים</w:t>
      </w:r>
      <w:r w:rsidR="00BE6435">
        <w:rPr>
          <w:rFonts w:hint="cs"/>
          <w:sz w:val="26"/>
          <w:rtl/>
        </w:rPr>
        <w:t>.</w:t>
      </w:r>
      <w:r w:rsidRPr="00E213C0">
        <w:rPr>
          <w:sz w:val="26"/>
          <w:rtl/>
        </w:rPr>
        <w:t xml:space="preserve"> </w:t>
      </w:r>
    </w:p>
    <w:p w14:paraId="6807E380" w14:textId="77777777" w:rsidR="00AB3FD1" w:rsidRPr="00BB0E0E" w:rsidRDefault="00AB3FD1" w:rsidP="00AB3FD1">
      <w:pPr>
        <w:rPr>
          <w:sz w:val="26"/>
          <w:szCs w:val="26"/>
        </w:rPr>
      </w:pPr>
    </w:p>
    <w:sectPr w:rsidR="00AB3FD1" w:rsidRPr="00BB0E0E" w:rsidSect="00207578">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3CA22" w14:textId="77777777" w:rsidR="00352C30" w:rsidRDefault="00352C30" w:rsidP="00185745">
      <w:pPr>
        <w:spacing w:line="240" w:lineRule="auto"/>
      </w:pPr>
      <w:r>
        <w:separator/>
      </w:r>
    </w:p>
  </w:endnote>
  <w:endnote w:type="continuationSeparator" w:id="0">
    <w:p w14:paraId="5365A61E" w14:textId="77777777" w:rsidR="00352C30" w:rsidRDefault="00352C30" w:rsidP="00185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2C4B" w14:textId="77777777" w:rsidR="00352C30" w:rsidRDefault="00352C30" w:rsidP="00185745">
      <w:pPr>
        <w:spacing w:line="240" w:lineRule="auto"/>
      </w:pPr>
      <w:r>
        <w:separator/>
      </w:r>
    </w:p>
  </w:footnote>
  <w:footnote w:type="continuationSeparator" w:id="0">
    <w:p w14:paraId="17236A7E" w14:textId="77777777" w:rsidR="00352C30" w:rsidRDefault="00352C30" w:rsidP="00185745">
      <w:pPr>
        <w:spacing w:line="240" w:lineRule="auto"/>
      </w:pPr>
      <w:r>
        <w:continuationSeparator/>
      </w:r>
    </w:p>
  </w:footnote>
  <w:footnote w:id="1">
    <w:p w14:paraId="5DA47B36" w14:textId="70285C24" w:rsidR="001766A3" w:rsidRPr="00E213C0" w:rsidRDefault="001766A3" w:rsidP="007F1329">
      <w:pPr>
        <w:pStyle w:val="a5"/>
      </w:pPr>
      <w:r w:rsidRPr="00E213C0">
        <w:rPr>
          <w:rStyle w:val="a7"/>
        </w:rPr>
        <w:footnoteRef/>
      </w:r>
      <w:r w:rsidRPr="00E213C0">
        <w:rPr>
          <w:rtl/>
        </w:rPr>
        <w:t xml:space="preserve"> </w:t>
      </w:r>
      <w:r w:rsidR="00B131AE">
        <w:rPr>
          <w:rFonts w:hint="cs"/>
          <w:rtl/>
        </w:rPr>
        <w:t xml:space="preserve">ס"ח </w:t>
      </w:r>
      <w:proofErr w:type="spellStart"/>
      <w:r w:rsidR="00B131AE">
        <w:rPr>
          <w:rFonts w:hint="cs"/>
          <w:rtl/>
        </w:rPr>
        <w:t>התשפ"ב</w:t>
      </w:r>
      <w:proofErr w:type="spellEnd"/>
      <w:r w:rsidR="00B131AE">
        <w:rPr>
          <w:rFonts w:hint="cs"/>
          <w:rtl/>
        </w:rPr>
        <w:t xml:space="preserve"> 2933, עמ' 80</w:t>
      </w:r>
    </w:p>
  </w:footnote>
  <w:footnote w:id="2">
    <w:p w14:paraId="0A179DC3" w14:textId="77777777" w:rsidR="007D12CB" w:rsidRDefault="007D12CB" w:rsidP="004227B9">
      <w:pPr>
        <w:pStyle w:val="a5"/>
      </w:pPr>
      <w:r w:rsidRPr="00E213C0">
        <w:rPr>
          <w:rStyle w:val="a7"/>
        </w:rPr>
        <w:footnoteRef/>
      </w:r>
      <w:r w:rsidRPr="00E213C0">
        <w:rPr>
          <w:rtl/>
        </w:rPr>
        <w:t xml:space="preserve"> </w:t>
      </w:r>
      <w:r w:rsidR="004227B9" w:rsidRPr="00E213C0">
        <w:rPr>
          <w:rFonts w:hint="cs"/>
          <w:rtl/>
        </w:rPr>
        <w:t>שאלת הצורך בהמלצת ועדת החריגים מצויה כעת בבחינה מול הועדה.</w:t>
      </w:r>
      <w:r w:rsidR="004227B9">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D5916"/>
    <w:multiLevelType w:val="hybridMultilevel"/>
    <w:tmpl w:val="BD563CE4"/>
    <w:lvl w:ilvl="0" w:tplc="63067146">
      <w:start w:val="1"/>
      <w:numFmt w:val="hebrew1"/>
      <w:lvlText w:val="(%1)"/>
      <w:lvlJc w:val="left"/>
      <w:pPr>
        <w:tabs>
          <w:tab w:val="num" w:pos="624"/>
        </w:tabs>
        <w:ind w:left="0" w:firstLine="0"/>
      </w:pPr>
    </w:lvl>
    <w:lvl w:ilvl="1" w:tplc="F67C7B92" w:tentative="1">
      <w:start w:val="1"/>
      <w:numFmt w:val="lowerLetter"/>
      <w:lvlText w:val="%2."/>
      <w:lvlJc w:val="left"/>
      <w:pPr>
        <w:ind w:left="1440" w:hanging="360"/>
      </w:pPr>
    </w:lvl>
    <w:lvl w:ilvl="2" w:tplc="28B89F2A" w:tentative="1">
      <w:start w:val="1"/>
      <w:numFmt w:val="lowerRoman"/>
      <w:lvlText w:val="%3."/>
      <w:lvlJc w:val="right"/>
      <w:pPr>
        <w:ind w:left="2160" w:hanging="180"/>
      </w:pPr>
    </w:lvl>
    <w:lvl w:ilvl="3" w:tplc="A3D00604" w:tentative="1">
      <w:start w:val="1"/>
      <w:numFmt w:val="decimal"/>
      <w:lvlText w:val="%4."/>
      <w:lvlJc w:val="left"/>
      <w:pPr>
        <w:ind w:left="2880" w:hanging="360"/>
      </w:pPr>
    </w:lvl>
    <w:lvl w:ilvl="4" w:tplc="32A68FF4" w:tentative="1">
      <w:start w:val="1"/>
      <w:numFmt w:val="lowerLetter"/>
      <w:lvlText w:val="%5."/>
      <w:lvlJc w:val="left"/>
      <w:pPr>
        <w:ind w:left="3600" w:hanging="360"/>
      </w:pPr>
    </w:lvl>
    <w:lvl w:ilvl="5" w:tplc="29B08C4E" w:tentative="1">
      <w:start w:val="1"/>
      <w:numFmt w:val="lowerRoman"/>
      <w:lvlText w:val="%6."/>
      <w:lvlJc w:val="right"/>
      <w:pPr>
        <w:ind w:left="4320" w:hanging="180"/>
      </w:pPr>
    </w:lvl>
    <w:lvl w:ilvl="6" w:tplc="272071A0" w:tentative="1">
      <w:start w:val="1"/>
      <w:numFmt w:val="decimal"/>
      <w:lvlText w:val="%7."/>
      <w:lvlJc w:val="left"/>
      <w:pPr>
        <w:ind w:left="5040" w:hanging="360"/>
      </w:pPr>
    </w:lvl>
    <w:lvl w:ilvl="7" w:tplc="8E90ABA0" w:tentative="1">
      <w:start w:val="1"/>
      <w:numFmt w:val="lowerLetter"/>
      <w:lvlText w:val="%8."/>
      <w:lvlJc w:val="left"/>
      <w:pPr>
        <w:ind w:left="5760" w:hanging="360"/>
      </w:pPr>
    </w:lvl>
    <w:lvl w:ilvl="8" w:tplc="98C43128" w:tentative="1">
      <w:start w:val="1"/>
      <w:numFmt w:val="lowerRoman"/>
      <w:lvlText w:val="%9."/>
      <w:lvlJc w:val="right"/>
      <w:pPr>
        <w:ind w:left="6480" w:hanging="180"/>
      </w:pPr>
    </w:lvl>
  </w:abstractNum>
  <w:abstractNum w:abstractNumId="11" w15:restartNumberingAfterBreak="0">
    <w:nsid w:val="16D05349"/>
    <w:multiLevelType w:val="hybridMultilevel"/>
    <w:tmpl w:val="A1C80E5C"/>
    <w:lvl w:ilvl="0" w:tplc="6060CF0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197D0D18"/>
    <w:multiLevelType w:val="hybridMultilevel"/>
    <w:tmpl w:val="4852D75E"/>
    <w:lvl w:ilvl="0" w:tplc="1BF25A4C">
      <w:start w:val="1"/>
      <w:numFmt w:val="decimal"/>
      <w:lvlText w:val="(%1)"/>
      <w:lvlJc w:val="left"/>
      <w:pPr>
        <w:ind w:left="720" w:hanging="360"/>
      </w:pPr>
      <w:rPr>
        <w:rFonts w:hint="default"/>
      </w:rPr>
    </w:lvl>
    <w:lvl w:ilvl="1" w:tplc="B344CE34" w:tentative="1">
      <w:start w:val="1"/>
      <w:numFmt w:val="lowerLetter"/>
      <w:lvlText w:val="%2."/>
      <w:lvlJc w:val="left"/>
      <w:pPr>
        <w:ind w:left="1440" w:hanging="360"/>
      </w:pPr>
    </w:lvl>
    <w:lvl w:ilvl="2" w:tplc="4094E1BA" w:tentative="1">
      <w:start w:val="1"/>
      <w:numFmt w:val="lowerRoman"/>
      <w:lvlText w:val="%3."/>
      <w:lvlJc w:val="right"/>
      <w:pPr>
        <w:ind w:left="2160" w:hanging="180"/>
      </w:pPr>
    </w:lvl>
    <w:lvl w:ilvl="3" w:tplc="2A7AED0A" w:tentative="1">
      <w:start w:val="1"/>
      <w:numFmt w:val="decimal"/>
      <w:lvlText w:val="%4."/>
      <w:lvlJc w:val="left"/>
      <w:pPr>
        <w:ind w:left="2880" w:hanging="360"/>
      </w:pPr>
    </w:lvl>
    <w:lvl w:ilvl="4" w:tplc="4D2AA91C" w:tentative="1">
      <w:start w:val="1"/>
      <w:numFmt w:val="lowerLetter"/>
      <w:lvlText w:val="%5."/>
      <w:lvlJc w:val="left"/>
      <w:pPr>
        <w:ind w:left="3600" w:hanging="360"/>
      </w:pPr>
    </w:lvl>
    <w:lvl w:ilvl="5" w:tplc="3906EAD2" w:tentative="1">
      <w:start w:val="1"/>
      <w:numFmt w:val="lowerRoman"/>
      <w:lvlText w:val="%6."/>
      <w:lvlJc w:val="right"/>
      <w:pPr>
        <w:ind w:left="4320" w:hanging="180"/>
      </w:pPr>
    </w:lvl>
    <w:lvl w:ilvl="6" w:tplc="0F34969C" w:tentative="1">
      <w:start w:val="1"/>
      <w:numFmt w:val="decimal"/>
      <w:lvlText w:val="%7."/>
      <w:lvlJc w:val="left"/>
      <w:pPr>
        <w:ind w:left="5040" w:hanging="360"/>
      </w:pPr>
    </w:lvl>
    <w:lvl w:ilvl="7" w:tplc="63C86EA8" w:tentative="1">
      <w:start w:val="1"/>
      <w:numFmt w:val="lowerLetter"/>
      <w:lvlText w:val="%8."/>
      <w:lvlJc w:val="left"/>
      <w:pPr>
        <w:ind w:left="5760" w:hanging="360"/>
      </w:pPr>
    </w:lvl>
    <w:lvl w:ilvl="8" w:tplc="87B824B0" w:tentative="1">
      <w:start w:val="1"/>
      <w:numFmt w:val="lowerRoman"/>
      <w:lvlText w:val="%9."/>
      <w:lvlJc w:val="right"/>
      <w:pPr>
        <w:ind w:left="6480" w:hanging="180"/>
      </w:pPr>
    </w:lvl>
  </w:abstractNum>
  <w:abstractNum w:abstractNumId="14"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226CD0"/>
    <w:multiLevelType w:val="hybridMultilevel"/>
    <w:tmpl w:val="4A74AACA"/>
    <w:lvl w:ilvl="0" w:tplc="04E420D0">
      <w:start w:val="5"/>
      <w:numFmt w:val="bullet"/>
      <w:lvlText w:val="-"/>
      <w:lvlJc w:val="left"/>
      <w:pPr>
        <w:ind w:left="700" w:hanging="360"/>
      </w:pPr>
      <w:rPr>
        <w:rFonts w:ascii="David" w:eastAsia="Arial Unicode MS" w:hAnsi="David" w:cs="David"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6" w15:restartNumberingAfterBreak="0">
    <w:nsid w:val="2EBA4223"/>
    <w:multiLevelType w:val="hybridMultilevel"/>
    <w:tmpl w:val="81528BA0"/>
    <w:lvl w:ilvl="0" w:tplc="8736CD9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12FE7"/>
    <w:multiLevelType w:val="hybridMultilevel"/>
    <w:tmpl w:val="850CAEE2"/>
    <w:lvl w:ilvl="0" w:tplc="4D5C2840">
      <w:start w:val="1"/>
      <w:numFmt w:val="decimal"/>
      <w:lvlText w:val="(%1)"/>
      <w:lvlJc w:val="left"/>
      <w:pPr>
        <w:ind w:left="720" w:hanging="360"/>
      </w:pPr>
      <w:rPr>
        <w:rFonts w:hint="default"/>
      </w:rPr>
    </w:lvl>
    <w:lvl w:ilvl="1" w:tplc="8408CCCE" w:tentative="1">
      <w:start w:val="1"/>
      <w:numFmt w:val="lowerLetter"/>
      <w:lvlText w:val="%2."/>
      <w:lvlJc w:val="left"/>
      <w:pPr>
        <w:ind w:left="1440" w:hanging="360"/>
      </w:pPr>
    </w:lvl>
    <w:lvl w:ilvl="2" w:tplc="760C1F00" w:tentative="1">
      <w:start w:val="1"/>
      <w:numFmt w:val="lowerRoman"/>
      <w:lvlText w:val="%3."/>
      <w:lvlJc w:val="right"/>
      <w:pPr>
        <w:ind w:left="2160" w:hanging="180"/>
      </w:pPr>
    </w:lvl>
    <w:lvl w:ilvl="3" w:tplc="99D032D8" w:tentative="1">
      <w:start w:val="1"/>
      <w:numFmt w:val="decimal"/>
      <w:lvlText w:val="%4."/>
      <w:lvlJc w:val="left"/>
      <w:pPr>
        <w:ind w:left="2880" w:hanging="360"/>
      </w:pPr>
    </w:lvl>
    <w:lvl w:ilvl="4" w:tplc="EFCABAEE" w:tentative="1">
      <w:start w:val="1"/>
      <w:numFmt w:val="lowerLetter"/>
      <w:lvlText w:val="%5."/>
      <w:lvlJc w:val="left"/>
      <w:pPr>
        <w:ind w:left="3600" w:hanging="360"/>
      </w:pPr>
    </w:lvl>
    <w:lvl w:ilvl="5" w:tplc="D496F71A" w:tentative="1">
      <w:start w:val="1"/>
      <w:numFmt w:val="lowerRoman"/>
      <w:lvlText w:val="%6."/>
      <w:lvlJc w:val="right"/>
      <w:pPr>
        <w:ind w:left="4320" w:hanging="180"/>
      </w:pPr>
    </w:lvl>
    <w:lvl w:ilvl="6" w:tplc="4DB8F47C" w:tentative="1">
      <w:start w:val="1"/>
      <w:numFmt w:val="decimal"/>
      <w:lvlText w:val="%7."/>
      <w:lvlJc w:val="left"/>
      <w:pPr>
        <w:ind w:left="5040" w:hanging="360"/>
      </w:pPr>
    </w:lvl>
    <w:lvl w:ilvl="7" w:tplc="DA0EF3CE" w:tentative="1">
      <w:start w:val="1"/>
      <w:numFmt w:val="lowerLetter"/>
      <w:lvlText w:val="%8."/>
      <w:lvlJc w:val="left"/>
      <w:pPr>
        <w:ind w:left="5760" w:hanging="360"/>
      </w:pPr>
    </w:lvl>
    <w:lvl w:ilvl="8" w:tplc="ECE25862" w:tentative="1">
      <w:start w:val="1"/>
      <w:numFmt w:val="lowerRoman"/>
      <w:lvlText w:val="%9."/>
      <w:lvlJc w:val="right"/>
      <w:pPr>
        <w:ind w:left="6480" w:hanging="180"/>
      </w:pPr>
    </w:lvl>
  </w:abstractNum>
  <w:abstractNum w:abstractNumId="18" w15:restartNumberingAfterBreak="0">
    <w:nsid w:val="33306347"/>
    <w:multiLevelType w:val="hybridMultilevel"/>
    <w:tmpl w:val="E4ECDDC8"/>
    <w:lvl w:ilvl="0" w:tplc="32D6A83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F0333"/>
    <w:multiLevelType w:val="hybridMultilevel"/>
    <w:tmpl w:val="3C82ADD2"/>
    <w:lvl w:ilvl="0" w:tplc="C44AF348">
      <w:start w:val="1"/>
      <w:numFmt w:val="hebrew1"/>
      <w:lvlRestart w:val="0"/>
      <w:lvlText w:val="(%1)"/>
      <w:lvlJc w:val="left"/>
      <w:pPr>
        <w:tabs>
          <w:tab w:val="num" w:pos="624"/>
        </w:tabs>
        <w:ind w:left="0" w:firstLine="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C6F5BB8"/>
    <w:multiLevelType w:val="hybridMultilevel"/>
    <w:tmpl w:val="F148F0C2"/>
    <w:lvl w:ilvl="0" w:tplc="D3D4E8B2">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61AA8"/>
    <w:multiLevelType w:val="hybridMultilevel"/>
    <w:tmpl w:val="C0727468"/>
    <w:lvl w:ilvl="0" w:tplc="C1103A8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1610D"/>
    <w:multiLevelType w:val="hybridMultilevel"/>
    <w:tmpl w:val="2304CC48"/>
    <w:lvl w:ilvl="0" w:tplc="734826B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C544D"/>
    <w:multiLevelType w:val="hybridMultilevel"/>
    <w:tmpl w:val="523E964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1A942290">
      <w:start w:val="1"/>
      <w:numFmt w:val="hebrew1"/>
      <w:lvlRestart w:val="0"/>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5851D5"/>
    <w:multiLevelType w:val="hybridMultilevel"/>
    <w:tmpl w:val="C7D4A358"/>
    <w:lvl w:ilvl="0" w:tplc="D43EFC8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C00A8"/>
    <w:multiLevelType w:val="hybridMultilevel"/>
    <w:tmpl w:val="AC2811F0"/>
    <w:lvl w:ilvl="0" w:tplc="9D5C4C12">
      <w:start w:val="1"/>
      <w:numFmt w:val="decimal"/>
      <w:lvlText w:val="(%1)"/>
      <w:lvlJc w:val="left"/>
      <w:pPr>
        <w:ind w:left="866" w:hanging="360"/>
      </w:pPr>
      <w:rPr>
        <w:rFonts w:hint="default"/>
        <w:sz w:val="26"/>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num>
  <w:num w:numId="5">
    <w:abstractNumId w:val="14"/>
  </w:num>
  <w:num w:numId="6">
    <w:abstractNumId w:val="26"/>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20"/>
    <w:lvlOverride w:ilvl="0">
      <w:startOverride w:val="1"/>
    </w:lvlOverride>
  </w:num>
  <w:num w:numId="18">
    <w:abstractNumId w:val="12"/>
  </w:num>
  <w:num w:numId="19">
    <w:abstractNumId w:val="21"/>
  </w:num>
  <w:num w:numId="20">
    <w:abstractNumId w:val="13"/>
  </w:num>
  <w:num w:numId="21">
    <w:abstractNumId w:val="17"/>
  </w:num>
  <w:num w:numId="22">
    <w:abstractNumId w:val="28"/>
  </w:num>
  <w:num w:numId="23">
    <w:abstractNumId w:val="11"/>
  </w:num>
  <w:num w:numId="24">
    <w:abstractNumId w:val="18"/>
  </w:num>
  <w:num w:numId="25">
    <w:abstractNumId w:val="19"/>
  </w:num>
  <w:num w:numId="26">
    <w:abstractNumId w:val="16"/>
  </w:num>
  <w:num w:numId="27">
    <w:abstractNumId w:val="27"/>
  </w:num>
  <w:num w:numId="28">
    <w:abstractNumId w:val="10"/>
  </w:num>
  <w:num w:numId="29">
    <w:abstractNumId w:val="24"/>
  </w:num>
  <w:num w:numId="30">
    <w:abstractNumId w:val="15"/>
  </w:num>
  <w:num w:numId="31">
    <w:abstractNumId w:val="2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78"/>
    <w:rsid w:val="00000103"/>
    <w:rsid w:val="00000B52"/>
    <w:rsid w:val="00007B65"/>
    <w:rsid w:val="00007D3B"/>
    <w:rsid w:val="00020D99"/>
    <w:rsid w:val="00030FE9"/>
    <w:rsid w:val="00044E5C"/>
    <w:rsid w:val="000615B9"/>
    <w:rsid w:val="00062FCA"/>
    <w:rsid w:val="00067AD5"/>
    <w:rsid w:val="000A5F73"/>
    <w:rsid w:val="000B357A"/>
    <w:rsid w:val="000B5306"/>
    <w:rsid w:val="000B6D53"/>
    <w:rsid w:val="000C3F7E"/>
    <w:rsid w:val="000C6410"/>
    <w:rsid w:val="000E3CAF"/>
    <w:rsid w:val="00102E93"/>
    <w:rsid w:val="00123727"/>
    <w:rsid w:val="0012518F"/>
    <w:rsid w:val="00130B87"/>
    <w:rsid w:val="0014366E"/>
    <w:rsid w:val="00155A5E"/>
    <w:rsid w:val="0016213E"/>
    <w:rsid w:val="001766A3"/>
    <w:rsid w:val="00185745"/>
    <w:rsid w:val="001907FB"/>
    <w:rsid w:val="001B0AE2"/>
    <w:rsid w:val="001B273E"/>
    <w:rsid w:val="001C06D6"/>
    <w:rsid w:val="001C5B85"/>
    <w:rsid w:val="001E1B39"/>
    <w:rsid w:val="001E717D"/>
    <w:rsid w:val="001F37D5"/>
    <w:rsid w:val="00207578"/>
    <w:rsid w:val="00236095"/>
    <w:rsid w:val="00240482"/>
    <w:rsid w:val="002739D5"/>
    <w:rsid w:val="002B2735"/>
    <w:rsid w:val="002C3C67"/>
    <w:rsid w:val="002D03C2"/>
    <w:rsid w:val="002D2D4A"/>
    <w:rsid w:val="002E6252"/>
    <w:rsid w:val="002F370D"/>
    <w:rsid w:val="00326851"/>
    <w:rsid w:val="003421F4"/>
    <w:rsid w:val="00350889"/>
    <w:rsid w:val="00352C30"/>
    <w:rsid w:val="00354BEE"/>
    <w:rsid w:val="00362628"/>
    <w:rsid w:val="003636E1"/>
    <w:rsid w:val="00365523"/>
    <w:rsid w:val="00374EAF"/>
    <w:rsid w:val="0038261C"/>
    <w:rsid w:val="0039168D"/>
    <w:rsid w:val="00393B54"/>
    <w:rsid w:val="003A7249"/>
    <w:rsid w:val="003B481A"/>
    <w:rsid w:val="003B5193"/>
    <w:rsid w:val="003C0ED3"/>
    <w:rsid w:val="003D3DBB"/>
    <w:rsid w:val="004066ED"/>
    <w:rsid w:val="004227B9"/>
    <w:rsid w:val="00433DA8"/>
    <w:rsid w:val="00437E80"/>
    <w:rsid w:val="00446941"/>
    <w:rsid w:val="00456353"/>
    <w:rsid w:val="00495FAF"/>
    <w:rsid w:val="004D1E09"/>
    <w:rsid w:val="004D2D5B"/>
    <w:rsid w:val="004D4908"/>
    <w:rsid w:val="00501978"/>
    <w:rsid w:val="00503505"/>
    <w:rsid w:val="00517BE9"/>
    <w:rsid w:val="00520EA0"/>
    <w:rsid w:val="005235FD"/>
    <w:rsid w:val="00526B2A"/>
    <w:rsid w:val="00531A86"/>
    <w:rsid w:val="00534DA6"/>
    <w:rsid w:val="0055362C"/>
    <w:rsid w:val="00563792"/>
    <w:rsid w:val="00586A8D"/>
    <w:rsid w:val="00590825"/>
    <w:rsid w:val="005B7DAE"/>
    <w:rsid w:val="005C038E"/>
    <w:rsid w:val="005C065D"/>
    <w:rsid w:val="005C594F"/>
    <w:rsid w:val="005D00A2"/>
    <w:rsid w:val="005D5CEA"/>
    <w:rsid w:val="005E2158"/>
    <w:rsid w:val="005F655D"/>
    <w:rsid w:val="006024B1"/>
    <w:rsid w:val="0060712F"/>
    <w:rsid w:val="006105E5"/>
    <w:rsid w:val="006140F0"/>
    <w:rsid w:val="006435C1"/>
    <w:rsid w:val="00653828"/>
    <w:rsid w:val="006806C0"/>
    <w:rsid w:val="00682DCF"/>
    <w:rsid w:val="006864BE"/>
    <w:rsid w:val="00697AA7"/>
    <w:rsid w:val="006E56EA"/>
    <w:rsid w:val="006F064B"/>
    <w:rsid w:val="006F0B7F"/>
    <w:rsid w:val="006F3188"/>
    <w:rsid w:val="00707FED"/>
    <w:rsid w:val="00715E11"/>
    <w:rsid w:val="007378CC"/>
    <w:rsid w:val="007403F6"/>
    <w:rsid w:val="00757199"/>
    <w:rsid w:val="00786C8F"/>
    <w:rsid w:val="00787AB5"/>
    <w:rsid w:val="00787DA8"/>
    <w:rsid w:val="007B343E"/>
    <w:rsid w:val="007B4522"/>
    <w:rsid w:val="007B5EE8"/>
    <w:rsid w:val="007D052E"/>
    <w:rsid w:val="007D12CB"/>
    <w:rsid w:val="007E02D0"/>
    <w:rsid w:val="007E2755"/>
    <w:rsid w:val="007F1329"/>
    <w:rsid w:val="007F49D2"/>
    <w:rsid w:val="0081092E"/>
    <w:rsid w:val="008235DA"/>
    <w:rsid w:val="00842600"/>
    <w:rsid w:val="00842FE1"/>
    <w:rsid w:val="00861C29"/>
    <w:rsid w:val="00864D00"/>
    <w:rsid w:val="00892DCB"/>
    <w:rsid w:val="00894DBD"/>
    <w:rsid w:val="008A1FC0"/>
    <w:rsid w:val="008A5A55"/>
    <w:rsid w:val="008C0EFF"/>
    <w:rsid w:val="00900831"/>
    <w:rsid w:val="00925457"/>
    <w:rsid w:val="00954F54"/>
    <w:rsid w:val="009647C3"/>
    <w:rsid w:val="00971146"/>
    <w:rsid w:val="00975682"/>
    <w:rsid w:val="009971E2"/>
    <w:rsid w:val="009C46F5"/>
    <w:rsid w:val="009D1CBD"/>
    <w:rsid w:val="009F4EE0"/>
    <w:rsid w:val="00A159EE"/>
    <w:rsid w:val="00A16AF8"/>
    <w:rsid w:val="00A213C4"/>
    <w:rsid w:val="00A27E99"/>
    <w:rsid w:val="00A3152F"/>
    <w:rsid w:val="00A453CF"/>
    <w:rsid w:val="00A5660B"/>
    <w:rsid w:val="00A632B9"/>
    <w:rsid w:val="00A670CA"/>
    <w:rsid w:val="00A74D07"/>
    <w:rsid w:val="00A94692"/>
    <w:rsid w:val="00A95919"/>
    <w:rsid w:val="00AA3BDE"/>
    <w:rsid w:val="00AA5B24"/>
    <w:rsid w:val="00AB32BA"/>
    <w:rsid w:val="00AB35D3"/>
    <w:rsid w:val="00AB3FD1"/>
    <w:rsid w:val="00AD45DF"/>
    <w:rsid w:val="00AE3136"/>
    <w:rsid w:val="00AF72C7"/>
    <w:rsid w:val="00B00A32"/>
    <w:rsid w:val="00B0188D"/>
    <w:rsid w:val="00B02203"/>
    <w:rsid w:val="00B04E0D"/>
    <w:rsid w:val="00B131AE"/>
    <w:rsid w:val="00B16476"/>
    <w:rsid w:val="00B2768F"/>
    <w:rsid w:val="00B44E4B"/>
    <w:rsid w:val="00B64BBD"/>
    <w:rsid w:val="00B71575"/>
    <w:rsid w:val="00B81693"/>
    <w:rsid w:val="00BB0E0E"/>
    <w:rsid w:val="00BD2C27"/>
    <w:rsid w:val="00BE6435"/>
    <w:rsid w:val="00C00F4D"/>
    <w:rsid w:val="00C21B5A"/>
    <w:rsid w:val="00C2675C"/>
    <w:rsid w:val="00C36326"/>
    <w:rsid w:val="00C40920"/>
    <w:rsid w:val="00C4792C"/>
    <w:rsid w:val="00C52F4B"/>
    <w:rsid w:val="00C70169"/>
    <w:rsid w:val="00C77E36"/>
    <w:rsid w:val="00CA2CD7"/>
    <w:rsid w:val="00CA2EC5"/>
    <w:rsid w:val="00CA3C37"/>
    <w:rsid w:val="00CA4579"/>
    <w:rsid w:val="00CB1F65"/>
    <w:rsid w:val="00CC325E"/>
    <w:rsid w:val="00CD682D"/>
    <w:rsid w:val="00CD6D90"/>
    <w:rsid w:val="00CD7437"/>
    <w:rsid w:val="00D04DA2"/>
    <w:rsid w:val="00D160F2"/>
    <w:rsid w:val="00D307FC"/>
    <w:rsid w:val="00D31949"/>
    <w:rsid w:val="00D420C4"/>
    <w:rsid w:val="00D42EFC"/>
    <w:rsid w:val="00D4674A"/>
    <w:rsid w:val="00D76B67"/>
    <w:rsid w:val="00D86095"/>
    <w:rsid w:val="00DB4FDB"/>
    <w:rsid w:val="00DB71B4"/>
    <w:rsid w:val="00DF098F"/>
    <w:rsid w:val="00DF269D"/>
    <w:rsid w:val="00DF5AED"/>
    <w:rsid w:val="00DF719F"/>
    <w:rsid w:val="00E175E6"/>
    <w:rsid w:val="00E213C0"/>
    <w:rsid w:val="00E30987"/>
    <w:rsid w:val="00E323B5"/>
    <w:rsid w:val="00E41084"/>
    <w:rsid w:val="00E4678E"/>
    <w:rsid w:val="00E4788D"/>
    <w:rsid w:val="00EA2868"/>
    <w:rsid w:val="00EC1CC1"/>
    <w:rsid w:val="00ED51A9"/>
    <w:rsid w:val="00EF1BC9"/>
    <w:rsid w:val="00EF4970"/>
    <w:rsid w:val="00EF75CB"/>
    <w:rsid w:val="00F0274E"/>
    <w:rsid w:val="00F142DD"/>
    <w:rsid w:val="00F17150"/>
    <w:rsid w:val="00F2725E"/>
    <w:rsid w:val="00F328FA"/>
    <w:rsid w:val="00F47C27"/>
    <w:rsid w:val="00F5634A"/>
    <w:rsid w:val="00F60053"/>
    <w:rsid w:val="00F60F89"/>
    <w:rsid w:val="00F73FFD"/>
    <w:rsid w:val="00FA4AEA"/>
    <w:rsid w:val="00FA7B01"/>
    <w:rsid w:val="00FB0B9C"/>
    <w:rsid w:val="00FB1967"/>
    <w:rsid w:val="00FD2CCD"/>
    <w:rsid w:val="00FE209B"/>
    <w:rsid w:val="00FE2748"/>
    <w:rsid w:val="00FF0CC2"/>
    <w:rsid w:val="00FF1172"/>
    <w:rsid w:val="00FF4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9C6C"/>
  <w15:docId w15:val="{31859A26-AD38-48FB-A8D3-55D0A584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578"/>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207578"/>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207578"/>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207578"/>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207578"/>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207578"/>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07578"/>
    <w:rPr>
      <w:rFonts w:asciiTheme="majorHAnsi" w:eastAsiaTheme="majorEastAsia" w:hAnsiTheme="majorHAnsi" w:cs="David"/>
      <w:bCs/>
      <w:sz w:val="32"/>
      <w:szCs w:val="36"/>
    </w:rPr>
  </w:style>
  <w:style w:type="character" w:customStyle="1" w:styleId="40">
    <w:name w:val="כותרת 4 תו"/>
    <w:basedOn w:val="a0"/>
    <w:link w:val="4"/>
    <w:uiPriority w:val="9"/>
    <w:rsid w:val="00207578"/>
    <w:rPr>
      <w:rFonts w:ascii="David" w:hAnsi="David" w:cs="David"/>
      <w:b/>
      <w:bCs/>
      <w:color w:val="000000" w:themeColor="text1"/>
      <w:sz w:val="24"/>
      <w:szCs w:val="28"/>
    </w:rPr>
  </w:style>
  <w:style w:type="paragraph" w:customStyle="1" w:styleId="TableText">
    <w:name w:val="Table Text"/>
    <w:basedOn w:val="a"/>
    <w:rsid w:val="00207578"/>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07578"/>
    <w:pPr>
      <w:outlineLvl w:val="2"/>
    </w:pPr>
  </w:style>
  <w:style w:type="paragraph" w:customStyle="1" w:styleId="TableBlock">
    <w:name w:val="Table Block"/>
    <w:basedOn w:val="TableText"/>
    <w:rsid w:val="00207578"/>
    <w:pPr>
      <w:jc w:val="both"/>
    </w:pPr>
  </w:style>
  <w:style w:type="paragraph" w:customStyle="1" w:styleId="TableHead">
    <w:name w:val="Table Head"/>
    <w:basedOn w:val="TableText"/>
    <w:rsid w:val="00207578"/>
    <w:pPr>
      <w:jc w:val="center"/>
      <w:outlineLvl w:val="1"/>
    </w:pPr>
    <w:rPr>
      <w:b/>
      <w:bCs/>
    </w:rPr>
  </w:style>
  <w:style w:type="paragraph" w:customStyle="1" w:styleId="HeadMitparsemetBaze">
    <w:name w:val="Head MitparsemetBaze"/>
    <w:basedOn w:val="a"/>
    <w:rsid w:val="00207578"/>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07578"/>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207578"/>
    <w:pPr>
      <w:tabs>
        <w:tab w:val="left" w:pos="680"/>
        <w:tab w:val="left" w:pos="1020"/>
      </w:tabs>
      <w:ind w:firstLine="0"/>
    </w:pPr>
  </w:style>
  <w:style w:type="paragraph" w:customStyle="1" w:styleId="HeadDivreiHesber">
    <w:name w:val="Head DivreiHesber"/>
    <w:basedOn w:val="a"/>
    <w:rsid w:val="00207578"/>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207578"/>
    <w:rPr>
      <w:rFonts w:asciiTheme="majorHAnsi" w:eastAsiaTheme="majorEastAsia" w:hAnsiTheme="majorHAnsi" w:cs="David"/>
      <w:bCs/>
      <w:sz w:val="26"/>
      <w:szCs w:val="36"/>
      <w:u w:val="single"/>
    </w:rPr>
  </w:style>
  <w:style w:type="character" w:customStyle="1" w:styleId="30">
    <w:name w:val="כותרת 3 תו"/>
    <w:basedOn w:val="a0"/>
    <w:link w:val="3"/>
    <w:rsid w:val="00207578"/>
    <w:rPr>
      <w:rFonts w:asciiTheme="majorHAnsi" w:eastAsiaTheme="majorEastAsia" w:hAnsiTheme="majorHAnsi" w:cs="David"/>
      <w:sz w:val="24"/>
      <w:szCs w:val="28"/>
      <w:u w:val="double"/>
    </w:rPr>
  </w:style>
  <w:style w:type="character" w:customStyle="1" w:styleId="50">
    <w:name w:val="כותרת 5 תו"/>
    <w:basedOn w:val="a0"/>
    <w:link w:val="5"/>
    <w:uiPriority w:val="9"/>
    <w:rsid w:val="00207578"/>
    <w:rPr>
      <w:rFonts w:ascii="David" w:hAnsi="David" w:cs="David"/>
      <w:color w:val="000000" w:themeColor="text1"/>
      <w:sz w:val="24"/>
      <w:szCs w:val="24"/>
    </w:rPr>
  </w:style>
  <w:style w:type="paragraph" w:customStyle="1" w:styleId="HeadHatzaotHok4Futer">
    <w:name w:val="Head HatzaotHok4Futer"/>
    <w:basedOn w:val="HeadHatzaotHok"/>
    <w:rsid w:val="00207578"/>
    <w:pPr>
      <w:spacing w:before="120" w:after="120"/>
    </w:pPr>
    <w:rPr>
      <w:color w:val="FF0000"/>
      <w:w w:val="80"/>
    </w:rPr>
  </w:style>
  <w:style w:type="paragraph" w:styleId="a3">
    <w:name w:val="endnote text"/>
    <w:basedOn w:val="a"/>
    <w:link w:val="a4"/>
    <w:semiHidden/>
    <w:rsid w:val="00207578"/>
    <w:pPr>
      <w:ind w:left="227" w:hanging="227"/>
    </w:pPr>
    <w:rPr>
      <w:sz w:val="14"/>
      <w:szCs w:val="22"/>
    </w:rPr>
  </w:style>
  <w:style w:type="character" w:customStyle="1" w:styleId="a4">
    <w:name w:val="טקסט הערת סיום תו"/>
    <w:basedOn w:val="a0"/>
    <w:link w:val="a3"/>
    <w:semiHidden/>
    <w:rsid w:val="00207578"/>
    <w:rPr>
      <w:rFonts w:ascii="David" w:hAnsi="David" w:cs="David"/>
      <w:sz w:val="14"/>
    </w:rPr>
  </w:style>
  <w:style w:type="paragraph" w:customStyle="1" w:styleId="TableInnerSideHeading">
    <w:name w:val="Table InnerSideHeading"/>
    <w:basedOn w:val="TableSideHeading"/>
    <w:rsid w:val="00207578"/>
    <w:pPr>
      <w:outlineLvl w:val="9"/>
    </w:pPr>
  </w:style>
  <w:style w:type="paragraph" w:customStyle="1" w:styleId="Hesber">
    <w:name w:val="Hesber"/>
    <w:basedOn w:val="a"/>
    <w:rsid w:val="00207578"/>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207578"/>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207578"/>
    <w:rPr>
      <w:rFonts w:ascii="Arial" w:eastAsia="Arial Unicode MS" w:hAnsi="Arial" w:cs="David"/>
      <w:snapToGrid w:val="0"/>
      <w:sz w:val="14"/>
      <w:szCs w:val="20"/>
    </w:rPr>
  </w:style>
  <w:style w:type="character" w:styleId="a7">
    <w:name w:val="footnote reference"/>
    <w:aliases w:val="Footnote Reference,Footnote Reference_0"/>
    <w:basedOn w:val="a0"/>
    <w:semiHidden/>
    <w:rsid w:val="00207578"/>
    <w:rPr>
      <w:vertAlign w:val="superscript"/>
    </w:rPr>
  </w:style>
  <w:style w:type="paragraph" w:customStyle="1" w:styleId="HesberHeading">
    <w:name w:val="Hesber Heading"/>
    <w:basedOn w:val="Hesber"/>
    <w:rsid w:val="00207578"/>
    <w:pPr>
      <w:tabs>
        <w:tab w:val="left" w:pos="624"/>
        <w:tab w:val="left" w:pos="1247"/>
      </w:tabs>
    </w:pPr>
    <w:rPr>
      <w:b/>
      <w:bCs/>
    </w:rPr>
  </w:style>
  <w:style w:type="paragraph" w:customStyle="1" w:styleId="HesberWriters">
    <w:name w:val="Hesber Writers"/>
    <w:basedOn w:val="Hesber"/>
    <w:rsid w:val="00207578"/>
    <w:pPr>
      <w:spacing w:before="120" w:after="120"/>
      <w:ind w:left="1418"/>
      <w:jc w:val="right"/>
    </w:pPr>
    <w:rPr>
      <w:b/>
      <w:bCs/>
    </w:rPr>
  </w:style>
  <w:style w:type="character" w:styleId="a8">
    <w:name w:val="endnote reference"/>
    <w:basedOn w:val="a0"/>
    <w:semiHidden/>
    <w:rsid w:val="00207578"/>
    <w:rPr>
      <w:vertAlign w:val="superscript"/>
    </w:rPr>
  </w:style>
  <w:style w:type="paragraph" w:customStyle="1" w:styleId="TableBlockOutdent">
    <w:name w:val="Table BlockOutdent"/>
    <w:basedOn w:val="TableBlock"/>
    <w:rsid w:val="00207578"/>
    <w:pPr>
      <w:ind w:left="624" w:hanging="624"/>
    </w:pPr>
  </w:style>
  <w:style w:type="paragraph" w:styleId="a9">
    <w:name w:val="header"/>
    <w:basedOn w:val="a"/>
    <w:link w:val="aa"/>
    <w:rsid w:val="00207578"/>
    <w:pPr>
      <w:tabs>
        <w:tab w:val="center" w:pos="4153"/>
        <w:tab w:val="right" w:pos="8306"/>
      </w:tabs>
    </w:pPr>
  </w:style>
  <w:style w:type="character" w:customStyle="1" w:styleId="aa">
    <w:name w:val="כותרת עליונה תו"/>
    <w:basedOn w:val="a0"/>
    <w:link w:val="a9"/>
    <w:rsid w:val="00207578"/>
    <w:rPr>
      <w:rFonts w:ascii="David" w:hAnsi="David" w:cs="David"/>
      <w:sz w:val="24"/>
      <w:szCs w:val="24"/>
    </w:rPr>
  </w:style>
  <w:style w:type="paragraph" w:styleId="ab">
    <w:name w:val="footer"/>
    <w:basedOn w:val="a"/>
    <w:link w:val="ac"/>
    <w:rsid w:val="00207578"/>
    <w:pPr>
      <w:tabs>
        <w:tab w:val="center" w:pos="4153"/>
        <w:tab w:val="right" w:pos="8306"/>
      </w:tabs>
    </w:pPr>
  </w:style>
  <w:style w:type="character" w:customStyle="1" w:styleId="ac">
    <w:name w:val="כותרת תחתונה תו"/>
    <w:basedOn w:val="a0"/>
    <w:link w:val="ab"/>
    <w:rsid w:val="00207578"/>
    <w:rPr>
      <w:rFonts w:ascii="David" w:hAnsi="David" w:cs="David"/>
      <w:sz w:val="24"/>
      <w:szCs w:val="24"/>
    </w:rPr>
  </w:style>
  <w:style w:type="character" w:styleId="ad">
    <w:name w:val="page number"/>
    <w:basedOn w:val="a0"/>
    <w:rsid w:val="00207578"/>
  </w:style>
  <w:style w:type="paragraph" w:customStyle="1" w:styleId="Cover1-Reshumot">
    <w:name w:val="Cover 1-Reshumot"/>
    <w:basedOn w:val="a"/>
    <w:rsid w:val="00207578"/>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207578"/>
    <w:rPr>
      <w:sz w:val="36"/>
      <w:szCs w:val="52"/>
    </w:rPr>
  </w:style>
  <w:style w:type="paragraph" w:customStyle="1" w:styleId="Cover3-Haknesset">
    <w:name w:val="Cover 3-Haknesset"/>
    <w:basedOn w:val="Cover1-Reshumot"/>
    <w:rsid w:val="00207578"/>
    <w:rPr>
      <w:b/>
      <w:bCs/>
      <w:spacing w:val="60"/>
    </w:rPr>
  </w:style>
  <w:style w:type="paragraph" w:customStyle="1" w:styleId="Cover4-Date">
    <w:name w:val="Cover 4-Date"/>
    <w:basedOn w:val="a"/>
    <w:rsid w:val="00207578"/>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207578"/>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207578"/>
    <w:pPr>
      <w:widowControl/>
      <w:spacing w:before="120" w:after="120"/>
      <w:outlineLvl w:val="9"/>
    </w:pPr>
    <w:rPr>
      <w:rtl/>
      <w:cs/>
    </w:rPr>
  </w:style>
  <w:style w:type="paragraph" w:styleId="TOC1">
    <w:name w:val="toc 1"/>
    <w:basedOn w:val="a"/>
    <w:next w:val="a"/>
    <w:autoRedefine/>
    <w:uiPriority w:val="39"/>
    <w:unhideWhenUsed/>
    <w:rsid w:val="00207578"/>
    <w:pPr>
      <w:tabs>
        <w:tab w:val="right" w:leader="dot" w:pos="9629"/>
      </w:tabs>
      <w:spacing w:after="100"/>
    </w:pPr>
    <w:rPr>
      <w:bCs/>
      <w:szCs w:val="22"/>
    </w:rPr>
  </w:style>
  <w:style w:type="paragraph" w:styleId="TOC2">
    <w:name w:val="toc 2"/>
    <w:basedOn w:val="a"/>
    <w:next w:val="a"/>
    <w:uiPriority w:val="39"/>
    <w:unhideWhenUsed/>
    <w:rsid w:val="00207578"/>
    <w:pPr>
      <w:tabs>
        <w:tab w:val="right" w:leader="dot" w:pos="9628"/>
      </w:tabs>
      <w:spacing w:after="100"/>
    </w:pPr>
    <w:rPr>
      <w:szCs w:val="22"/>
    </w:rPr>
  </w:style>
  <w:style w:type="character" w:styleId="Hyperlink">
    <w:name w:val="Hyperlink"/>
    <w:basedOn w:val="a0"/>
    <w:uiPriority w:val="99"/>
    <w:unhideWhenUsed/>
    <w:rsid w:val="00207578"/>
    <w:rPr>
      <w:color w:val="0563C1" w:themeColor="hyperlink"/>
      <w:u w:val="single"/>
    </w:rPr>
  </w:style>
  <w:style w:type="paragraph" w:styleId="TOC3">
    <w:name w:val="toc 3"/>
    <w:basedOn w:val="a"/>
    <w:next w:val="a"/>
    <w:uiPriority w:val="39"/>
    <w:unhideWhenUsed/>
    <w:rsid w:val="00207578"/>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207578"/>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207578"/>
    <w:pPr>
      <w:tabs>
        <w:tab w:val="right" w:leader="dot" w:pos="9628"/>
      </w:tabs>
      <w:spacing w:after="100"/>
      <w:ind w:left="567"/>
    </w:pPr>
    <w:rPr>
      <w:szCs w:val="22"/>
    </w:rPr>
  </w:style>
  <w:style w:type="paragraph" w:styleId="TOC6">
    <w:name w:val="toc 6"/>
    <w:basedOn w:val="a"/>
    <w:next w:val="a"/>
    <w:autoRedefine/>
    <w:semiHidden/>
    <w:unhideWhenUsed/>
    <w:rsid w:val="00207578"/>
    <w:pPr>
      <w:spacing w:after="100"/>
      <w:ind w:left="850"/>
    </w:pPr>
  </w:style>
  <w:style w:type="paragraph" w:styleId="TOC7">
    <w:name w:val="toc 7"/>
    <w:basedOn w:val="a"/>
    <w:next w:val="a"/>
    <w:autoRedefine/>
    <w:semiHidden/>
    <w:unhideWhenUsed/>
    <w:rsid w:val="00207578"/>
    <w:pPr>
      <w:spacing w:after="100"/>
      <w:ind w:left="1020"/>
    </w:pPr>
  </w:style>
  <w:style w:type="paragraph" w:styleId="TOC8">
    <w:name w:val="toc 8"/>
    <w:basedOn w:val="a"/>
    <w:next w:val="a"/>
    <w:autoRedefine/>
    <w:semiHidden/>
    <w:unhideWhenUsed/>
    <w:rsid w:val="00207578"/>
    <w:pPr>
      <w:spacing w:after="100"/>
      <w:ind w:left="1190"/>
    </w:pPr>
  </w:style>
  <w:style w:type="paragraph" w:styleId="TOC9">
    <w:name w:val="toc 9"/>
    <w:basedOn w:val="a"/>
    <w:next w:val="a"/>
    <w:autoRedefine/>
    <w:semiHidden/>
    <w:unhideWhenUsed/>
    <w:rsid w:val="00207578"/>
    <w:pPr>
      <w:spacing w:after="100"/>
      <w:ind w:left="1360"/>
    </w:pPr>
  </w:style>
  <w:style w:type="paragraph" w:customStyle="1" w:styleId="TableHead2">
    <w:name w:val="Table Head2"/>
    <w:basedOn w:val="TableHead"/>
    <w:qFormat/>
    <w:rsid w:val="00207578"/>
    <w:pPr>
      <w:outlineLvl w:val="9"/>
    </w:pPr>
  </w:style>
  <w:style w:type="paragraph" w:customStyle="1" w:styleId="TableSideHeading2">
    <w:name w:val="Table SideHeading2"/>
    <w:basedOn w:val="TableSideHeading"/>
    <w:autoRedefine/>
    <w:qFormat/>
    <w:rsid w:val="00207578"/>
    <w:pPr>
      <w:keepLines w:val="0"/>
      <w:outlineLvl w:val="9"/>
    </w:pPr>
  </w:style>
  <w:style w:type="paragraph" w:customStyle="1" w:styleId="0">
    <w:name w:val="סגנון שורה ראשונה:  0  ס''מ"/>
    <w:basedOn w:val="2"/>
    <w:rsid w:val="00207578"/>
    <w:rPr>
      <w:rFonts w:eastAsia="Times New Roman"/>
    </w:rPr>
  </w:style>
  <w:style w:type="paragraph" w:styleId="af">
    <w:name w:val="List Paragraph"/>
    <w:basedOn w:val="a"/>
    <w:uiPriority w:val="34"/>
    <w:qFormat/>
    <w:rsid w:val="00207578"/>
    <w:pPr>
      <w:widowControl/>
      <w:spacing w:line="259" w:lineRule="auto"/>
    </w:pPr>
    <w:rPr>
      <w:rFonts w:asciiTheme="minorHAnsi" w:hAnsiTheme="minorHAnsi"/>
      <w:sz w:val="22"/>
    </w:rPr>
  </w:style>
  <w:style w:type="table" w:styleId="af0">
    <w:name w:val="Table Grid"/>
    <w:basedOn w:val="a1"/>
    <w:rsid w:val="0020757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20757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20757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207578"/>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207578"/>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unhideWhenUsed/>
    <w:rsid w:val="0055362C"/>
    <w:rPr>
      <w:sz w:val="16"/>
      <w:szCs w:val="16"/>
    </w:rPr>
  </w:style>
  <w:style w:type="paragraph" w:styleId="af3">
    <w:name w:val="annotation text"/>
    <w:basedOn w:val="a"/>
    <w:link w:val="af4"/>
    <w:uiPriority w:val="99"/>
    <w:unhideWhenUsed/>
    <w:rsid w:val="0055362C"/>
    <w:pPr>
      <w:spacing w:line="240" w:lineRule="auto"/>
    </w:pPr>
    <w:rPr>
      <w:sz w:val="20"/>
      <w:szCs w:val="20"/>
    </w:rPr>
  </w:style>
  <w:style w:type="character" w:customStyle="1" w:styleId="af4">
    <w:name w:val="טקסט הערה תו"/>
    <w:basedOn w:val="a0"/>
    <w:link w:val="af3"/>
    <w:uiPriority w:val="99"/>
    <w:rsid w:val="0055362C"/>
    <w:rPr>
      <w:rFonts w:ascii="David" w:hAnsi="David" w:cs="David"/>
      <w:sz w:val="20"/>
      <w:szCs w:val="20"/>
    </w:rPr>
  </w:style>
  <w:style w:type="paragraph" w:styleId="af5">
    <w:name w:val="Balloon Text"/>
    <w:basedOn w:val="a"/>
    <w:link w:val="af6"/>
    <w:uiPriority w:val="99"/>
    <w:semiHidden/>
    <w:unhideWhenUsed/>
    <w:rsid w:val="0055362C"/>
    <w:pPr>
      <w:spacing w:line="240" w:lineRule="auto"/>
    </w:pPr>
    <w:rPr>
      <w:rFonts w:ascii="Tahoma" w:hAnsi="Tahoma" w:cs="Tahoma"/>
      <w:sz w:val="18"/>
      <w:szCs w:val="18"/>
    </w:rPr>
  </w:style>
  <w:style w:type="character" w:customStyle="1" w:styleId="af6">
    <w:name w:val="טקסט בלונים תו"/>
    <w:basedOn w:val="a0"/>
    <w:link w:val="af5"/>
    <w:uiPriority w:val="99"/>
    <w:semiHidden/>
    <w:rsid w:val="0055362C"/>
    <w:rPr>
      <w:rFonts w:ascii="Tahoma" w:hAnsi="Tahoma" w:cs="Tahoma"/>
      <w:sz w:val="18"/>
      <w:szCs w:val="18"/>
    </w:rPr>
  </w:style>
  <w:style w:type="paragraph" w:styleId="af7">
    <w:name w:val="annotation subject"/>
    <w:basedOn w:val="af3"/>
    <w:next w:val="af3"/>
    <w:link w:val="af8"/>
    <w:uiPriority w:val="99"/>
    <w:semiHidden/>
    <w:unhideWhenUsed/>
    <w:rsid w:val="007F49D2"/>
    <w:rPr>
      <w:b/>
      <w:bCs/>
    </w:rPr>
  </w:style>
  <w:style w:type="character" w:customStyle="1" w:styleId="af8">
    <w:name w:val="נושא הערה תו"/>
    <w:basedOn w:val="af4"/>
    <w:link w:val="af7"/>
    <w:uiPriority w:val="99"/>
    <w:semiHidden/>
    <w:rsid w:val="007F49D2"/>
    <w:rPr>
      <w:rFonts w:ascii="David" w:hAnsi="David" w:cs="David"/>
      <w:b/>
      <w:bCs/>
      <w:sz w:val="20"/>
      <w:szCs w:val="20"/>
    </w:rPr>
  </w:style>
  <w:style w:type="paragraph" w:styleId="af9">
    <w:name w:val="Revision"/>
    <w:hidden/>
    <w:uiPriority w:val="99"/>
    <w:semiHidden/>
    <w:rsid w:val="00030FE9"/>
    <w:pPr>
      <w:spacing w:after="0" w:line="240" w:lineRule="auto"/>
    </w:pPr>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2962</Words>
  <Characters>14810</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טיוטת צו הגנה על בריאות הציבור (מזון)(החלת הוראות האיחוד האירופי וקביעת תנאים והחרגות), התשפ"ג – 2022 - הפצה להערות הציבור</vt:lpstr>
    </vt:vector>
  </TitlesOfParts>
  <Company>SCCM16</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טיוטת צו הגנה על בריאות הציבור (מזון)(החלת הוראות האיחוד האירופי וקביעת תנאים והחרגות), התשפ"ג – 2022 - הפצה להערות הציבור</dc:title>
  <dc:creator>מרינה אוסטפלד</dc:creator>
  <cp:lastModifiedBy>Merav Kaplan - Chamber Of Commerce</cp:lastModifiedBy>
  <cp:revision>2</cp:revision>
  <dcterms:created xsi:type="dcterms:W3CDTF">2022-11-13T06:37:00Z</dcterms:created>
  <dcterms:modified xsi:type="dcterms:W3CDTF">2022-11-13T06:37:00Z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0x0101008731CCB9F5FA914080DAC7A9FF1DFD1902005517233C9D6FF6418DB88BB1ECDBA920</vt:lpwstr>
  </property>
  <property fmtid="{D5CDD505-2E9C-101B-9397-08002B2CF9AE}" pid="3" name="xmlns:z">
    <vt:lpwstr>#RowsetSchema</vt:lpwstr>
  </property>
  <property fmtid="{D5CDD505-2E9C-101B-9397-08002B2CF9AE}" pid="4" name="FileLeafRef">
    <vt:lpwstr>85734;#985003622.docx</vt:lpwstr>
  </property>
  <property fmtid="{D5CDD505-2E9C-101B-9397-08002B2CF9AE}" pid="5" name="Modified_x0020_By">
    <vt:lpwstr>i:0#.w|briutnt\marina.ostfeld</vt:lpwstr>
  </property>
  <property fmtid="{D5CDD505-2E9C-101B-9397-08002B2CF9AE}" pid="6" name="Created_x0020_By">
    <vt:lpwstr>i:0#.w|briutnt\marina.ostfeld</vt:lpwstr>
  </property>
  <property fmtid="{D5CDD505-2E9C-101B-9397-08002B2CF9AE}" pid="7" name="File_x0020_Type">
    <vt:lpwstr>docx</vt:lpwstr>
  </property>
  <property fmtid="{D5CDD505-2E9C-101B-9397-08002B2CF9AE}" pid="8" name="AutoNumber">
    <vt:lpwstr>985003622</vt:lpwstr>
  </property>
  <property fmtid="{D5CDD505-2E9C-101B-9397-08002B2CF9AE}" pid="9" name="SDCategories">
    <vt:lpwstr>:הלשכה המשפטית:הלשכה המשפטית:שירות המזון:החלת הוראות האיחוד האירופי וקביעת תנאים והחרגות;#</vt:lpwstr>
  </property>
  <property fmtid="{D5CDD505-2E9C-101B-9397-08002B2CF9AE}" pid="10" name="SDCategoryID">
    <vt:lpwstr>51ef48f05bd0;#</vt:lpwstr>
  </property>
  <property fmtid="{D5CDD505-2E9C-101B-9397-08002B2CF9AE}" pid="11" name="SDDocumentSource">
    <vt:lpwstr>OfficeAddIn</vt:lpwstr>
  </property>
  <property fmtid="{D5CDD505-2E9C-101B-9397-08002B2CF9AE}" pid="12" name="SDAuthor">
    <vt:lpwstr>מרינה אוסטפלד</vt:lpwstr>
  </property>
  <property fmtid="{D5CDD505-2E9C-101B-9397-08002B2CF9AE}" pid="13" name="SDDocDate">
    <vt:lpwstr>08/11/2022</vt:lpwstr>
  </property>
  <property fmtid="{D5CDD505-2E9C-101B-9397-08002B2CF9AE}" pid="14" name="SDHebDate">
    <vt:lpwstr>י"ד בחשון, התשפ"ג</vt:lpwstr>
  </property>
  <property fmtid="{D5CDD505-2E9C-101B-9397-08002B2CF9AE}" pid="15" name="SDImportance">
    <vt:lpwstr>0</vt:lpwstr>
  </property>
  <property fmtid="{D5CDD505-2E9C-101B-9397-08002B2CF9AE}" pid="16" name="documentType">
    <vt:lpwstr>תכתובת</vt:lpwstr>
  </property>
  <property fmtid="{D5CDD505-2E9C-101B-9397-08002B2CF9AE}" pid="17" name="mail_in_out">
    <vt:lpwstr>דואר יוצא</vt:lpwstr>
  </property>
  <property fmtid="{D5CDD505-2E9C-101B-9397-08002B2CF9AE}" pid="18" name="ID">
    <vt:lpwstr>85734</vt:lpwstr>
  </property>
  <property fmtid="{D5CDD505-2E9C-101B-9397-08002B2CF9AE}" pid="19" name="ContentType">
    <vt:lpwstr>הלשכה המשפטית</vt:lpwstr>
  </property>
  <property fmtid="{D5CDD505-2E9C-101B-9397-08002B2CF9AE}" pid="20" name="Created">
    <vt:lpwstr>09/11/2022</vt:lpwstr>
  </property>
  <property fmtid="{D5CDD505-2E9C-101B-9397-08002B2CF9AE}" pid="21" name="Author">
    <vt:lpwstr>48;#מרינה אוסטפלד</vt:lpwstr>
  </property>
  <property fmtid="{D5CDD505-2E9C-101B-9397-08002B2CF9AE}" pid="22" name="Modified">
    <vt:lpwstr>09/11/2022</vt:lpwstr>
  </property>
  <property fmtid="{D5CDD505-2E9C-101B-9397-08002B2CF9AE}" pid="23" name="Editor">
    <vt:lpwstr>48;#מרינה אוסטפלד</vt:lpwstr>
  </property>
  <property fmtid="{D5CDD505-2E9C-101B-9397-08002B2CF9AE}" pid="24" name="_ModerationStatus">
    <vt:lpwstr>0</vt:lpwstr>
  </property>
  <property fmtid="{D5CDD505-2E9C-101B-9397-08002B2CF9AE}" pid="25" name="FileRef">
    <vt:lpwstr>85734;#sites/LishkaMishpatit/LishkaMishpatit/DocLib/DocLib automatically created by sharedocs 18/985003622.docx</vt:lpwstr>
  </property>
  <property fmtid="{D5CDD505-2E9C-101B-9397-08002B2CF9AE}" pid="26" name="FileDirRef">
    <vt:lpwstr>85734;#sites/LishkaMishpatit/LishkaMishpatit/DocLib/DocLib automatically created by sharedocs 18</vt:lpwstr>
  </property>
  <property fmtid="{D5CDD505-2E9C-101B-9397-08002B2CF9AE}" pid="27" name="Last_x0020_Modified">
    <vt:lpwstr>85734;#2022-11-09 15:21:53</vt:lpwstr>
  </property>
  <property fmtid="{D5CDD505-2E9C-101B-9397-08002B2CF9AE}" pid="28" name="Created_x0020_Date">
    <vt:lpwstr>85734;#2022-11-09 15:07:39</vt:lpwstr>
  </property>
  <property fmtid="{D5CDD505-2E9C-101B-9397-08002B2CF9AE}" pid="29" name="File_x0020_Size">
    <vt:lpwstr>85734;#62337</vt:lpwstr>
  </property>
  <property fmtid="{D5CDD505-2E9C-101B-9397-08002B2CF9AE}" pid="30" name="FSObjType">
    <vt:lpwstr>85734;#0</vt:lpwstr>
  </property>
  <property fmtid="{D5CDD505-2E9C-101B-9397-08002B2CF9AE}" pid="31" name="SortBehavior">
    <vt:lpwstr>85734;#0</vt:lpwstr>
  </property>
  <property fmtid="{D5CDD505-2E9C-101B-9397-08002B2CF9AE}" pid="32" name="PermMask">
    <vt:lpwstr>0x1b03c4312ef</vt:lpwstr>
  </property>
  <property fmtid="{D5CDD505-2E9C-101B-9397-08002B2CF9AE}" pid="33" name="CheckedOutUserId">
    <vt:lpwstr>85734;#</vt:lpwstr>
  </property>
  <property fmtid="{D5CDD505-2E9C-101B-9397-08002B2CF9AE}" pid="34" name="IsCheckedoutToLocal">
    <vt:lpwstr>85734;#0</vt:lpwstr>
  </property>
  <property fmtid="{D5CDD505-2E9C-101B-9397-08002B2CF9AE}" pid="35" name="UniqueId">
    <vt:lpwstr>85734;#{94DFDDC1-02EE-45B7-8375-74D73344C2F1}</vt:lpwstr>
  </property>
  <property fmtid="{D5CDD505-2E9C-101B-9397-08002B2CF9AE}" pid="36" name="ProgId">
    <vt:lpwstr>85734;#</vt:lpwstr>
  </property>
  <property fmtid="{D5CDD505-2E9C-101B-9397-08002B2CF9AE}" pid="37" name="ScopeId">
    <vt:lpwstr>85734;#{2E01D2CC-7973-4F76-B21A-B1096B8B7E9B}</vt:lpwstr>
  </property>
  <property fmtid="{D5CDD505-2E9C-101B-9397-08002B2CF9AE}" pid="38" name="VirusStatus">
    <vt:lpwstr>85734;#62337</vt:lpwstr>
  </property>
  <property fmtid="{D5CDD505-2E9C-101B-9397-08002B2CF9AE}" pid="39" name="CheckedOutTitle">
    <vt:lpwstr>85734;#</vt:lpwstr>
  </property>
  <property fmtid="{D5CDD505-2E9C-101B-9397-08002B2CF9AE}" pid="40" name="_CheckinComment">
    <vt:lpwstr>85734;#</vt:lpwstr>
  </property>
  <property fmtid="{D5CDD505-2E9C-101B-9397-08002B2CF9AE}" pid="41" name="_EditMenuTableStart">
    <vt:lpwstr>985003622.docx</vt:lpwstr>
  </property>
  <property fmtid="{D5CDD505-2E9C-101B-9397-08002B2CF9AE}" pid="42" name="_EditMenuTableStart2">
    <vt:lpwstr>85734</vt:lpwstr>
  </property>
  <property fmtid="{D5CDD505-2E9C-101B-9397-08002B2CF9AE}" pid="43" name="_EditMenuTableEnd">
    <vt:lpwstr>85734</vt:lpwstr>
  </property>
  <property fmtid="{D5CDD505-2E9C-101B-9397-08002B2CF9AE}" pid="44" name="LinkFilenameNoMenu">
    <vt:lpwstr>985003622.docx</vt:lpwstr>
  </property>
  <property fmtid="{D5CDD505-2E9C-101B-9397-08002B2CF9AE}" pid="45" name="LinkFilename">
    <vt:lpwstr>985003622.docx</vt:lpwstr>
  </property>
  <property fmtid="{D5CDD505-2E9C-101B-9397-08002B2CF9AE}" pid="46" name="LinkFilename2">
    <vt:lpwstr>985003622.docx</vt:lpwstr>
  </property>
  <property fmtid="{D5CDD505-2E9C-101B-9397-08002B2CF9AE}" pid="47" name="DocIcon">
    <vt:lpwstr>docx</vt:lpwstr>
  </property>
  <property fmtid="{D5CDD505-2E9C-101B-9397-08002B2CF9AE}" pid="48" name="ServerUrl">
    <vt:lpwstr>/sites/LishkaMishpatit/LishkaMishpatit/DocLib/DocLib automatically created by sharedocs 18/985003622.docx</vt:lpwstr>
  </property>
  <property fmtid="{D5CDD505-2E9C-101B-9397-08002B2CF9AE}" pid="49" name="EncodedAbsUrl">
    <vt:lpwstr>http://sd5/sites/LishkaMishpatit/LishkaMishpatit/DocLib/DocLib%20automatically%20created%20by%20sharedocs%2018/985003622.docx</vt:lpwstr>
  </property>
  <property fmtid="{D5CDD505-2E9C-101B-9397-08002B2CF9AE}" pid="50" name="BaseName">
    <vt:lpwstr>985003622</vt:lpwstr>
  </property>
  <property fmtid="{D5CDD505-2E9C-101B-9397-08002B2CF9AE}" pid="51" name="FileSizeDisplay">
    <vt:lpwstr>62337</vt:lpwstr>
  </property>
  <property fmtid="{D5CDD505-2E9C-101B-9397-08002B2CF9AE}" pid="52" name="MetaInfo">
    <vt:lpwstr>85734;#Etag:SW|{94DFDDC1-02EE-45B7-8375-74D73344C2F1},4_x000d_
_Level:SW|1_x000d_
ItemChildCount:SW|85734;#0_x000d_
vti_thumbnailexists:BW|false_x000d_
Order:SW|8573400.00000000_x000d_
vti_pluggableparserversion:SR|15.0.0.5337_x000d_
workername:EW|_x000d_
SDLastSigningDate:EW|_x000d_
Last Modified:SW|8</vt:lpwstr>
  </property>
  <property fmtid="{D5CDD505-2E9C-101B-9397-08002B2CF9AE}" pid="53" name="_Level">
    <vt:lpwstr>1</vt:lpwstr>
  </property>
  <property fmtid="{D5CDD505-2E9C-101B-9397-08002B2CF9AE}" pid="54" name="_IsCurrentVersion">
    <vt:lpwstr>1</vt:lpwstr>
  </property>
  <property fmtid="{D5CDD505-2E9C-101B-9397-08002B2CF9AE}" pid="55" name="ItemChildCount">
    <vt:lpwstr>85734;#0</vt:lpwstr>
  </property>
  <property fmtid="{D5CDD505-2E9C-101B-9397-08002B2CF9AE}" pid="56" name="FolderChildCount">
    <vt:lpwstr>85734;#0</vt:lpwstr>
  </property>
  <property fmtid="{D5CDD505-2E9C-101B-9397-08002B2CF9AE}" pid="57" name="SelectTitle">
    <vt:lpwstr>85734</vt:lpwstr>
  </property>
  <property fmtid="{D5CDD505-2E9C-101B-9397-08002B2CF9AE}" pid="58" name="SelectFilename">
    <vt:lpwstr>85734</vt:lpwstr>
  </property>
  <property fmtid="{D5CDD505-2E9C-101B-9397-08002B2CF9AE}" pid="59" name="Edit">
    <vt:lpwstr>0</vt:lpwstr>
  </property>
  <property fmtid="{D5CDD505-2E9C-101B-9397-08002B2CF9AE}" pid="60" name="owshiddenversion">
    <vt:lpwstr>5</vt:lpwstr>
  </property>
  <property fmtid="{D5CDD505-2E9C-101B-9397-08002B2CF9AE}" pid="61" name="_UIVersion">
    <vt:lpwstr>1024</vt:lpwstr>
  </property>
  <property fmtid="{D5CDD505-2E9C-101B-9397-08002B2CF9AE}" pid="62" name="Order">
    <vt:lpwstr>8573400.00000000</vt:lpwstr>
  </property>
  <property fmtid="{D5CDD505-2E9C-101B-9397-08002B2CF9AE}" pid="63" name="GUID">
    <vt:lpwstr>{802ECFFD-8F7E-4AA9-8AB5-7E1347900ED7}</vt:lpwstr>
  </property>
  <property fmtid="{D5CDD505-2E9C-101B-9397-08002B2CF9AE}" pid="64" name="WorkflowVersion">
    <vt:lpwstr>1</vt:lpwstr>
  </property>
  <property fmtid="{D5CDD505-2E9C-101B-9397-08002B2CF9AE}" pid="65" name="ParentVersionString">
    <vt:lpwstr>85734;#</vt:lpwstr>
  </property>
  <property fmtid="{D5CDD505-2E9C-101B-9397-08002B2CF9AE}" pid="66" name="ParentLeafName">
    <vt:lpwstr>85734;#</vt:lpwstr>
  </property>
  <property fmtid="{D5CDD505-2E9C-101B-9397-08002B2CF9AE}" pid="67" name="Etag">
    <vt:lpwstr>{94DFDDC1-02EE-45B7-8375-74D73344C2F1},5</vt:lpwstr>
  </property>
  <property fmtid="{D5CDD505-2E9C-101B-9397-08002B2CF9AE}" pid="68" name="Combine">
    <vt:lpwstr>0</vt:lpwstr>
  </property>
  <property fmtid="{D5CDD505-2E9C-101B-9397-08002B2CF9AE}" pid="69" name="RepairDocument">
    <vt:lpwstr>0</vt:lpwstr>
  </property>
  <property fmtid="{D5CDD505-2E9C-101B-9397-08002B2CF9AE}" pid="70" name="ServerRedirected">
    <vt:lpwstr>0</vt:lpwstr>
  </property>
  <property fmtid="{D5CDD505-2E9C-101B-9397-08002B2CF9AE}" pid="71" name="Last Modified">
    <vt:lpwstr>85734;#2022-11-09 15:07:45</vt:lpwstr>
  </property>
  <property fmtid="{D5CDD505-2E9C-101B-9397-08002B2CF9AE}" pid="72" name="Created By">
    <vt:lpwstr>i:0#.w|briutnt\marina.ostfeld</vt:lpwstr>
  </property>
  <property fmtid="{D5CDD505-2E9C-101B-9397-08002B2CF9AE}" pid="73" name="File Type">
    <vt:lpwstr>docx</vt:lpwstr>
  </property>
  <property fmtid="{D5CDD505-2E9C-101B-9397-08002B2CF9AE}" pid="74" name="Modified By">
    <vt:lpwstr>i:0#.w|briutnt\marina.ostfeld</vt:lpwstr>
  </property>
  <property fmtid="{D5CDD505-2E9C-101B-9397-08002B2CF9AE}" pid="75" name="Created Date">
    <vt:lpwstr>85734;#2022-11-09 15:07:39</vt:lpwstr>
  </property>
  <property fmtid="{D5CDD505-2E9C-101B-9397-08002B2CF9AE}" pid="76" name="File Size">
    <vt:lpwstr>85734;#51735</vt:lpwstr>
  </property>
</Properties>
</file>