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0C06" w14:textId="77777777" w:rsidR="0016392D" w:rsidRDefault="0016392D" w:rsidP="005F0271">
      <w:pPr>
        <w:jc w:val="center"/>
        <w:rPr>
          <w:b/>
          <w:bCs/>
          <w:sz w:val="26"/>
          <w:szCs w:val="26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5F565E" wp14:editId="70814D14">
            <wp:extent cx="509905" cy="624205"/>
            <wp:effectExtent l="0" t="0" r="4445" b="4445"/>
            <wp:docPr id="1" name="תמונה 1" descr="סמל המדינ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סמל המדינה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60623" w14:textId="77777777" w:rsidR="0016392D" w:rsidRDefault="0016392D" w:rsidP="005F0271">
      <w:pPr>
        <w:rPr>
          <w:b/>
          <w:bCs/>
          <w:sz w:val="26"/>
          <w:szCs w:val="26"/>
          <w:rtl/>
        </w:rPr>
      </w:pPr>
      <w:r w:rsidRPr="00CB5068">
        <w:rPr>
          <w:b/>
          <w:bCs/>
          <w:sz w:val="26"/>
          <w:szCs w:val="26"/>
          <w:rtl/>
        </w:rPr>
        <w:t>תוכן עניינים</w:t>
      </w:r>
    </w:p>
    <w:p w14:paraId="61AC2787" w14:textId="6A5EAA34" w:rsidR="00055354" w:rsidRDefault="00055354" w:rsidP="00055354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"1-9" \h \z \t "Table SideHeading,3,Table Head,2,Head HatzaotHok,1,Head DivreiHesber,2,Head HatzaotHok4Futer,1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hyperlink w:anchor="_Toc104896884" w:history="1">
        <w:r w:rsidRPr="0013200F">
          <w:rPr>
            <w:rStyle w:val="Hyperlink"/>
            <w:noProof/>
            <w:rtl/>
          </w:rPr>
          <w:t>טיוטת צו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Toc104896884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14:paraId="247550F8" w14:textId="4C6E8485" w:rsidR="00055354" w:rsidRDefault="00102CDB" w:rsidP="00055354">
      <w:pPr>
        <w:pStyle w:val="TOC4"/>
        <w:rPr>
          <w:rFonts w:cstheme="minorBidi"/>
          <w:rtl/>
        </w:rPr>
      </w:pPr>
      <w:hyperlink w:anchor="_Toc104896885" w:history="1">
        <w:r w:rsidR="00055354" w:rsidRPr="0013200F">
          <w:rPr>
            <w:rStyle w:val="Hyperlink"/>
            <w:rtl/>
          </w:rPr>
          <w:t>א. שם הצו המוצע</w:t>
        </w:r>
        <w:r w:rsidR="00055354">
          <w:rPr>
            <w:webHidden/>
            <w:rtl/>
          </w:rPr>
          <w:tab/>
        </w:r>
        <w:r w:rsidR="00055354">
          <w:rPr>
            <w:rStyle w:val="Hyperlink"/>
            <w:rtl/>
          </w:rPr>
          <w:fldChar w:fldCharType="begin"/>
        </w:r>
        <w:r w:rsidR="00055354">
          <w:rPr>
            <w:webHidden/>
            <w:rtl/>
          </w:rPr>
          <w:instrText xml:space="preserve"> </w:instrText>
        </w:r>
        <w:r w:rsidR="00055354">
          <w:rPr>
            <w:webHidden/>
          </w:rPr>
          <w:instrText>PAGEREF</w:instrText>
        </w:r>
        <w:r w:rsidR="00055354">
          <w:rPr>
            <w:webHidden/>
            <w:rtl/>
          </w:rPr>
          <w:instrText xml:space="preserve"> _</w:instrText>
        </w:r>
        <w:r w:rsidR="00055354">
          <w:rPr>
            <w:webHidden/>
          </w:rPr>
          <w:instrText>Toc104896885 \h</w:instrText>
        </w:r>
        <w:r w:rsidR="00055354">
          <w:rPr>
            <w:webHidden/>
            <w:rtl/>
          </w:rPr>
          <w:instrText xml:space="preserve"> </w:instrText>
        </w:r>
        <w:r w:rsidR="00055354">
          <w:rPr>
            <w:rStyle w:val="Hyperlink"/>
            <w:rtl/>
          </w:rPr>
        </w:r>
        <w:r w:rsidR="00055354">
          <w:rPr>
            <w:rStyle w:val="Hyperlink"/>
            <w:rtl/>
          </w:rPr>
          <w:fldChar w:fldCharType="separate"/>
        </w:r>
        <w:r w:rsidR="00055354">
          <w:rPr>
            <w:webHidden/>
            <w:rtl/>
          </w:rPr>
          <w:t>2</w:t>
        </w:r>
        <w:r w:rsidR="00055354">
          <w:rPr>
            <w:rStyle w:val="Hyperlink"/>
            <w:rtl/>
          </w:rPr>
          <w:fldChar w:fldCharType="end"/>
        </w:r>
      </w:hyperlink>
    </w:p>
    <w:p w14:paraId="43AFF54A" w14:textId="4C70394A" w:rsidR="00055354" w:rsidRDefault="00102CDB" w:rsidP="00055354">
      <w:pPr>
        <w:pStyle w:val="TOC4"/>
        <w:rPr>
          <w:rFonts w:cstheme="minorBidi"/>
          <w:rtl/>
        </w:rPr>
      </w:pPr>
      <w:hyperlink w:anchor="_Toc104896886" w:history="1">
        <w:r w:rsidR="00055354" w:rsidRPr="0013200F">
          <w:rPr>
            <w:rStyle w:val="Hyperlink"/>
            <w:rtl/>
          </w:rPr>
          <w:t>ב. מטרת הצו המוצע והצורך בו</w:t>
        </w:r>
        <w:r w:rsidR="00055354">
          <w:rPr>
            <w:webHidden/>
            <w:rtl/>
          </w:rPr>
          <w:tab/>
        </w:r>
        <w:r w:rsidR="00055354">
          <w:rPr>
            <w:rStyle w:val="Hyperlink"/>
            <w:rtl/>
          </w:rPr>
          <w:fldChar w:fldCharType="begin"/>
        </w:r>
        <w:r w:rsidR="00055354">
          <w:rPr>
            <w:webHidden/>
            <w:rtl/>
          </w:rPr>
          <w:instrText xml:space="preserve"> </w:instrText>
        </w:r>
        <w:r w:rsidR="00055354">
          <w:rPr>
            <w:webHidden/>
          </w:rPr>
          <w:instrText>PAGEREF</w:instrText>
        </w:r>
        <w:r w:rsidR="00055354">
          <w:rPr>
            <w:webHidden/>
            <w:rtl/>
          </w:rPr>
          <w:instrText xml:space="preserve"> _</w:instrText>
        </w:r>
        <w:r w:rsidR="00055354">
          <w:rPr>
            <w:webHidden/>
          </w:rPr>
          <w:instrText>Toc104896886 \h</w:instrText>
        </w:r>
        <w:r w:rsidR="00055354">
          <w:rPr>
            <w:webHidden/>
            <w:rtl/>
          </w:rPr>
          <w:instrText xml:space="preserve"> </w:instrText>
        </w:r>
        <w:r w:rsidR="00055354">
          <w:rPr>
            <w:rStyle w:val="Hyperlink"/>
            <w:rtl/>
          </w:rPr>
        </w:r>
        <w:r w:rsidR="00055354">
          <w:rPr>
            <w:rStyle w:val="Hyperlink"/>
            <w:rtl/>
          </w:rPr>
          <w:fldChar w:fldCharType="separate"/>
        </w:r>
        <w:r w:rsidR="00055354">
          <w:rPr>
            <w:webHidden/>
            <w:rtl/>
          </w:rPr>
          <w:t>2</w:t>
        </w:r>
        <w:r w:rsidR="00055354">
          <w:rPr>
            <w:rStyle w:val="Hyperlink"/>
            <w:rtl/>
          </w:rPr>
          <w:fldChar w:fldCharType="end"/>
        </w:r>
      </w:hyperlink>
    </w:p>
    <w:p w14:paraId="5061DE64" w14:textId="70092722" w:rsidR="00055354" w:rsidRDefault="00102CDB" w:rsidP="00055354">
      <w:pPr>
        <w:pStyle w:val="TOC4"/>
        <w:rPr>
          <w:rFonts w:cstheme="minorBidi"/>
          <w:rtl/>
        </w:rPr>
      </w:pPr>
      <w:hyperlink w:anchor="_Toc104896887" w:history="1">
        <w:r w:rsidR="00055354" w:rsidRPr="0013200F">
          <w:rPr>
            <w:rStyle w:val="Hyperlink"/>
            <w:rtl/>
          </w:rPr>
          <w:t>ג. להלן נוסח טיוטת הצו המוצע:</w:t>
        </w:r>
        <w:r w:rsidR="00055354">
          <w:rPr>
            <w:webHidden/>
            <w:rtl/>
          </w:rPr>
          <w:tab/>
        </w:r>
        <w:r w:rsidR="00055354">
          <w:rPr>
            <w:rStyle w:val="Hyperlink"/>
            <w:rtl/>
          </w:rPr>
          <w:fldChar w:fldCharType="begin"/>
        </w:r>
        <w:r w:rsidR="00055354">
          <w:rPr>
            <w:webHidden/>
            <w:rtl/>
          </w:rPr>
          <w:instrText xml:space="preserve"> </w:instrText>
        </w:r>
        <w:r w:rsidR="00055354">
          <w:rPr>
            <w:webHidden/>
          </w:rPr>
          <w:instrText>PAGEREF</w:instrText>
        </w:r>
        <w:r w:rsidR="00055354">
          <w:rPr>
            <w:webHidden/>
            <w:rtl/>
          </w:rPr>
          <w:instrText xml:space="preserve"> _</w:instrText>
        </w:r>
        <w:r w:rsidR="00055354">
          <w:rPr>
            <w:webHidden/>
          </w:rPr>
          <w:instrText>Toc104896887 \h</w:instrText>
        </w:r>
        <w:r w:rsidR="00055354">
          <w:rPr>
            <w:webHidden/>
            <w:rtl/>
          </w:rPr>
          <w:instrText xml:space="preserve"> </w:instrText>
        </w:r>
        <w:r w:rsidR="00055354">
          <w:rPr>
            <w:rStyle w:val="Hyperlink"/>
            <w:rtl/>
          </w:rPr>
        </w:r>
        <w:r w:rsidR="00055354">
          <w:rPr>
            <w:rStyle w:val="Hyperlink"/>
            <w:rtl/>
          </w:rPr>
          <w:fldChar w:fldCharType="separate"/>
        </w:r>
        <w:r w:rsidR="00055354">
          <w:rPr>
            <w:webHidden/>
            <w:rtl/>
          </w:rPr>
          <w:t>2</w:t>
        </w:r>
        <w:r w:rsidR="00055354">
          <w:rPr>
            <w:rStyle w:val="Hyperlink"/>
            <w:rtl/>
          </w:rPr>
          <w:fldChar w:fldCharType="end"/>
        </w:r>
      </w:hyperlink>
    </w:p>
    <w:p w14:paraId="559D793E" w14:textId="403ED86E" w:rsidR="00055354" w:rsidRDefault="00102CDB" w:rsidP="00055354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hyperlink w:anchor="_Toc104896888" w:history="1">
        <w:r w:rsidR="00055354" w:rsidRPr="0013200F">
          <w:rPr>
            <w:rStyle w:val="Hyperlink"/>
            <w:noProof/>
            <w:rtl/>
          </w:rPr>
          <w:t>טיוטת צו תעריף המכס והפטורים ומס קנייה על טובין  (הוראת שעה מס' 13), התש"ף-2020 (תיקון), התשפ"ב-2022</w:t>
        </w:r>
        <w:r w:rsidR="00055354">
          <w:rPr>
            <w:noProof/>
            <w:webHidden/>
            <w:rtl/>
          </w:rPr>
          <w:tab/>
        </w:r>
        <w:r w:rsidR="00055354">
          <w:rPr>
            <w:rStyle w:val="Hyperlink"/>
            <w:noProof/>
            <w:rtl/>
          </w:rPr>
          <w:fldChar w:fldCharType="begin"/>
        </w:r>
        <w:r w:rsidR="00055354">
          <w:rPr>
            <w:noProof/>
            <w:webHidden/>
            <w:rtl/>
          </w:rPr>
          <w:instrText xml:space="preserve"> </w:instrText>
        </w:r>
        <w:r w:rsidR="00055354">
          <w:rPr>
            <w:noProof/>
            <w:webHidden/>
          </w:rPr>
          <w:instrText>PAGEREF</w:instrText>
        </w:r>
        <w:r w:rsidR="00055354">
          <w:rPr>
            <w:noProof/>
            <w:webHidden/>
            <w:rtl/>
          </w:rPr>
          <w:instrText xml:space="preserve"> _</w:instrText>
        </w:r>
        <w:r w:rsidR="00055354">
          <w:rPr>
            <w:noProof/>
            <w:webHidden/>
          </w:rPr>
          <w:instrText>Toc104896888 \h</w:instrText>
        </w:r>
        <w:r w:rsidR="00055354">
          <w:rPr>
            <w:noProof/>
            <w:webHidden/>
            <w:rtl/>
          </w:rPr>
          <w:instrText xml:space="preserve"> </w:instrText>
        </w:r>
        <w:r w:rsidR="00055354">
          <w:rPr>
            <w:rStyle w:val="Hyperlink"/>
            <w:noProof/>
            <w:rtl/>
          </w:rPr>
        </w:r>
        <w:r w:rsidR="00055354">
          <w:rPr>
            <w:rStyle w:val="Hyperlink"/>
            <w:noProof/>
            <w:rtl/>
          </w:rPr>
          <w:fldChar w:fldCharType="separate"/>
        </w:r>
        <w:r w:rsidR="00055354">
          <w:rPr>
            <w:noProof/>
            <w:webHidden/>
            <w:rtl/>
          </w:rPr>
          <w:t>3</w:t>
        </w:r>
        <w:r w:rsidR="00055354">
          <w:rPr>
            <w:rStyle w:val="Hyperlink"/>
            <w:noProof/>
            <w:rtl/>
          </w:rPr>
          <w:fldChar w:fldCharType="end"/>
        </w:r>
      </w:hyperlink>
    </w:p>
    <w:p w14:paraId="15413457" w14:textId="720A32AD" w:rsidR="00055354" w:rsidRDefault="00102CDB" w:rsidP="00055354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04896889" w:history="1">
        <w:r w:rsidR="00055354" w:rsidRPr="0013200F">
          <w:rPr>
            <w:rStyle w:val="Hyperlink"/>
            <w:noProof/>
            <w:rtl/>
          </w:rPr>
          <w:t>תיקון סעיף 1</w:t>
        </w:r>
        <w:r w:rsidR="00055354">
          <w:rPr>
            <w:noProof/>
            <w:webHidden/>
            <w:rtl/>
          </w:rPr>
          <w:tab/>
        </w:r>
        <w:r w:rsidR="00055354">
          <w:rPr>
            <w:rStyle w:val="Hyperlink"/>
            <w:noProof/>
            <w:rtl/>
          </w:rPr>
          <w:fldChar w:fldCharType="begin"/>
        </w:r>
        <w:r w:rsidR="00055354">
          <w:rPr>
            <w:noProof/>
            <w:webHidden/>
            <w:rtl/>
          </w:rPr>
          <w:instrText xml:space="preserve"> </w:instrText>
        </w:r>
        <w:r w:rsidR="00055354">
          <w:rPr>
            <w:noProof/>
            <w:webHidden/>
          </w:rPr>
          <w:instrText>PAGEREF</w:instrText>
        </w:r>
        <w:r w:rsidR="00055354">
          <w:rPr>
            <w:noProof/>
            <w:webHidden/>
            <w:rtl/>
          </w:rPr>
          <w:instrText xml:space="preserve"> _</w:instrText>
        </w:r>
        <w:r w:rsidR="00055354">
          <w:rPr>
            <w:noProof/>
            <w:webHidden/>
          </w:rPr>
          <w:instrText>Toc104896889 \h</w:instrText>
        </w:r>
        <w:r w:rsidR="00055354">
          <w:rPr>
            <w:noProof/>
            <w:webHidden/>
            <w:rtl/>
          </w:rPr>
          <w:instrText xml:space="preserve"> </w:instrText>
        </w:r>
        <w:r w:rsidR="00055354">
          <w:rPr>
            <w:rStyle w:val="Hyperlink"/>
            <w:noProof/>
            <w:rtl/>
          </w:rPr>
        </w:r>
        <w:r w:rsidR="00055354">
          <w:rPr>
            <w:rStyle w:val="Hyperlink"/>
            <w:noProof/>
            <w:rtl/>
          </w:rPr>
          <w:fldChar w:fldCharType="separate"/>
        </w:r>
        <w:r w:rsidR="00055354">
          <w:rPr>
            <w:noProof/>
            <w:webHidden/>
            <w:rtl/>
          </w:rPr>
          <w:t>3</w:t>
        </w:r>
        <w:r w:rsidR="00055354">
          <w:rPr>
            <w:rStyle w:val="Hyperlink"/>
            <w:noProof/>
            <w:rtl/>
          </w:rPr>
          <w:fldChar w:fldCharType="end"/>
        </w:r>
      </w:hyperlink>
    </w:p>
    <w:p w14:paraId="0181A7E7" w14:textId="4D974006" w:rsidR="00055354" w:rsidRDefault="00102CDB" w:rsidP="00055354">
      <w:pPr>
        <w:pStyle w:val="TOC2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04896890" w:history="1">
        <w:r w:rsidR="00055354" w:rsidRPr="0013200F">
          <w:rPr>
            <w:rStyle w:val="Hyperlink"/>
            <w:noProof/>
            <w:rtl/>
          </w:rPr>
          <w:t>דברי הסבר</w:t>
        </w:r>
        <w:r w:rsidR="00055354">
          <w:rPr>
            <w:noProof/>
            <w:webHidden/>
            <w:rtl/>
          </w:rPr>
          <w:tab/>
        </w:r>
        <w:r w:rsidR="00055354">
          <w:rPr>
            <w:rStyle w:val="Hyperlink"/>
            <w:noProof/>
            <w:rtl/>
          </w:rPr>
          <w:fldChar w:fldCharType="begin"/>
        </w:r>
        <w:r w:rsidR="00055354">
          <w:rPr>
            <w:noProof/>
            <w:webHidden/>
            <w:rtl/>
          </w:rPr>
          <w:instrText xml:space="preserve"> </w:instrText>
        </w:r>
        <w:r w:rsidR="00055354">
          <w:rPr>
            <w:noProof/>
            <w:webHidden/>
          </w:rPr>
          <w:instrText>PAGEREF</w:instrText>
        </w:r>
        <w:r w:rsidR="00055354">
          <w:rPr>
            <w:noProof/>
            <w:webHidden/>
            <w:rtl/>
          </w:rPr>
          <w:instrText xml:space="preserve"> _</w:instrText>
        </w:r>
        <w:r w:rsidR="00055354">
          <w:rPr>
            <w:noProof/>
            <w:webHidden/>
          </w:rPr>
          <w:instrText>Toc104896890 \h</w:instrText>
        </w:r>
        <w:r w:rsidR="00055354">
          <w:rPr>
            <w:noProof/>
            <w:webHidden/>
            <w:rtl/>
          </w:rPr>
          <w:instrText xml:space="preserve"> </w:instrText>
        </w:r>
        <w:r w:rsidR="00055354">
          <w:rPr>
            <w:rStyle w:val="Hyperlink"/>
            <w:noProof/>
            <w:rtl/>
          </w:rPr>
        </w:r>
        <w:r w:rsidR="00055354">
          <w:rPr>
            <w:rStyle w:val="Hyperlink"/>
            <w:noProof/>
            <w:rtl/>
          </w:rPr>
          <w:fldChar w:fldCharType="separate"/>
        </w:r>
        <w:r w:rsidR="00055354">
          <w:rPr>
            <w:noProof/>
            <w:webHidden/>
            <w:rtl/>
          </w:rPr>
          <w:t>3</w:t>
        </w:r>
        <w:r w:rsidR="00055354">
          <w:rPr>
            <w:rStyle w:val="Hyperlink"/>
            <w:noProof/>
            <w:rtl/>
          </w:rPr>
          <w:fldChar w:fldCharType="end"/>
        </w:r>
      </w:hyperlink>
    </w:p>
    <w:p w14:paraId="0AF1E15D" w14:textId="78189229" w:rsidR="0016392D" w:rsidRDefault="00055354" w:rsidP="00055354">
      <w:pPr>
        <w:rPr>
          <w:snapToGrid w:val="0"/>
          <w:rtl/>
        </w:rPr>
      </w:pPr>
      <w:r>
        <w:rPr>
          <w:rtl/>
        </w:rPr>
        <w:fldChar w:fldCharType="end"/>
      </w:r>
      <w:r w:rsidR="0016392D">
        <w:rPr>
          <w:rtl/>
        </w:rPr>
        <w:br w:type="page"/>
      </w:r>
    </w:p>
    <w:p w14:paraId="126E16A9" w14:textId="77777777" w:rsidR="00307F63" w:rsidRDefault="00307F63" w:rsidP="00307E94">
      <w:pPr>
        <w:pStyle w:val="1"/>
        <w:keepNext w:val="0"/>
        <w:keepLines w:val="0"/>
      </w:pPr>
      <w:bookmarkStart w:id="1" w:name="_Toc101955420"/>
      <w:bookmarkStart w:id="2" w:name="_Toc101955433"/>
      <w:bookmarkStart w:id="3" w:name="_Toc104896884"/>
      <w:r>
        <w:rPr>
          <w:rtl/>
        </w:rPr>
        <w:lastRenderedPageBreak/>
        <w:t>טיוטת צו</w:t>
      </w:r>
      <w:bookmarkEnd w:id="1"/>
      <w:bookmarkEnd w:id="2"/>
      <w:bookmarkEnd w:id="3"/>
    </w:p>
    <w:p w14:paraId="24680446" w14:textId="77777777" w:rsidR="00307F63" w:rsidRDefault="00307F63" w:rsidP="00307E94">
      <w:pPr>
        <w:rPr>
          <w:rtl/>
        </w:rPr>
      </w:pPr>
    </w:p>
    <w:p w14:paraId="4578B1B8" w14:textId="77777777" w:rsidR="00307F63" w:rsidRDefault="00307F63" w:rsidP="00F24A78">
      <w:pPr>
        <w:pStyle w:val="4"/>
        <w:rPr>
          <w:rtl/>
        </w:rPr>
      </w:pPr>
      <w:bookmarkStart w:id="4" w:name="_Toc101955434"/>
      <w:bookmarkStart w:id="5" w:name="_Toc104896885"/>
      <w:r>
        <w:rPr>
          <w:rFonts w:hint="cs"/>
          <w:rtl/>
        </w:rPr>
        <w:t>שם הצו המוצע</w:t>
      </w:r>
      <w:bookmarkEnd w:id="4"/>
      <w:bookmarkEnd w:id="5"/>
    </w:p>
    <w:p w14:paraId="4246B3D7" w14:textId="7C0426FD" w:rsidR="00307F63" w:rsidRDefault="0016392D" w:rsidP="00307E94">
      <w:r>
        <w:rPr>
          <w:rFonts w:hint="cs"/>
          <w:rtl/>
        </w:rPr>
        <w:t xml:space="preserve">צו תעריף המכס והפטורים ומס קנייה על טובין  (הוראת שעה מס' 13), התש"ף-2020 </w:t>
      </w:r>
      <w:r>
        <w:rPr>
          <w:rtl/>
        </w:rPr>
        <w:t>(תיקון)</w:t>
      </w:r>
      <w:r>
        <w:rPr>
          <w:rFonts w:hint="cs"/>
          <w:rtl/>
        </w:rPr>
        <w:t>, התשפ"ב-2022</w:t>
      </w:r>
    </w:p>
    <w:p w14:paraId="2D6E0A56" w14:textId="77777777" w:rsidR="00307F63" w:rsidRDefault="00307F63" w:rsidP="00307E94">
      <w:pPr>
        <w:rPr>
          <w:rtl/>
        </w:rPr>
      </w:pPr>
    </w:p>
    <w:p w14:paraId="718F46CD" w14:textId="77777777" w:rsidR="00307F63" w:rsidRDefault="00307F63" w:rsidP="00307E94">
      <w:pPr>
        <w:rPr>
          <w:rtl/>
        </w:rPr>
      </w:pPr>
    </w:p>
    <w:p w14:paraId="209C2434" w14:textId="20B22783" w:rsidR="00307F63" w:rsidRDefault="00307F63" w:rsidP="00F24A78">
      <w:pPr>
        <w:pStyle w:val="4"/>
        <w:rPr>
          <w:rtl/>
        </w:rPr>
      </w:pPr>
      <w:bookmarkStart w:id="6" w:name="_Toc101955435"/>
      <w:bookmarkStart w:id="7" w:name="_Toc104896886"/>
      <w:r>
        <w:rPr>
          <w:rFonts w:hint="cs"/>
          <w:rtl/>
        </w:rPr>
        <w:t>מטרת הצו המוצע והצורך בו</w:t>
      </w:r>
      <w:bookmarkEnd w:id="6"/>
      <w:bookmarkEnd w:id="7"/>
      <w:r>
        <w:rPr>
          <w:rFonts w:hint="cs"/>
          <w:rtl/>
        </w:rPr>
        <w:t xml:space="preserve"> </w:t>
      </w:r>
    </w:p>
    <w:p w14:paraId="2CEFCF19" w14:textId="6DC59317" w:rsidR="00055354" w:rsidRDefault="00055354" w:rsidP="009234E2">
      <w:pPr>
        <w:rPr>
          <w:rtl/>
        </w:rPr>
      </w:pPr>
      <w:r>
        <w:rPr>
          <w:rtl/>
        </w:rPr>
        <w:t>מאז שנת 2017 חלות ברציפות הוראות שעה אשר מפחיתות את מס הקנייה החל על מעונוע להשכרה (קרוואן ממונע) מ-83% ל-60%, בכפוף לעמידה בתנאים הקבועים בפרט המכס</w:t>
      </w:r>
      <w:r w:rsidR="00D60261">
        <w:rPr>
          <w:rFonts w:hint="cs"/>
          <w:rtl/>
        </w:rPr>
        <w:t>, לרבות שימוש להשכרה בתאגיד שניתן לו רישיון להפעלת שירות של השכרת רכב</w:t>
      </w:r>
      <w:r>
        <w:rPr>
          <w:rtl/>
        </w:rPr>
        <w:t>, וכן מבטלות את מס הקנייה החל ועל גרורים וגרורים נתמכים מסוג קרוואן. ההטבות האמורות נועדו לעודד תיירות קרוואנים בישראל.</w:t>
      </w:r>
    </w:p>
    <w:p w14:paraId="3E01BD0E" w14:textId="06E8B286" w:rsidR="00307F63" w:rsidRDefault="00055354" w:rsidP="00055354">
      <w:pPr>
        <w:rPr>
          <w:rtl/>
        </w:rPr>
      </w:pPr>
      <w:r>
        <w:rPr>
          <w:rtl/>
        </w:rPr>
        <w:t xml:space="preserve">הוראת השעה האחרונה בעניין היא צו תעריף המכס והפטורים ומס קנייה על טובין (הוראת שעה מס' 13), התש"ף-2020, אשר צפויה לפקוע ביום א' בתמוז </w:t>
      </w:r>
      <w:proofErr w:type="spellStart"/>
      <w:r>
        <w:rPr>
          <w:rtl/>
        </w:rPr>
        <w:t>התשפ"ב</w:t>
      </w:r>
      <w:proofErr w:type="spellEnd"/>
      <w:r>
        <w:rPr>
          <w:rtl/>
        </w:rPr>
        <w:t xml:space="preserve"> (30 ביוני 2022). בצו זה מוצע להאריך את הוראת השעה כך שמס הקנייה המופחת על מעונוע להשכרה וביטול מס הקנייה על גרורים וגרורים נתמכים יחולו עד סוף שנת 2022.</w:t>
      </w:r>
    </w:p>
    <w:p w14:paraId="63BEA211" w14:textId="77777777" w:rsidR="00307F63" w:rsidRDefault="00307F63" w:rsidP="00307E94">
      <w:pPr>
        <w:rPr>
          <w:rtl/>
        </w:rPr>
      </w:pPr>
    </w:p>
    <w:p w14:paraId="235C5A2B" w14:textId="77777777" w:rsidR="00307F63" w:rsidRDefault="00307F63" w:rsidP="00F24A78">
      <w:pPr>
        <w:pStyle w:val="4"/>
        <w:rPr>
          <w:rtl/>
        </w:rPr>
      </w:pPr>
      <w:bookmarkStart w:id="8" w:name="_Toc101955436"/>
      <w:bookmarkStart w:id="9" w:name="_Toc104896887"/>
      <w:r>
        <w:rPr>
          <w:rFonts w:hint="cs"/>
          <w:rtl/>
        </w:rPr>
        <w:t>להלן נוסח טיוטת הצו המוצע:</w:t>
      </w:r>
      <w:bookmarkEnd w:id="8"/>
      <w:bookmarkEnd w:id="9"/>
      <w:r>
        <w:rPr>
          <w:rFonts w:hint="cs"/>
          <w:rtl/>
        </w:rPr>
        <w:t xml:space="preserve"> </w:t>
      </w:r>
    </w:p>
    <w:p w14:paraId="28FBDDFE" w14:textId="77777777" w:rsidR="00307F63" w:rsidRDefault="00307F63" w:rsidP="00307E94">
      <w:pPr>
        <w:bidi w:val="0"/>
        <w:rPr>
          <w:rtl/>
        </w:rPr>
      </w:pPr>
      <w:r>
        <w:rPr>
          <w:rtl/>
        </w:rPr>
        <w:br w:type="page"/>
      </w:r>
    </w:p>
    <w:p w14:paraId="61801FDB" w14:textId="77777777" w:rsidR="00307F63" w:rsidRDefault="00307F63" w:rsidP="00307F63">
      <w:pPr>
        <w:pStyle w:val="HeadMitparsemetBaze"/>
        <w:keepNext w:val="0"/>
        <w:keepLines w:val="0"/>
        <w:pageBreakBefore w:val="0"/>
        <w:rPr>
          <w:rtl/>
        </w:rPr>
      </w:pPr>
      <w:r>
        <w:rPr>
          <w:rtl/>
        </w:rPr>
        <w:lastRenderedPageBreak/>
        <w:t>טיוטת צו מטעם משרד</w:t>
      </w:r>
      <w:r>
        <w:rPr>
          <w:rFonts w:hint="cs"/>
          <w:rtl/>
        </w:rPr>
        <w:t xml:space="preserve"> האוצר</w:t>
      </w:r>
      <w:r>
        <w:rPr>
          <w:rtl/>
        </w:rPr>
        <w:t xml:space="preserve">: </w:t>
      </w:r>
    </w:p>
    <w:p w14:paraId="0B52F273" w14:textId="77777777" w:rsidR="00307F63" w:rsidRDefault="00307F63" w:rsidP="00307F63">
      <w:pPr>
        <w:pStyle w:val="HeadHatzaotHok"/>
        <w:keepNext w:val="0"/>
        <w:keepLines w:val="0"/>
        <w:rPr>
          <w:rtl/>
        </w:rPr>
      </w:pPr>
      <w:bookmarkStart w:id="10" w:name="_Toc101955421"/>
      <w:bookmarkStart w:id="11" w:name="_Toc101955437"/>
      <w:bookmarkStart w:id="12" w:name="_Toc104896888"/>
      <w:r>
        <w:rPr>
          <w:rtl/>
        </w:rPr>
        <w:t xml:space="preserve">טיוטת צו </w:t>
      </w:r>
      <w:r>
        <w:rPr>
          <w:rFonts w:hint="cs"/>
          <w:rtl/>
        </w:rPr>
        <w:t xml:space="preserve">תעריף המכס והפטורים ומס קנייה על טובין  (הוראת שעה מס' 13), התש"ף-2020 </w:t>
      </w:r>
      <w:r>
        <w:rPr>
          <w:rtl/>
        </w:rPr>
        <w:t>(תיקון)</w:t>
      </w:r>
      <w:r>
        <w:rPr>
          <w:rFonts w:hint="cs"/>
          <w:rtl/>
        </w:rPr>
        <w:t>, התשפ"ב-2022</w:t>
      </w:r>
      <w:bookmarkEnd w:id="10"/>
      <w:bookmarkEnd w:id="11"/>
      <w:bookmarkEnd w:id="12"/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307F63" w14:paraId="32A167E6" w14:textId="77777777" w:rsidTr="00307F63">
        <w:trPr>
          <w:cantSplit/>
          <w:trHeight w:val="60"/>
        </w:trPr>
        <w:tc>
          <w:tcPr>
            <w:tcW w:w="1871" w:type="dxa"/>
          </w:tcPr>
          <w:p w14:paraId="082BC9BF" w14:textId="77777777" w:rsidR="00307F63" w:rsidRDefault="00307F63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12E75F0F" w14:textId="77777777" w:rsidR="00307F63" w:rsidRDefault="00307F63">
            <w:pPr>
              <w:pStyle w:val="TableText"/>
            </w:pPr>
          </w:p>
        </w:tc>
        <w:tc>
          <w:tcPr>
            <w:tcW w:w="7146" w:type="dxa"/>
            <w:hideMark/>
          </w:tcPr>
          <w:p w14:paraId="51367E8A" w14:textId="77777777" w:rsidR="00307F63" w:rsidRDefault="00307F63">
            <w:pPr>
              <w:pStyle w:val="TableBlock"/>
            </w:pPr>
            <w:r w:rsidRPr="00141C8D">
              <w:rPr>
                <w:rFonts w:hint="cs"/>
                <w:rtl/>
              </w:rPr>
              <w:t>בתוקף סמכותי לפי סעיפים 3 ו-5  לפקודת תעריף המכס והפטורים, 1937</w:t>
            </w:r>
            <w:r>
              <w:rPr>
                <w:vertAlign w:val="superscript"/>
                <w:rtl/>
              </w:rPr>
              <w:footnoteReference w:id="1"/>
            </w:r>
            <w:r w:rsidRPr="00141C8D">
              <w:rPr>
                <w:rFonts w:hint="cs"/>
                <w:rtl/>
              </w:rPr>
              <w:t xml:space="preserve">, לפי סעיף 1 לחוק מסי מכס ובלו (שינוי </w:t>
            </w:r>
            <w:r>
              <w:rPr>
                <w:rFonts w:hint="cs"/>
                <w:rtl/>
              </w:rPr>
              <w:t>ה</w:t>
            </w:r>
            <w:r w:rsidRPr="00141C8D">
              <w:rPr>
                <w:rFonts w:hint="cs"/>
                <w:rtl/>
              </w:rPr>
              <w:t>תעריף), התש"ט-1949</w:t>
            </w:r>
            <w:r>
              <w:rPr>
                <w:vertAlign w:val="superscript"/>
                <w:rtl/>
              </w:rPr>
              <w:footnoteReference w:id="2"/>
            </w:r>
            <w:r w:rsidRPr="00141C8D">
              <w:rPr>
                <w:rFonts w:hint="cs"/>
                <w:rtl/>
              </w:rPr>
              <w:t>, ולפי סעיף 3 לחוק מס קנייה (טובין ושירותים), התשי"ב-1952</w:t>
            </w:r>
            <w:r>
              <w:rPr>
                <w:vertAlign w:val="superscript"/>
                <w:rtl/>
              </w:rPr>
              <w:footnoteReference w:id="3"/>
            </w:r>
            <w:r w:rsidRPr="00141C8D">
              <w:rPr>
                <w:rtl/>
              </w:rPr>
              <w:t>, אני מצווה לאמור:</w:t>
            </w:r>
          </w:p>
        </w:tc>
      </w:tr>
      <w:tr w:rsidR="00307F63" w14:paraId="656A1B86" w14:textId="77777777" w:rsidTr="00307F63">
        <w:trPr>
          <w:cantSplit/>
          <w:trHeight w:val="60"/>
        </w:trPr>
        <w:tc>
          <w:tcPr>
            <w:tcW w:w="1871" w:type="dxa"/>
          </w:tcPr>
          <w:p w14:paraId="751BAE61" w14:textId="77777777" w:rsidR="00307F63" w:rsidRDefault="00307F63">
            <w:pPr>
              <w:pStyle w:val="TableSideHeading"/>
            </w:pPr>
          </w:p>
        </w:tc>
        <w:tc>
          <w:tcPr>
            <w:tcW w:w="624" w:type="dxa"/>
          </w:tcPr>
          <w:p w14:paraId="41FDB88C" w14:textId="77777777" w:rsidR="00307F63" w:rsidRDefault="00307F63">
            <w:pPr>
              <w:pStyle w:val="TableText"/>
            </w:pPr>
          </w:p>
        </w:tc>
        <w:tc>
          <w:tcPr>
            <w:tcW w:w="7146" w:type="dxa"/>
          </w:tcPr>
          <w:p w14:paraId="3D9DAFB2" w14:textId="77777777" w:rsidR="00307F63" w:rsidRDefault="00307F63">
            <w:pPr>
              <w:pStyle w:val="TableHead"/>
            </w:pPr>
          </w:p>
        </w:tc>
      </w:tr>
      <w:tr w:rsidR="00307F63" w14:paraId="57CCBF0D" w14:textId="77777777" w:rsidTr="00307F63">
        <w:trPr>
          <w:cantSplit/>
          <w:trHeight w:val="60"/>
        </w:trPr>
        <w:tc>
          <w:tcPr>
            <w:tcW w:w="1871" w:type="dxa"/>
          </w:tcPr>
          <w:p w14:paraId="32AED80B" w14:textId="4ABA2EC0" w:rsidR="00307F63" w:rsidRDefault="00307F63" w:rsidP="00055354">
            <w:pPr>
              <w:pStyle w:val="TableSideHeading"/>
            </w:pPr>
            <w:bookmarkStart w:id="13" w:name="_Toc101955422"/>
            <w:bookmarkStart w:id="14" w:name="_Toc101955438"/>
            <w:bookmarkStart w:id="15" w:name="_Toc104896889"/>
            <w:r>
              <w:rPr>
                <w:rFonts w:hint="cs"/>
                <w:rtl/>
              </w:rPr>
              <w:t xml:space="preserve">תיקון </w:t>
            </w:r>
            <w:bookmarkEnd w:id="13"/>
            <w:bookmarkEnd w:id="14"/>
            <w:r w:rsidR="00055354">
              <w:rPr>
                <w:rFonts w:hint="cs"/>
                <w:rtl/>
              </w:rPr>
              <w:t>סעיף 1</w:t>
            </w:r>
            <w:bookmarkEnd w:id="15"/>
          </w:p>
        </w:tc>
        <w:tc>
          <w:tcPr>
            <w:tcW w:w="624" w:type="dxa"/>
          </w:tcPr>
          <w:p w14:paraId="78A2FB34" w14:textId="77777777" w:rsidR="00307F63" w:rsidRDefault="00307F63" w:rsidP="00307F63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7146" w:type="dxa"/>
          </w:tcPr>
          <w:p w14:paraId="1F8BF899" w14:textId="25134488" w:rsidR="00307F63" w:rsidRDefault="00307F63" w:rsidP="00055354">
            <w:pPr>
              <w:pStyle w:val="TableBlock"/>
            </w:pPr>
            <w:r>
              <w:rPr>
                <w:rFonts w:hint="cs"/>
                <w:rtl/>
              </w:rPr>
              <w:t>ב</w:t>
            </w:r>
            <w:r w:rsidR="00055354">
              <w:rPr>
                <w:rFonts w:hint="cs"/>
                <w:rtl/>
              </w:rPr>
              <w:t>סעיף 1 ל</w:t>
            </w:r>
            <w:r>
              <w:rPr>
                <w:rFonts w:hint="cs"/>
                <w:rtl/>
              </w:rPr>
              <w:t>צו תעריף המכס והפטורים ומס קנייה על טובין (הוראת שעה מס' 13), התש"ף-2020</w:t>
            </w:r>
            <w:r>
              <w:rPr>
                <w:rStyle w:val="a7"/>
                <w:rtl/>
              </w:rPr>
              <w:footnoteReference w:id="4"/>
            </w:r>
            <w:r w:rsidR="00055354">
              <w:rPr>
                <w:rFonts w:hint="cs"/>
                <w:rtl/>
              </w:rPr>
              <w:t xml:space="preserve">, ברישה, במקום "א' בתמוז </w:t>
            </w:r>
            <w:proofErr w:type="spellStart"/>
            <w:r w:rsidR="00055354">
              <w:rPr>
                <w:rFonts w:hint="cs"/>
                <w:rtl/>
              </w:rPr>
              <w:t>התשפ"ב</w:t>
            </w:r>
            <w:proofErr w:type="spellEnd"/>
            <w:r w:rsidR="00055354">
              <w:rPr>
                <w:rFonts w:hint="cs"/>
                <w:rtl/>
              </w:rPr>
              <w:t xml:space="preserve"> (30 ביוני 2022)" יבוא "ז' בטבת </w:t>
            </w:r>
            <w:proofErr w:type="spellStart"/>
            <w:r w:rsidR="00055354">
              <w:rPr>
                <w:rFonts w:hint="cs"/>
                <w:rtl/>
              </w:rPr>
              <w:t>התשפ"ג</w:t>
            </w:r>
            <w:proofErr w:type="spellEnd"/>
            <w:r w:rsidR="00055354">
              <w:rPr>
                <w:rFonts w:hint="cs"/>
                <w:rtl/>
              </w:rPr>
              <w:t xml:space="preserve"> (31 בדצמבר 2022)".  </w:t>
            </w:r>
          </w:p>
        </w:tc>
      </w:tr>
    </w:tbl>
    <w:p w14:paraId="722BA480" w14:textId="77777777" w:rsidR="00055354" w:rsidRDefault="00055354" w:rsidP="00307E94">
      <w:pPr>
        <w:rPr>
          <w:rFonts w:eastAsia="Calibri"/>
          <w:rtl/>
        </w:rPr>
      </w:pPr>
    </w:p>
    <w:p w14:paraId="74ED462B" w14:textId="77777777" w:rsidR="00055354" w:rsidRDefault="00055354" w:rsidP="00307E94">
      <w:pPr>
        <w:rPr>
          <w:rFonts w:eastAsia="Calibri"/>
          <w:rtl/>
        </w:rPr>
      </w:pPr>
    </w:p>
    <w:p w14:paraId="7A62201A" w14:textId="0F52C21B" w:rsidR="00307F63" w:rsidRDefault="00307F63" w:rsidP="00307E94">
      <w:pPr>
        <w:rPr>
          <w:rFonts w:eastAsia="Calibri"/>
          <w:rtl/>
        </w:rPr>
      </w:pPr>
      <w:r>
        <w:rPr>
          <w:rFonts w:eastAsia="Calibri" w:hint="cs"/>
          <w:rtl/>
        </w:rPr>
        <w:t>___ ב________ התש_______ (___ ב________ ____20)</w:t>
      </w:r>
    </w:p>
    <w:p w14:paraId="5857210E" w14:textId="4B14E2FA" w:rsidR="00307F63" w:rsidRDefault="00C051EA" w:rsidP="00307F63">
      <w:pPr>
        <w:rPr>
          <w:rFonts w:eastAsia="Calibri"/>
          <w:rtl/>
        </w:rPr>
      </w:pPr>
      <w:r>
        <w:rPr>
          <w:rFonts w:eastAsia="Calibri" w:hint="cs"/>
          <w:rtl/>
        </w:rPr>
        <w:t xml:space="preserve"> </w:t>
      </w:r>
      <w:r w:rsidR="00307F63">
        <w:rPr>
          <w:rFonts w:eastAsia="Calibri" w:hint="cs"/>
          <w:rtl/>
        </w:rPr>
        <w:t>(</w:t>
      </w:r>
      <w:proofErr w:type="spellStart"/>
      <w:r w:rsidR="00307F63">
        <w:rPr>
          <w:rFonts w:eastAsia="Calibri" w:hint="cs"/>
          <w:rtl/>
        </w:rPr>
        <w:t>חמ</w:t>
      </w:r>
      <w:proofErr w:type="spellEnd"/>
      <w:r w:rsidR="00307F63">
        <w:rPr>
          <w:rFonts w:eastAsia="Calibri" w:hint="cs"/>
          <w:rtl/>
        </w:rPr>
        <w:t xml:space="preserve"> 3-1906-ת1)</w:t>
      </w:r>
    </w:p>
    <w:p w14:paraId="219BF373" w14:textId="77777777" w:rsidR="00307F63" w:rsidRDefault="00307F63" w:rsidP="00307E94">
      <w:pPr>
        <w:rPr>
          <w:rFonts w:eastAsia="Calibri"/>
          <w:rtl/>
        </w:rPr>
      </w:pPr>
    </w:p>
    <w:p w14:paraId="76D742B0" w14:textId="77777777" w:rsidR="00307F63" w:rsidRDefault="00307F63" w:rsidP="00307E9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__________________</w:t>
      </w:r>
    </w:p>
    <w:p w14:paraId="3B2657D1" w14:textId="77777777" w:rsidR="00307F63" w:rsidRDefault="00307F63" w:rsidP="00307E9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אביגדור ליברמן</w:t>
      </w:r>
    </w:p>
    <w:p w14:paraId="4903CCC2" w14:textId="77777777" w:rsidR="00307F63" w:rsidRDefault="00307F63" w:rsidP="00307E9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שר האוצר</w:t>
      </w:r>
    </w:p>
    <w:p w14:paraId="31D31488" w14:textId="77777777" w:rsidR="00307F63" w:rsidRDefault="00307F63" w:rsidP="00307E94">
      <w:pPr>
        <w:pStyle w:val="HeadDivreiHesber"/>
        <w:rPr>
          <w:rtl/>
        </w:rPr>
      </w:pPr>
      <w:bookmarkStart w:id="16" w:name="_Toc101955424"/>
      <w:bookmarkStart w:id="17" w:name="_Toc101955440"/>
      <w:bookmarkStart w:id="18" w:name="_Toc104896890"/>
      <w:r>
        <w:rPr>
          <w:rtl/>
        </w:rPr>
        <w:t>דברי הסבר</w:t>
      </w:r>
      <w:bookmarkEnd w:id="16"/>
      <w:bookmarkEnd w:id="17"/>
      <w:bookmarkEnd w:id="18"/>
    </w:p>
    <w:p w14:paraId="18F00E6C" w14:textId="77777777" w:rsidR="00D60261" w:rsidRPr="00D60261" w:rsidRDefault="00D60261" w:rsidP="00D60261">
      <w:pPr>
        <w:pStyle w:val="Hesber1st"/>
        <w:tabs>
          <w:tab w:val="clear" w:pos="680"/>
        </w:tabs>
        <w:rPr>
          <w:rtl/>
        </w:rPr>
      </w:pPr>
      <w:r w:rsidRPr="00D60261">
        <w:rPr>
          <w:rtl/>
        </w:rPr>
        <w:t>מאז שנת 2017 חלות ברציפות הוראות שעה אשר מפחיתות את מס הקנייה החל על מעונוע להשכרה (קרוואן ממונע) מ-83% ל-60%, בכפוף לעמידה בתנאים הקבועים בפרט המכס</w:t>
      </w:r>
      <w:r w:rsidRPr="00D60261">
        <w:rPr>
          <w:rFonts w:hint="cs"/>
          <w:rtl/>
        </w:rPr>
        <w:t>, לרבות שימוש להשכרה בתאגיד שניתן לו רישיון להפעלת שירות של השכרת רכב</w:t>
      </w:r>
      <w:r w:rsidRPr="00D60261">
        <w:rPr>
          <w:rtl/>
        </w:rPr>
        <w:t>, וכן מבטלות את מס הקנייה החל ועל גרורים וגרורים נתמכים מסוג קרוואן. ההטבות האמורות נועדו לעודד תיירות קרוואנים בישראל.</w:t>
      </w:r>
    </w:p>
    <w:p w14:paraId="41EE4DA6" w14:textId="3C4E9A9C" w:rsidR="00875DD0" w:rsidRDefault="00D60261" w:rsidP="00D60261">
      <w:pPr>
        <w:pStyle w:val="Hesber"/>
        <w:rPr>
          <w:rtl/>
        </w:rPr>
      </w:pPr>
      <w:r w:rsidRPr="00D60261">
        <w:rPr>
          <w:rtl/>
        </w:rPr>
        <w:t xml:space="preserve">הוראת השעה האחרונה בעניין היא צו תעריף המכס והפטורים ומס קנייה על טובין (הוראת שעה מס' 13), התש"ף-2020, אשר צפויה לפקוע ביום א' בתמוז </w:t>
      </w:r>
      <w:proofErr w:type="spellStart"/>
      <w:r w:rsidRPr="00D60261">
        <w:rPr>
          <w:rtl/>
        </w:rPr>
        <w:t>התשפ"ב</w:t>
      </w:r>
      <w:proofErr w:type="spellEnd"/>
      <w:r w:rsidRPr="00D60261">
        <w:rPr>
          <w:rtl/>
        </w:rPr>
        <w:t xml:space="preserve"> (30 ביוני 2022). בצו זה מוצע להאריך את הוראת השעה כך שמס הקנייה המופחת על מעונוע להשכרה וביטול מס הקנייה על גרורים וגרורים נתמכים יחולו עד סוף שנת 2022.</w:t>
      </w:r>
      <w:r w:rsidR="00875DD0">
        <w:rPr>
          <w:rFonts w:hint="cs"/>
          <w:rtl/>
        </w:rPr>
        <w:t xml:space="preserve"> </w:t>
      </w:r>
    </w:p>
    <w:p w14:paraId="4900BDE4" w14:textId="7502B19E" w:rsidR="00875DD0" w:rsidRPr="00D60261" w:rsidRDefault="009234E2" w:rsidP="00D60261">
      <w:pPr>
        <w:pStyle w:val="Hesber"/>
        <w:rPr>
          <w:rtl/>
        </w:rPr>
      </w:pPr>
      <w:r w:rsidRPr="00D60261">
        <w:rPr>
          <w:rFonts w:hint="cs"/>
          <w:rtl/>
        </w:rPr>
        <w:t xml:space="preserve">הפסד הכנסות המדינה ממסים צפוי לעמוד על 6.5 מיליון שקלים חדשים. </w:t>
      </w:r>
    </w:p>
    <w:p w14:paraId="3C81C113" w14:textId="77777777" w:rsidR="00B33B21" w:rsidRDefault="00B33B21"/>
    <w:sectPr w:rsidR="00B33B21" w:rsidSect="00307F63">
      <w:pgSz w:w="11906" w:h="16838"/>
      <w:pgMar w:top="1701" w:right="1134" w:bottom="141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D8539" w14:textId="77777777" w:rsidR="00102CDB" w:rsidRDefault="00102CDB" w:rsidP="00307F63">
      <w:pPr>
        <w:spacing w:line="240" w:lineRule="auto"/>
      </w:pPr>
      <w:r>
        <w:separator/>
      </w:r>
    </w:p>
  </w:endnote>
  <w:endnote w:type="continuationSeparator" w:id="0">
    <w:p w14:paraId="5BCDEEF4" w14:textId="77777777" w:rsidR="00102CDB" w:rsidRDefault="00102CDB" w:rsidP="00307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A145F" w14:textId="77777777" w:rsidR="00102CDB" w:rsidRDefault="00102CDB" w:rsidP="00307F63">
      <w:pPr>
        <w:spacing w:line="240" w:lineRule="auto"/>
        <w:ind w:left="0"/>
      </w:pPr>
      <w:r>
        <w:separator/>
      </w:r>
    </w:p>
  </w:footnote>
  <w:footnote w:type="continuationSeparator" w:id="0">
    <w:p w14:paraId="48490093" w14:textId="77777777" w:rsidR="00102CDB" w:rsidRDefault="00102CDB" w:rsidP="00307F63">
      <w:pPr>
        <w:spacing w:line="240" w:lineRule="auto"/>
      </w:pPr>
      <w:r>
        <w:continuationSeparator/>
      </w:r>
    </w:p>
  </w:footnote>
  <w:footnote w:id="1">
    <w:p w14:paraId="7ECE8B3A" w14:textId="77777777" w:rsidR="00307F63" w:rsidRDefault="00307F63" w:rsidP="00307F63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 w:rsidRPr="00BA1AE3">
        <w:rPr>
          <w:rtl/>
        </w:rPr>
        <w:t>ע"ר</w:t>
      </w:r>
      <w:proofErr w:type="spellEnd"/>
      <w:r w:rsidRPr="00BA1AE3">
        <w:rPr>
          <w:rtl/>
        </w:rPr>
        <w:t xml:space="preserve"> 1937, </w:t>
      </w:r>
      <w:proofErr w:type="spellStart"/>
      <w:r w:rsidRPr="00BA1AE3">
        <w:rPr>
          <w:rtl/>
        </w:rPr>
        <w:t>תוס</w:t>
      </w:r>
      <w:proofErr w:type="spellEnd"/>
      <w:r w:rsidRPr="00BA1AE3">
        <w:rPr>
          <w:rtl/>
        </w:rPr>
        <w:t xml:space="preserve">' 1, עמ' 183; ס"ח </w:t>
      </w:r>
      <w:proofErr w:type="spellStart"/>
      <w:r w:rsidRPr="00BA1AE3">
        <w:rPr>
          <w:rtl/>
        </w:rPr>
        <w:t>התשכ"ה</w:t>
      </w:r>
      <w:proofErr w:type="spellEnd"/>
      <w:r w:rsidRPr="00BA1AE3">
        <w:rPr>
          <w:rtl/>
        </w:rPr>
        <w:t>, עמ' 118.</w:t>
      </w:r>
    </w:p>
  </w:footnote>
  <w:footnote w:id="2">
    <w:p w14:paraId="54C03C2F" w14:textId="77777777" w:rsidR="00307F63" w:rsidRDefault="00307F63" w:rsidP="00307F63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BA1AE3">
        <w:rPr>
          <w:rtl/>
        </w:rPr>
        <w:t xml:space="preserve">ס"ח </w:t>
      </w:r>
      <w:proofErr w:type="spellStart"/>
      <w:r w:rsidRPr="00BA1AE3">
        <w:rPr>
          <w:rtl/>
        </w:rPr>
        <w:t>התש"ט</w:t>
      </w:r>
      <w:proofErr w:type="spellEnd"/>
      <w:r w:rsidRPr="00BA1AE3">
        <w:rPr>
          <w:rtl/>
        </w:rPr>
        <w:t xml:space="preserve">, עמ' 154, </w:t>
      </w:r>
      <w:proofErr w:type="spellStart"/>
      <w:r w:rsidRPr="00BA1AE3">
        <w:rPr>
          <w:rtl/>
        </w:rPr>
        <w:t>התש"ך</w:t>
      </w:r>
      <w:proofErr w:type="spellEnd"/>
      <w:r w:rsidRPr="00BA1AE3">
        <w:rPr>
          <w:rtl/>
        </w:rPr>
        <w:t xml:space="preserve"> עמ' 18; </w:t>
      </w:r>
      <w:proofErr w:type="spellStart"/>
      <w:r w:rsidRPr="00BA1AE3">
        <w:rPr>
          <w:rtl/>
        </w:rPr>
        <w:t>התשמ"ד</w:t>
      </w:r>
      <w:proofErr w:type="spellEnd"/>
      <w:r w:rsidRPr="00BA1AE3">
        <w:rPr>
          <w:rtl/>
        </w:rPr>
        <w:t>, עמ' 161.</w:t>
      </w:r>
    </w:p>
  </w:footnote>
  <w:footnote w:id="3">
    <w:p w14:paraId="6DD1CAB0" w14:textId="77777777" w:rsidR="00307F63" w:rsidRDefault="00307F63" w:rsidP="00307F63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התשי"ב</w:t>
      </w:r>
      <w:proofErr w:type="spellEnd"/>
      <w:r>
        <w:rPr>
          <w:rFonts w:hint="cs"/>
          <w:rtl/>
        </w:rPr>
        <w:t xml:space="preserve">, עמ' 344; </w:t>
      </w:r>
      <w:proofErr w:type="spellStart"/>
      <w:r>
        <w:rPr>
          <w:rFonts w:hint="cs"/>
          <w:rtl/>
        </w:rPr>
        <w:t>התש"ן</w:t>
      </w:r>
      <w:proofErr w:type="spellEnd"/>
      <w:r>
        <w:rPr>
          <w:rFonts w:hint="cs"/>
          <w:rtl/>
        </w:rPr>
        <w:t xml:space="preserve"> עמ' 190, </w:t>
      </w:r>
      <w:proofErr w:type="spellStart"/>
      <w:r>
        <w:rPr>
          <w:rFonts w:hint="cs"/>
          <w:rtl/>
        </w:rPr>
        <w:t>התשס"ז</w:t>
      </w:r>
      <w:proofErr w:type="spellEnd"/>
      <w:r>
        <w:rPr>
          <w:rFonts w:hint="cs"/>
          <w:rtl/>
        </w:rPr>
        <w:t>, עמ' 66.</w:t>
      </w:r>
    </w:p>
  </w:footnote>
  <w:footnote w:id="4">
    <w:p w14:paraId="2459A632" w14:textId="77777777" w:rsidR="00307F63" w:rsidRDefault="00307F63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ק"ת</w:t>
      </w:r>
      <w:proofErr w:type="spellEnd"/>
      <w:r>
        <w:rPr>
          <w:rFonts w:hint="cs"/>
          <w:rtl/>
        </w:rPr>
        <w:t xml:space="preserve">-שיעורי </w:t>
      </w:r>
      <w:proofErr w:type="spellStart"/>
      <w:r>
        <w:rPr>
          <w:rFonts w:hint="cs"/>
          <w:rtl/>
        </w:rPr>
        <w:t>מק"ח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התש"ף</w:t>
      </w:r>
      <w:proofErr w:type="spellEnd"/>
      <w:r>
        <w:rPr>
          <w:rFonts w:hint="cs"/>
          <w:rtl/>
        </w:rPr>
        <w:t>, עמ' 140.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C2468"/>
    <w:multiLevelType w:val="hybridMultilevel"/>
    <w:tmpl w:val="AAAAEAE0"/>
    <w:lvl w:ilvl="0" w:tplc="C09E0320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D567A53"/>
    <w:multiLevelType w:val="hybridMultilevel"/>
    <w:tmpl w:val="48BA77DA"/>
    <w:lvl w:ilvl="0" w:tplc="C1CC6114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1585C"/>
    <w:multiLevelType w:val="hybridMultilevel"/>
    <w:tmpl w:val="0D6EBA06"/>
    <w:lvl w:ilvl="0" w:tplc="81365308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4139A8"/>
    <w:multiLevelType w:val="hybridMultilevel"/>
    <w:tmpl w:val="5BAC6C00"/>
    <w:lvl w:ilvl="0" w:tplc="D832B7CE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1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3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9"/>
  </w:num>
  <w:num w:numId="21">
    <w:abstractNumId w:val="15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63"/>
    <w:rsid w:val="00055354"/>
    <w:rsid w:val="00102CDB"/>
    <w:rsid w:val="001047CC"/>
    <w:rsid w:val="001312A5"/>
    <w:rsid w:val="0016392D"/>
    <w:rsid w:val="001D7A12"/>
    <w:rsid w:val="001E000B"/>
    <w:rsid w:val="00307F63"/>
    <w:rsid w:val="00875DD0"/>
    <w:rsid w:val="009234E2"/>
    <w:rsid w:val="0097768A"/>
    <w:rsid w:val="00B33B21"/>
    <w:rsid w:val="00C051EA"/>
    <w:rsid w:val="00D25C8B"/>
    <w:rsid w:val="00D60261"/>
    <w:rsid w:val="00E11DAE"/>
    <w:rsid w:val="00E62D8A"/>
    <w:rsid w:val="00FA714D"/>
    <w:rsid w:val="00FC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1E73"/>
  <w15:chartTrackingRefBased/>
  <w15:docId w15:val="{DC877037-BF8F-45DA-94B7-DACAA014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54"/>
    <w:pPr>
      <w:widowControl w:val="0"/>
      <w:bidi/>
      <w:spacing w:after="0"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5354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055354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055354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055354"/>
    <w:pPr>
      <w:numPr>
        <w:numId w:val="1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55354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55354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40">
    <w:name w:val="כותרת 4 תו"/>
    <w:basedOn w:val="a0"/>
    <w:link w:val="4"/>
    <w:uiPriority w:val="9"/>
    <w:rsid w:val="00055354"/>
    <w:rPr>
      <w:rFonts w:ascii="David" w:hAnsi="David" w:cs="David"/>
      <w:b/>
      <w:bCs/>
      <w:color w:val="000000" w:themeColor="text1"/>
      <w:sz w:val="24"/>
      <w:szCs w:val="28"/>
    </w:rPr>
  </w:style>
  <w:style w:type="paragraph" w:customStyle="1" w:styleId="TableText">
    <w:name w:val="Table Text"/>
    <w:basedOn w:val="a"/>
    <w:rsid w:val="00055354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055354"/>
    <w:pPr>
      <w:outlineLvl w:val="2"/>
    </w:pPr>
  </w:style>
  <w:style w:type="paragraph" w:customStyle="1" w:styleId="TableBlock">
    <w:name w:val="Table Block"/>
    <w:basedOn w:val="TableText"/>
    <w:rsid w:val="00055354"/>
    <w:pPr>
      <w:jc w:val="both"/>
    </w:pPr>
  </w:style>
  <w:style w:type="paragraph" w:customStyle="1" w:styleId="TableHead">
    <w:name w:val="Table Head"/>
    <w:basedOn w:val="TableText"/>
    <w:rsid w:val="00055354"/>
    <w:pPr>
      <w:jc w:val="center"/>
      <w:outlineLvl w:val="1"/>
    </w:pPr>
    <w:rPr>
      <w:b/>
      <w:bCs/>
    </w:rPr>
  </w:style>
  <w:style w:type="paragraph" w:customStyle="1" w:styleId="HeadMitparsemetBaze">
    <w:name w:val="Head MitparsemetBaze"/>
    <w:basedOn w:val="a"/>
    <w:rsid w:val="00055354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055354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sber1st">
    <w:name w:val="Hesber 1st"/>
    <w:basedOn w:val="Hesber"/>
    <w:rsid w:val="00055354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055354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character" w:customStyle="1" w:styleId="20">
    <w:name w:val="כותרת 2 תו"/>
    <w:basedOn w:val="a0"/>
    <w:link w:val="2"/>
    <w:rsid w:val="00055354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055354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50">
    <w:name w:val="כותרת 5 תו"/>
    <w:basedOn w:val="a0"/>
    <w:link w:val="5"/>
    <w:uiPriority w:val="9"/>
    <w:rsid w:val="00055354"/>
    <w:rPr>
      <w:rFonts w:ascii="David" w:hAnsi="David" w:cs="David"/>
      <w:color w:val="000000" w:themeColor="text1"/>
      <w:sz w:val="24"/>
      <w:szCs w:val="24"/>
    </w:rPr>
  </w:style>
  <w:style w:type="paragraph" w:customStyle="1" w:styleId="HeadHatzaotHok4Futer">
    <w:name w:val="Head HatzaotHok4Futer"/>
    <w:basedOn w:val="HeadHatzaotHok"/>
    <w:rsid w:val="00055354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055354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307F63"/>
    <w:rPr>
      <w:rFonts w:ascii="David" w:hAnsi="David" w:cs="David"/>
      <w:sz w:val="14"/>
    </w:rPr>
  </w:style>
  <w:style w:type="paragraph" w:customStyle="1" w:styleId="TableInnerSideHeading">
    <w:name w:val="Table InnerSideHeading"/>
    <w:basedOn w:val="TableSideHeading"/>
    <w:rsid w:val="00055354"/>
    <w:pPr>
      <w:outlineLvl w:val="9"/>
    </w:pPr>
  </w:style>
  <w:style w:type="paragraph" w:customStyle="1" w:styleId="Hesber">
    <w:name w:val="Hesber"/>
    <w:basedOn w:val="a"/>
    <w:rsid w:val="00055354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055354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307F63"/>
    <w:rPr>
      <w:rFonts w:ascii="Arial" w:eastAsia="Arial Unicode MS" w:hAnsi="Arial" w:cs="David"/>
      <w:snapToGrid w:val="0"/>
      <w:sz w:val="14"/>
      <w:szCs w:val="20"/>
    </w:rPr>
  </w:style>
  <w:style w:type="character" w:styleId="a7">
    <w:name w:val="footnote reference"/>
    <w:aliases w:val="Footnote Reference,Footnote Reference_0,Footnote Reference_0_0,Footnote Reference_0_0_0,Footnote Reference_0_0_0_0"/>
    <w:basedOn w:val="a0"/>
    <w:semiHidden/>
    <w:rsid w:val="00055354"/>
    <w:rPr>
      <w:vertAlign w:val="superscript"/>
    </w:rPr>
  </w:style>
  <w:style w:type="paragraph" w:customStyle="1" w:styleId="HesberHeading">
    <w:name w:val="Hesber Heading"/>
    <w:basedOn w:val="Hesber"/>
    <w:rsid w:val="00055354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055354"/>
    <w:pPr>
      <w:spacing w:before="120" w:after="120"/>
      <w:ind w:left="1418"/>
      <w:jc w:val="right"/>
    </w:pPr>
    <w:rPr>
      <w:b/>
      <w:bCs/>
    </w:rPr>
  </w:style>
  <w:style w:type="character" w:styleId="a8">
    <w:name w:val="endnote reference"/>
    <w:basedOn w:val="a0"/>
    <w:semiHidden/>
    <w:rsid w:val="00055354"/>
    <w:rPr>
      <w:vertAlign w:val="superscript"/>
    </w:rPr>
  </w:style>
  <w:style w:type="paragraph" w:customStyle="1" w:styleId="TableBlockOutdent">
    <w:name w:val="Table BlockOutdent"/>
    <w:basedOn w:val="TableBlock"/>
    <w:rsid w:val="00055354"/>
    <w:pPr>
      <w:ind w:left="624" w:hanging="624"/>
    </w:pPr>
  </w:style>
  <w:style w:type="paragraph" w:styleId="a9">
    <w:name w:val="header"/>
    <w:basedOn w:val="a"/>
    <w:link w:val="aa"/>
    <w:rsid w:val="00055354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307F63"/>
    <w:rPr>
      <w:rFonts w:ascii="David" w:hAnsi="David" w:cs="David"/>
      <w:sz w:val="24"/>
      <w:szCs w:val="24"/>
    </w:rPr>
  </w:style>
  <w:style w:type="paragraph" w:styleId="ab">
    <w:name w:val="footer"/>
    <w:basedOn w:val="a"/>
    <w:link w:val="ac"/>
    <w:rsid w:val="00055354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307F63"/>
    <w:rPr>
      <w:rFonts w:ascii="David" w:hAnsi="David" w:cs="David"/>
      <w:sz w:val="24"/>
      <w:szCs w:val="24"/>
    </w:rPr>
  </w:style>
  <w:style w:type="character" w:styleId="ad">
    <w:name w:val="page number"/>
    <w:basedOn w:val="a0"/>
    <w:rsid w:val="00055354"/>
  </w:style>
  <w:style w:type="paragraph" w:customStyle="1" w:styleId="Cover1-Reshumot">
    <w:name w:val="Cover 1-Reshumot"/>
    <w:basedOn w:val="a"/>
    <w:rsid w:val="00055354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055354"/>
    <w:rPr>
      <w:sz w:val="36"/>
      <w:szCs w:val="52"/>
    </w:rPr>
  </w:style>
  <w:style w:type="paragraph" w:customStyle="1" w:styleId="Cover3-Haknesset">
    <w:name w:val="Cover 3-Haknesset"/>
    <w:basedOn w:val="Cover1-Reshumot"/>
    <w:rsid w:val="00055354"/>
    <w:rPr>
      <w:b/>
      <w:bCs/>
      <w:spacing w:val="60"/>
    </w:rPr>
  </w:style>
  <w:style w:type="paragraph" w:customStyle="1" w:styleId="Cover4-Date">
    <w:name w:val="Cover 4-Date"/>
    <w:basedOn w:val="a"/>
    <w:rsid w:val="00055354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a"/>
    <w:rsid w:val="00055354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055354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055354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055354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055354"/>
    <w:rPr>
      <w:color w:val="0563C1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055354"/>
    <w:pPr>
      <w:numPr>
        <w:numId w:val="19"/>
      </w:numPr>
      <w:tabs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iPriority w:val="39"/>
    <w:unhideWhenUsed/>
    <w:qFormat/>
    <w:rsid w:val="00055354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055354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055354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055354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055354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055354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055354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055354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055354"/>
    <w:rPr>
      <w:rFonts w:eastAsia="Times New Roman"/>
    </w:rPr>
  </w:style>
  <w:style w:type="paragraph" w:styleId="af">
    <w:name w:val="List Paragraph"/>
    <w:basedOn w:val="a"/>
    <w:uiPriority w:val="34"/>
    <w:qFormat/>
    <w:rsid w:val="00055354"/>
    <w:pPr>
      <w:widowControl/>
      <w:spacing w:line="259" w:lineRule="auto"/>
    </w:pPr>
    <w:rPr>
      <w:rFonts w:asciiTheme="minorHAnsi" w:hAnsiTheme="minorHAnsi"/>
      <w:sz w:val="22"/>
    </w:rPr>
  </w:style>
  <w:style w:type="table" w:styleId="af0">
    <w:name w:val="Table Grid"/>
    <w:basedOn w:val="a1"/>
    <w:rsid w:val="0005535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05535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05535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1">
    <w:name w:val="טבלת חקיקה"/>
    <w:basedOn w:val="a1"/>
    <w:uiPriority w:val="99"/>
    <w:rsid w:val="00055354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05535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  <w:style w:type="character" w:styleId="af2">
    <w:name w:val="annotation reference"/>
    <w:basedOn w:val="a0"/>
    <w:uiPriority w:val="99"/>
    <w:semiHidden/>
    <w:unhideWhenUsed/>
    <w:rsid w:val="00875DD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75DD0"/>
    <w:pPr>
      <w:spacing w:line="240" w:lineRule="auto"/>
    </w:pPr>
    <w:rPr>
      <w:sz w:val="20"/>
      <w:szCs w:val="20"/>
    </w:rPr>
  </w:style>
  <w:style w:type="character" w:customStyle="1" w:styleId="af4">
    <w:name w:val="טקסט הערה תו"/>
    <w:basedOn w:val="a0"/>
    <w:link w:val="af3"/>
    <w:uiPriority w:val="99"/>
    <w:semiHidden/>
    <w:rsid w:val="00875DD0"/>
    <w:rPr>
      <w:rFonts w:ascii="David" w:hAnsi="David" w:cs="David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75DD0"/>
    <w:rPr>
      <w:b/>
      <w:bCs/>
    </w:rPr>
  </w:style>
  <w:style w:type="character" w:customStyle="1" w:styleId="af6">
    <w:name w:val="נושא הערה תו"/>
    <w:basedOn w:val="af4"/>
    <w:link w:val="af5"/>
    <w:uiPriority w:val="99"/>
    <w:semiHidden/>
    <w:rsid w:val="00875DD0"/>
    <w:rPr>
      <w:rFonts w:ascii="David" w:hAnsi="David" w:cs="David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875DD0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8">
    <w:name w:val="טקסט בלונים תו"/>
    <w:basedOn w:val="a0"/>
    <w:link w:val="af7"/>
    <w:uiPriority w:val="99"/>
    <w:semiHidden/>
    <w:rsid w:val="00875DD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לילי אור</dc:creator>
  <cp:keywords/>
  <dc:description/>
  <cp:lastModifiedBy>Merav Kaplan - Chamber Of Commerce</cp:lastModifiedBy>
  <cp:revision>2</cp:revision>
  <dcterms:created xsi:type="dcterms:W3CDTF">2022-06-19T06:13:00Z</dcterms:created>
  <dcterms:modified xsi:type="dcterms:W3CDTF">2022-06-19T06:13:00Z</dcterms:modified>
</cp:coreProperties>
</file>