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39662" w14:textId="77777777" w:rsidR="002C2052" w:rsidRPr="004F21CA" w:rsidRDefault="002C2052" w:rsidP="00722C14">
      <w:pPr>
        <w:pStyle w:val="1"/>
        <w:keepNext w:val="0"/>
        <w:keepLines w:val="0"/>
        <w:rPr>
          <w:rFonts w:ascii="David" w:hAnsi="David"/>
          <w:sz w:val="26"/>
          <w:szCs w:val="26"/>
          <w:rtl/>
        </w:rPr>
      </w:pPr>
      <w:r w:rsidRPr="004F21CA">
        <w:rPr>
          <w:rFonts w:ascii="David" w:hAnsi="David"/>
          <w:sz w:val="26"/>
          <w:szCs w:val="26"/>
          <w:rtl/>
        </w:rPr>
        <w:t>טיוטת תקנות</w:t>
      </w:r>
    </w:p>
    <w:p w14:paraId="141D11B5" w14:textId="77777777" w:rsidR="002C2052" w:rsidRPr="004F21CA" w:rsidRDefault="002C2052" w:rsidP="00722C14">
      <w:pPr>
        <w:rPr>
          <w:sz w:val="26"/>
          <w:szCs w:val="26"/>
          <w:rtl/>
        </w:rPr>
      </w:pPr>
    </w:p>
    <w:p w14:paraId="3A3D1A01" w14:textId="77777777" w:rsidR="002C2052" w:rsidRPr="004F21CA" w:rsidRDefault="002C2052" w:rsidP="00F24A78">
      <w:pPr>
        <w:pStyle w:val="4"/>
        <w:rPr>
          <w:sz w:val="26"/>
          <w:szCs w:val="26"/>
          <w:rtl/>
        </w:rPr>
      </w:pPr>
      <w:r w:rsidRPr="004F21CA">
        <w:rPr>
          <w:sz w:val="26"/>
          <w:szCs w:val="26"/>
          <w:rtl/>
        </w:rPr>
        <w:t>שם התקנות המוצעות</w:t>
      </w:r>
    </w:p>
    <w:p w14:paraId="551B7C9E" w14:textId="70B6ECE5" w:rsidR="002C2052" w:rsidRPr="004F21CA" w:rsidRDefault="002C2052" w:rsidP="002963C3">
      <w:pPr>
        <w:rPr>
          <w:sz w:val="26"/>
          <w:szCs w:val="26"/>
        </w:rPr>
      </w:pPr>
      <w:bookmarkStart w:id="0" w:name="_GoBack"/>
      <w:r w:rsidRPr="004F21CA">
        <w:rPr>
          <w:sz w:val="26"/>
          <w:szCs w:val="26"/>
          <w:rtl/>
        </w:rPr>
        <w:t xml:space="preserve">תקנות </w:t>
      </w:r>
      <w:r w:rsidR="0028277E" w:rsidRPr="004F21CA">
        <w:rPr>
          <w:sz w:val="26"/>
          <w:szCs w:val="26"/>
          <w:rtl/>
        </w:rPr>
        <w:t>הגנת הצומח (יבוא צמחים, מוצרי צמחים, נגעים ואמצעי לוואי)</w:t>
      </w:r>
      <w:r w:rsidR="00901794" w:rsidRPr="004F21CA">
        <w:rPr>
          <w:sz w:val="26"/>
          <w:szCs w:val="26"/>
          <w:rtl/>
        </w:rPr>
        <w:t xml:space="preserve"> </w:t>
      </w:r>
      <w:r w:rsidR="0028277E" w:rsidRPr="004F21CA">
        <w:rPr>
          <w:sz w:val="26"/>
          <w:szCs w:val="26"/>
          <w:rtl/>
        </w:rPr>
        <w:t>(תיקון</w:t>
      </w:r>
      <w:r w:rsidR="00AA276C">
        <w:rPr>
          <w:rFonts w:hint="cs"/>
          <w:sz w:val="26"/>
          <w:szCs w:val="26"/>
          <w:rtl/>
        </w:rPr>
        <w:t xml:space="preserve"> מס' 1</w:t>
      </w:r>
      <w:r w:rsidR="0028277E" w:rsidRPr="004F21CA">
        <w:rPr>
          <w:sz w:val="26"/>
          <w:szCs w:val="26"/>
          <w:rtl/>
        </w:rPr>
        <w:t>), התש</w:t>
      </w:r>
      <w:r w:rsidR="002963C3" w:rsidRPr="004F21CA">
        <w:rPr>
          <w:sz w:val="26"/>
          <w:szCs w:val="26"/>
          <w:rtl/>
        </w:rPr>
        <w:t>פ</w:t>
      </w:r>
      <w:r w:rsidR="0028277E" w:rsidRPr="004F21CA">
        <w:rPr>
          <w:sz w:val="26"/>
          <w:szCs w:val="26"/>
          <w:rtl/>
        </w:rPr>
        <w:t>"ב-</w:t>
      </w:r>
      <w:r w:rsidR="00CD6A29" w:rsidRPr="004F21CA">
        <w:rPr>
          <w:sz w:val="26"/>
          <w:szCs w:val="26"/>
          <w:rtl/>
        </w:rPr>
        <w:t>2022</w:t>
      </w:r>
      <w:r w:rsidR="00723165">
        <w:rPr>
          <w:rFonts w:hint="cs"/>
          <w:sz w:val="26"/>
          <w:szCs w:val="26"/>
          <w:rtl/>
        </w:rPr>
        <w:t>.</w:t>
      </w:r>
    </w:p>
    <w:bookmarkEnd w:id="0"/>
    <w:p w14:paraId="04B91A82" w14:textId="77777777" w:rsidR="002C2052" w:rsidRPr="004F21CA" w:rsidRDefault="002C2052" w:rsidP="00722C14">
      <w:pPr>
        <w:rPr>
          <w:sz w:val="26"/>
          <w:szCs w:val="26"/>
          <w:rtl/>
        </w:rPr>
      </w:pPr>
    </w:p>
    <w:p w14:paraId="4C3AA2CD" w14:textId="2788EA69" w:rsidR="002C2052" w:rsidRPr="004F21CA" w:rsidRDefault="002C2052" w:rsidP="0028277E">
      <w:pPr>
        <w:pStyle w:val="4"/>
        <w:rPr>
          <w:sz w:val="26"/>
          <w:szCs w:val="26"/>
          <w:rtl/>
        </w:rPr>
      </w:pPr>
      <w:r w:rsidRPr="004F21CA">
        <w:rPr>
          <w:sz w:val="26"/>
          <w:szCs w:val="26"/>
          <w:rtl/>
        </w:rPr>
        <w:t xml:space="preserve">מטרת התקנות המוצעות והצורך בהן </w:t>
      </w:r>
    </w:p>
    <w:p w14:paraId="75997E46" w14:textId="48F9B36C" w:rsidR="0031251C" w:rsidRPr="004F21CA" w:rsidRDefault="0031251C" w:rsidP="0031251C">
      <w:pPr>
        <w:ind w:left="0"/>
        <w:rPr>
          <w:sz w:val="26"/>
          <w:szCs w:val="26"/>
          <w:rtl/>
        </w:rPr>
      </w:pPr>
      <w:r w:rsidRPr="004F21CA">
        <w:rPr>
          <w:sz w:val="26"/>
          <w:szCs w:val="26"/>
          <w:rtl/>
        </w:rPr>
        <w:t xml:space="preserve">סעיף 2 לחוק הגנת הצומח, התשט"ז-1956, מסמיך את שר החקלאות ופיתוח הכפר, ככל שראה צורך בכך כדי למנוע נגעים והתפשטותם להתקין תקנות שעניינן, בין היתר, לאסור, להגביל או להסדיר ייבואם וייצואם של צמחים. מכוח סמכות זו התקין שר החקלאות ופיתוח הכפר את תקנות הגנת הצומח (יבוא צמחים, מוצרי צמחים, נגעים ואמצעי לוואי), התשס"ט-2009, שבמסגרתן נקבע המנגנון לפיקוח על ייבוא צמחים לישראל. ברירת המחדל כיום בתקנות היא שמלבד לגבי מוצרים שנקבע לגביהם במפורש אחרת, יבוא של צמחים טעון רישיון ממנהל השירותים להגנת הצומח ולביקורת במשרד החקלאות ופיתוח הכפר. </w:t>
      </w:r>
    </w:p>
    <w:p w14:paraId="0ACA06F5" w14:textId="69105DC4" w:rsidR="00292212" w:rsidRPr="004F21CA" w:rsidRDefault="0031251C" w:rsidP="00292212">
      <w:pPr>
        <w:ind w:left="0"/>
        <w:rPr>
          <w:sz w:val="26"/>
          <w:szCs w:val="26"/>
          <w:rtl/>
        </w:rPr>
      </w:pPr>
      <w:r w:rsidRPr="004F21CA">
        <w:rPr>
          <w:sz w:val="26"/>
          <w:szCs w:val="26"/>
          <w:rtl/>
        </w:rPr>
        <w:t xml:space="preserve">בהתאם להחלטת הממשלה </w:t>
      </w:r>
      <w:r w:rsidR="00292212" w:rsidRPr="004F21CA">
        <w:rPr>
          <w:sz w:val="26"/>
          <w:szCs w:val="26"/>
          <w:rtl/>
        </w:rPr>
        <w:t xml:space="preserve">מס' 213 </w:t>
      </w:r>
      <w:r w:rsidRPr="004F21CA">
        <w:rPr>
          <w:sz w:val="26"/>
          <w:szCs w:val="26"/>
          <w:rtl/>
        </w:rPr>
        <w:t>בנושא "</w:t>
      </w:r>
      <w:r w:rsidR="00292212" w:rsidRPr="004F21CA">
        <w:rPr>
          <w:sz w:val="26"/>
          <w:szCs w:val="26"/>
          <w:rtl/>
        </w:rPr>
        <w:t xml:space="preserve">תכנית להגברת התחרות בחקלאות ותיקון החלטת ממשלה" מיום 1.8.21 (להלן – החלטת הממשלה), </w:t>
      </w:r>
      <w:r w:rsidRPr="004F21CA">
        <w:rPr>
          <w:sz w:val="26"/>
          <w:szCs w:val="26"/>
          <w:rtl/>
        </w:rPr>
        <w:t xml:space="preserve">מוצע לתקן את ברירת המחדל הקבועה בתקנות כאמור ולקבוע כי ניתן יהיה לייבא ירקות ופירות ללא רישיון ביבוא מסחרי אלא בכפוף לתעודת בריאות ולהצהרה כי המשלוח עומד בדרישות </w:t>
      </w:r>
      <w:proofErr w:type="spellStart"/>
      <w:r w:rsidRPr="004F21CA">
        <w:rPr>
          <w:sz w:val="26"/>
          <w:szCs w:val="26"/>
          <w:rtl/>
        </w:rPr>
        <w:t>הפיטוסניטיריות</w:t>
      </w:r>
      <w:proofErr w:type="spellEnd"/>
      <w:r w:rsidRPr="004F21CA">
        <w:rPr>
          <w:sz w:val="26"/>
          <w:szCs w:val="26"/>
          <w:rtl/>
        </w:rPr>
        <w:t xml:space="preserve"> של ישראל.</w:t>
      </w:r>
    </w:p>
    <w:p w14:paraId="1C8E4967" w14:textId="1CB125F5" w:rsidR="0031251C" w:rsidRPr="004F21CA" w:rsidRDefault="00292212" w:rsidP="0028277E">
      <w:pPr>
        <w:ind w:left="0"/>
        <w:rPr>
          <w:sz w:val="26"/>
          <w:szCs w:val="26"/>
          <w:rtl/>
        </w:rPr>
      </w:pPr>
      <w:r w:rsidRPr="004F21CA">
        <w:rPr>
          <w:sz w:val="26"/>
          <w:szCs w:val="26"/>
          <w:rtl/>
        </w:rPr>
        <w:t xml:space="preserve">במקביל לשינוי ברירת המחדל </w:t>
      </w:r>
      <w:r w:rsidR="0028277E" w:rsidRPr="004F21CA">
        <w:rPr>
          <w:sz w:val="26"/>
          <w:szCs w:val="26"/>
          <w:rtl/>
        </w:rPr>
        <w:t xml:space="preserve">נקבע בהחלטת הממשלה, כי על שר החקלאות ופיתוח הכפר לפעול לכך </w:t>
      </w:r>
      <w:r w:rsidR="0031251C" w:rsidRPr="004F21CA">
        <w:rPr>
          <w:sz w:val="26"/>
          <w:szCs w:val="26"/>
          <w:rtl/>
        </w:rPr>
        <w:t xml:space="preserve">שיוכל להוציא הוראות חירום </w:t>
      </w:r>
      <w:proofErr w:type="spellStart"/>
      <w:r w:rsidR="0031251C" w:rsidRPr="004F21CA">
        <w:rPr>
          <w:sz w:val="26"/>
          <w:szCs w:val="26"/>
          <w:rtl/>
        </w:rPr>
        <w:t>מינהליות</w:t>
      </w:r>
      <w:proofErr w:type="spellEnd"/>
      <w:r w:rsidR="0031251C" w:rsidRPr="004F21CA">
        <w:rPr>
          <w:sz w:val="26"/>
          <w:szCs w:val="26"/>
          <w:rtl/>
        </w:rPr>
        <w:t xml:space="preserve"> למניעת יבוא של צמחים מסוגים מסוימים או ממדינות מסוימות, לתקופה שלא תעלה על שלושה חודשים, אותה ניתן להאריך מעת לעת, וזאת במקרה שיש לו יסוד סביר להניח שקיימת סכנה </w:t>
      </w:r>
      <w:proofErr w:type="spellStart"/>
      <w:r w:rsidR="0031251C" w:rsidRPr="004F21CA">
        <w:rPr>
          <w:sz w:val="26"/>
          <w:szCs w:val="26"/>
          <w:rtl/>
        </w:rPr>
        <w:t>מיידית</w:t>
      </w:r>
      <w:proofErr w:type="spellEnd"/>
      <w:r w:rsidR="0031251C" w:rsidRPr="004F21CA">
        <w:rPr>
          <w:sz w:val="26"/>
          <w:szCs w:val="26"/>
          <w:rtl/>
        </w:rPr>
        <w:t xml:space="preserve"> לבריאות הצומח בישראל או שעלולה להיווצר בעתיד סכנה כזו, כתוצאה מייבוא של אותם צמחים או מייבוא צמחים מאותה מדינה. הוראה זו תאפשר לשר החקלאות ופיתוח הכפר לתת מענה מהיר וגמיש במקרים המתאימים, וזאת על אף שינוי ברירת המחדל. </w:t>
      </w:r>
    </w:p>
    <w:p w14:paraId="5309E213" w14:textId="3D32C3FA" w:rsidR="0028277E" w:rsidRPr="004F21CA" w:rsidRDefault="0028277E" w:rsidP="0028277E">
      <w:pPr>
        <w:ind w:left="0"/>
        <w:rPr>
          <w:sz w:val="26"/>
          <w:szCs w:val="26"/>
          <w:rtl/>
        </w:rPr>
      </w:pPr>
    </w:p>
    <w:p w14:paraId="5F9515D3" w14:textId="3F28463B" w:rsidR="0028277E" w:rsidRDefault="0028277E" w:rsidP="0028277E">
      <w:pPr>
        <w:ind w:left="0"/>
        <w:rPr>
          <w:sz w:val="26"/>
          <w:szCs w:val="26"/>
          <w:rtl/>
        </w:rPr>
      </w:pPr>
      <w:r w:rsidRPr="004F21CA">
        <w:rPr>
          <w:sz w:val="26"/>
          <w:szCs w:val="26"/>
          <w:rtl/>
        </w:rPr>
        <w:t xml:space="preserve">מטרת התקנות המוצעות ליישם את החלטת הממשלה, לשנות את מנגנון ברירת המחדל לפיקוח על יבוא צמחים לישראל, בכל הנוגע לפירות וירקות טריים ביבוא מסחרי, ולקבוע את סמכות שר החקלאות ופיתוח הכפר להוציא הוראות חירום מנהליות לתקופות קצרות מקום שיש בכך צורך למניעת סכנה </w:t>
      </w:r>
      <w:proofErr w:type="spellStart"/>
      <w:r w:rsidRPr="004F21CA">
        <w:rPr>
          <w:sz w:val="26"/>
          <w:szCs w:val="26"/>
          <w:rtl/>
        </w:rPr>
        <w:t>מיידית</w:t>
      </w:r>
      <w:proofErr w:type="spellEnd"/>
      <w:r w:rsidRPr="004F21CA">
        <w:rPr>
          <w:sz w:val="26"/>
          <w:szCs w:val="26"/>
          <w:rtl/>
        </w:rPr>
        <w:t xml:space="preserve"> לבריאות הצומח בישראל.</w:t>
      </w:r>
    </w:p>
    <w:p w14:paraId="071B0F18" w14:textId="77777777" w:rsidR="00723165" w:rsidRDefault="00723165" w:rsidP="0028277E">
      <w:pPr>
        <w:ind w:left="0"/>
        <w:rPr>
          <w:sz w:val="26"/>
          <w:szCs w:val="26"/>
          <w:rtl/>
        </w:rPr>
      </w:pPr>
    </w:p>
    <w:p w14:paraId="54726E64" w14:textId="77777777" w:rsidR="00723165" w:rsidRDefault="00723165" w:rsidP="00723165">
      <w:pPr>
        <w:ind w:left="-1"/>
        <w:rPr>
          <w:rFonts w:ascii="Arial" w:hAnsi="Arial" w:cs="Arial"/>
          <w:color w:val="1F497D"/>
          <w:sz w:val="22"/>
          <w:szCs w:val="22"/>
        </w:rPr>
      </w:pPr>
      <w:r w:rsidRPr="00F858E5">
        <w:rPr>
          <w:rFonts w:eastAsia="Arial Unicode MS"/>
          <w:snapToGrid w:val="0"/>
          <w:sz w:val="26"/>
          <w:szCs w:val="26"/>
          <w:rtl/>
        </w:rPr>
        <w:t>בהתאם להחלטת הממשלה מספר 2118 מיום 22.10.2014 בנושא הפחתת הנטל הרגולטורי, טיוטת התקנות גובשה במסגרת תהליך "חקיקה חכמה" (</w:t>
      </w:r>
      <w:r w:rsidRPr="00F858E5">
        <w:rPr>
          <w:rFonts w:eastAsia="Arial Unicode MS"/>
          <w:snapToGrid w:val="0"/>
          <w:sz w:val="26"/>
          <w:szCs w:val="26"/>
        </w:rPr>
        <w:t>RIA</w:t>
      </w:r>
      <w:r w:rsidRPr="00F858E5">
        <w:rPr>
          <w:rFonts w:eastAsia="Arial Unicode MS"/>
          <w:snapToGrid w:val="0"/>
          <w:sz w:val="26"/>
          <w:szCs w:val="26"/>
          <w:rtl/>
        </w:rPr>
        <w:t xml:space="preserve">, </w:t>
      </w:r>
      <w:proofErr w:type="spellStart"/>
      <w:r w:rsidRPr="00F858E5">
        <w:rPr>
          <w:rFonts w:eastAsia="Arial Unicode MS"/>
          <w:snapToGrid w:val="0"/>
          <w:sz w:val="26"/>
          <w:szCs w:val="26"/>
          <w:rtl/>
        </w:rPr>
        <w:t>רי"ה</w:t>
      </w:r>
      <w:proofErr w:type="spellEnd"/>
      <w:r w:rsidRPr="00F858E5">
        <w:rPr>
          <w:rFonts w:eastAsia="Arial Unicode MS"/>
          <w:snapToGrid w:val="0"/>
          <w:sz w:val="26"/>
          <w:szCs w:val="26"/>
          <w:rtl/>
        </w:rPr>
        <w:t>). ניתן לעיין בדוח בקישור:</w:t>
      </w:r>
      <w:r>
        <w:rPr>
          <w:rFonts w:eastAsia="Arial Unicode MS" w:hint="cs"/>
          <w:snapToGrid w:val="0"/>
          <w:sz w:val="26"/>
          <w:szCs w:val="26"/>
          <w:rtl/>
        </w:rPr>
        <w:t xml:space="preserve"> </w:t>
      </w:r>
      <w:hyperlink w:history="1">
        <w:r>
          <w:rPr>
            <w:rStyle w:val="Hyperlink"/>
            <w:rFonts w:hint="cs"/>
          </w:rPr>
          <w:t>https://www.gov.il/he/Departments/policies/ria_170222</w:t>
        </w:r>
      </w:hyperlink>
    </w:p>
    <w:p w14:paraId="79B94AAB" w14:textId="77777777" w:rsidR="00723165" w:rsidRPr="00723165" w:rsidRDefault="00723165" w:rsidP="0028277E">
      <w:pPr>
        <w:ind w:left="0"/>
        <w:rPr>
          <w:sz w:val="26"/>
          <w:szCs w:val="26"/>
          <w:rtl/>
        </w:rPr>
      </w:pPr>
    </w:p>
    <w:p w14:paraId="1C960269" w14:textId="77777777" w:rsidR="00723165" w:rsidRPr="00723165" w:rsidRDefault="00723165" w:rsidP="0028277E">
      <w:pPr>
        <w:ind w:left="0"/>
        <w:rPr>
          <w:sz w:val="26"/>
          <w:szCs w:val="26"/>
          <w:rtl/>
        </w:rPr>
      </w:pPr>
    </w:p>
    <w:p w14:paraId="6193C4CB" w14:textId="77777777" w:rsidR="002C2052" w:rsidRPr="004F21CA" w:rsidRDefault="002C2052" w:rsidP="00F24A78">
      <w:pPr>
        <w:pStyle w:val="4"/>
        <w:rPr>
          <w:sz w:val="26"/>
          <w:szCs w:val="26"/>
        </w:rPr>
      </w:pPr>
      <w:r w:rsidRPr="004F21CA">
        <w:rPr>
          <w:sz w:val="26"/>
          <w:szCs w:val="26"/>
          <w:rtl/>
        </w:rPr>
        <w:t xml:space="preserve">להלן נוסח טיוטת התקנות המוצעות: </w:t>
      </w:r>
    </w:p>
    <w:p w14:paraId="58E8E91C" w14:textId="77777777" w:rsidR="002C2052" w:rsidRPr="004F21CA" w:rsidRDefault="002C2052" w:rsidP="009D5FAA">
      <w:pPr>
        <w:pStyle w:val="HeadMitparsemetBaze"/>
        <w:keepNext w:val="0"/>
        <w:keepLines w:val="0"/>
        <w:pageBreakBefore w:val="0"/>
        <w:rPr>
          <w:rFonts w:ascii="David" w:hAnsi="David"/>
          <w:sz w:val="26"/>
          <w:rtl/>
        </w:rPr>
      </w:pPr>
      <w:r w:rsidRPr="004F21CA">
        <w:rPr>
          <w:rFonts w:ascii="David" w:hAnsi="David"/>
          <w:sz w:val="26"/>
          <w:rtl/>
        </w:rPr>
        <w:lastRenderedPageBreak/>
        <w:t>טיוטת תקנות מטעם משרד</w:t>
      </w:r>
      <w:r w:rsidR="009D5FAA" w:rsidRPr="004F21CA">
        <w:rPr>
          <w:rFonts w:ascii="David" w:hAnsi="David"/>
          <w:sz w:val="26"/>
          <w:rtl/>
        </w:rPr>
        <w:t xml:space="preserve"> החקלאות ופיתוח הכפר</w:t>
      </w:r>
      <w:r w:rsidRPr="004F21CA">
        <w:rPr>
          <w:rFonts w:ascii="David" w:hAnsi="David"/>
          <w:sz w:val="26"/>
          <w:rtl/>
        </w:rPr>
        <w:t xml:space="preserve">: </w:t>
      </w:r>
    </w:p>
    <w:p w14:paraId="7A43B14F" w14:textId="760FD0CB" w:rsidR="002C2052" w:rsidRPr="004F21CA" w:rsidRDefault="002C2052" w:rsidP="002963C3">
      <w:pPr>
        <w:pStyle w:val="HeadHatzaotHok"/>
        <w:keepNext w:val="0"/>
        <w:keepLines w:val="0"/>
        <w:rPr>
          <w:rFonts w:ascii="David" w:hAnsi="David"/>
          <w:sz w:val="26"/>
          <w:rtl/>
        </w:rPr>
      </w:pPr>
      <w:r w:rsidRPr="004F21CA">
        <w:rPr>
          <w:rFonts w:ascii="David" w:hAnsi="David"/>
          <w:sz w:val="26"/>
          <w:rtl/>
        </w:rPr>
        <w:t xml:space="preserve">טיוטת תקנות </w:t>
      </w:r>
      <w:r w:rsidR="009D5FAA" w:rsidRPr="004F21CA">
        <w:rPr>
          <w:rFonts w:ascii="David" w:hAnsi="David"/>
          <w:sz w:val="26"/>
          <w:rtl/>
        </w:rPr>
        <w:t>הגנת הצומח (יבוא צמחים, מ</w:t>
      </w:r>
      <w:r w:rsidR="00E9200F" w:rsidRPr="004F21CA">
        <w:rPr>
          <w:rFonts w:ascii="David" w:hAnsi="David"/>
          <w:sz w:val="26"/>
          <w:rtl/>
        </w:rPr>
        <w:t>וצרי צמחים, נגעים ואמצעי לוואי)</w:t>
      </w:r>
      <w:r w:rsidR="009D5FAA" w:rsidRPr="004F21CA">
        <w:rPr>
          <w:rFonts w:ascii="David" w:hAnsi="David"/>
          <w:sz w:val="26"/>
          <w:rtl/>
        </w:rPr>
        <w:t xml:space="preserve"> </w:t>
      </w:r>
      <w:r w:rsidR="00E9200F" w:rsidRPr="004F21CA">
        <w:rPr>
          <w:rFonts w:ascii="David" w:hAnsi="David"/>
          <w:sz w:val="26"/>
          <w:rtl/>
        </w:rPr>
        <w:t>(תיקון</w:t>
      </w:r>
      <w:r w:rsidR="00AA276C">
        <w:rPr>
          <w:rFonts w:ascii="David" w:hAnsi="David" w:hint="cs"/>
          <w:sz w:val="26"/>
          <w:rtl/>
        </w:rPr>
        <w:t xml:space="preserve"> מס' 1</w:t>
      </w:r>
      <w:r w:rsidR="00E9200F" w:rsidRPr="004F21CA">
        <w:rPr>
          <w:rFonts w:ascii="David" w:hAnsi="David"/>
          <w:sz w:val="26"/>
          <w:rtl/>
        </w:rPr>
        <w:t>),</w:t>
      </w:r>
      <w:r w:rsidR="009D5FAA" w:rsidRPr="004F21CA">
        <w:rPr>
          <w:rFonts w:ascii="David" w:hAnsi="David"/>
          <w:sz w:val="26"/>
          <w:rtl/>
        </w:rPr>
        <w:t xml:space="preserve"> </w:t>
      </w:r>
      <w:r w:rsidR="00E308D7" w:rsidRPr="004F21CA">
        <w:rPr>
          <w:rFonts w:ascii="David" w:hAnsi="David"/>
          <w:sz w:val="26"/>
          <w:rtl/>
        </w:rPr>
        <w:t>ה</w:t>
      </w:r>
      <w:r w:rsidR="009D5FAA" w:rsidRPr="004F21CA">
        <w:rPr>
          <w:rFonts w:ascii="David" w:hAnsi="David"/>
          <w:sz w:val="26"/>
          <w:rtl/>
        </w:rPr>
        <w:t>תשפ"ב-</w:t>
      </w:r>
      <w:r w:rsidR="002963C3" w:rsidRPr="004F21CA">
        <w:rPr>
          <w:rFonts w:ascii="David" w:hAnsi="David"/>
          <w:sz w:val="26"/>
          <w:rtl/>
        </w:rPr>
        <w:t>2022</w:t>
      </w:r>
      <w:r w:rsidR="009D5FAA" w:rsidRPr="004F21CA">
        <w:rPr>
          <w:rFonts w:ascii="David" w:hAnsi="David"/>
          <w:sz w:val="26"/>
          <w:rtl/>
        </w:rPr>
        <w:t xml:space="preserve"> </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5274"/>
      </w:tblGrid>
      <w:tr w:rsidR="002C2052" w:rsidRPr="004F21CA" w14:paraId="7F40B4CF" w14:textId="77777777" w:rsidTr="00337A6D">
        <w:trPr>
          <w:cantSplit/>
          <w:trHeight w:val="60"/>
        </w:trPr>
        <w:tc>
          <w:tcPr>
            <w:tcW w:w="1871" w:type="dxa"/>
          </w:tcPr>
          <w:p w14:paraId="11F6113F" w14:textId="77777777" w:rsidR="002C2052" w:rsidRPr="004F21CA" w:rsidRDefault="002C2052">
            <w:pPr>
              <w:pStyle w:val="TableSideHeading"/>
              <w:rPr>
                <w:rFonts w:ascii="David" w:hAnsi="David"/>
                <w:sz w:val="26"/>
                <w:rtl/>
              </w:rPr>
            </w:pPr>
          </w:p>
        </w:tc>
        <w:tc>
          <w:tcPr>
            <w:tcW w:w="624" w:type="dxa"/>
          </w:tcPr>
          <w:p w14:paraId="280066F2" w14:textId="77777777" w:rsidR="002C2052" w:rsidRPr="004F21CA" w:rsidRDefault="002C2052">
            <w:pPr>
              <w:pStyle w:val="TableText"/>
              <w:rPr>
                <w:rFonts w:ascii="David" w:hAnsi="David"/>
                <w:sz w:val="26"/>
              </w:rPr>
            </w:pPr>
          </w:p>
        </w:tc>
        <w:tc>
          <w:tcPr>
            <w:tcW w:w="7146" w:type="dxa"/>
            <w:gridSpan w:val="4"/>
            <w:hideMark/>
          </w:tcPr>
          <w:p w14:paraId="0EC03868" w14:textId="7B903D25" w:rsidR="009630E3" w:rsidRPr="004F21CA" w:rsidRDefault="002C2052" w:rsidP="0028277E">
            <w:pPr>
              <w:pStyle w:val="TableBlock"/>
              <w:rPr>
                <w:rFonts w:ascii="David" w:hAnsi="David"/>
                <w:sz w:val="26"/>
              </w:rPr>
            </w:pPr>
            <w:r w:rsidRPr="004F21CA">
              <w:rPr>
                <w:rFonts w:ascii="David" w:hAnsi="David"/>
                <w:sz w:val="26"/>
                <w:rtl/>
              </w:rPr>
              <w:t>בתוקף סמכותי לפי סעיפים</w:t>
            </w:r>
            <w:r w:rsidR="009D5FAA" w:rsidRPr="004F21CA">
              <w:rPr>
                <w:rFonts w:ascii="David" w:hAnsi="David"/>
                <w:sz w:val="26"/>
                <w:rtl/>
              </w:rPr>
              <w:t xml:space="preserve"> 2 </w:t>
            </w:r>
            <w:r w:rsidR="009630E3" w:rsidRPr="004F21CA">
              <w:rPr>
                <w:rFonts w:ascii="David" w:hAnsi="David"/>
                <w:sz w:val="26"/>
                <w:rtl/>
              </w:rPr>
              <w:t xml:space="preserve">ו-8 </w:t>
            </w:r>
            <w:r w:rsidRPr="004F21CA">
              <w:rPr>
                <w:rFonts w:ascii="David" w:hAnsi="David"/>
                <w:sz w:val="26"/>
                <w:rtl/>
              </w:rPr>
              <w:t>לחוק</w:t>
            </w:r>
            <w:r w:rsidR="009D5FAA" w:rsidRPr="004F21CA">
              <w:rPr>
                <w:rFonts w:ascii="David" w:hAnsi="David"/>
                <w:sz w:val="26"/>
                <w:rtl/>
              </w:rPr>
              <w:t xml:space="preserve"> הגנת הצומח, התשט"ז-1956</w:t>
            </w:r>
            <w:r w:rsidR="00DD6D49" w:rsidRPr="004F21CA">
              <w:rPr>
                <w:rStyle w:val="a7"/>
                <w:rFonts w:ascii="David" w:hAnsi="David"/>
                <w:sz w:val="26"/>
                <w:rtl/>
              </w:rPr>
              <w:footnoteReference w:id="1"/>
            </w:r>
            <w:r w:rsidR="009D5FAA" w:rsidRPr="004F21CA">
              <w:rPr>
                <w:rFonts w:ascii="David" w:hAnsi="David"/>
                <w:sz w:val="26"/>
                <w:rtl/>
              </w:rPr>
              <w:t xml:space="preserve"> </w:t>
            </w:r>
            <w:r w:rsidR="005E503B" w:rsidRPr="004F21CA">
              <w:rPr>
                <w:rFonts w:ascii="David" w:hAnsi="David"/>
                <w:sz w:val="26"/>
                <w:rtl/>
              </w:rPr>
              <w:t>ובאישור ועדת הכלכלה של הכנסת</w:t>
            </w:r>
            <w:r w:rsidR="0026291F" w:rsidRPr="004F21CA">
              <w:rPr>
                <w:rFonts w:ascii="David" w:hAnsi="David"/>
                <w:sz w:val="26"/>
                <w:rtl/>
              </w:rPr>
              <w:t xml:space="preserve"> לפי </w:t>
            </w:r>
            <w:r w:rsidR="009D5FAA" w:rsidRPr="004F21CA">
              <w:rPr>
                <w:rFonts w:ascii="David" w:hAnsi="David"/>
                <w:sz w:val="26"/>
                <w:rtl/>
              </w:rPr>
              <w:t>סעיף 2(ב) לחוק העונשין, התשל"ז-1977,</w:t>
            </w:r>
            <w:r w:rsidRPr="004F21CA">
              <w:rPr>
                <w:rFonts w:ascii="David" w:hAnsi="David"/>
                <w:sz w:val="26"/>
                <w:rtl/>
              </w:rPr>
              <w:t xml:space="preserve"> אני מתקין תקנות אלה:</w:t>
            </w:r>
          </w:p>
        </w:tc>
      </w:tr>
      <w:tr w:rsidR="002C2052" w:rsidRPr="004F21CA" w14:paraId="2E7E60BA" w14:textId="77777777" w:rsidTr="00337A6D">
        <w:trPr>
          <w:cantSplit/>
          <w:trHeight w:val="60"/>
        </w:trPr>
        <w:tc>
          <w:tcPr>
            <w:tcW w:w="1871" w:type="dxa"/>
          </w:tcPr>
          <w:p w14:paraId="706570E4" w14:textId="77777777" w:rsidR="002C2052" w:rsidRPr="004F21CA" w:rsidRDefault="002C2052">
            <w:pPr>
              <w:pStyle w:val="TableSideHeading"/>
              <w:rPr>
                <w:rFonts w:ascii="David" w:hAnsi="David"/>
                <w:sz w:val="26"/>
              </w:rPr>
            </w:pPr>
          </w:p>
        </w:tc>
        <w:tc>
          <w:tcPr>
            <w:tcW w:w="624" w:type="dxa"/>
          </w:tcPr>
          <w:p w14:paraId="7EA8D93B" w14:textId="77777777" w:rsidR="002C2052" w:rsidRPr="004F21CA" w:rsidRDefault="002C2052">
            <w:pPr>
              <w:pStyle w:val="TableText"/>
              <w:rPr>
                <w:rFonts w:ascii="David" w:hAnsi="David"/>
                <w:sz w:val="26"/>
              </w:rPr>
            </w:pPr>
          </w:p>
        </w:tc>
        <w:tc>
          <w:tcPr>
            <w:tcW w:w="7146" w:type="dxa"/>
            <w:gridSpan w:val="4"/>
          </w:tcPr>
          <w:p w14:paraId="2EA296C2" w14:textId="77777777" w:rsidR="002C2052" w:rsidRPr="004F21CA" w:rsidRDefault="002C2052">
            <w:pPr>
              <w:pStyle w:val="TableHead"/>
              <w:rPr>
                <w:rFonts w:ascii="David" w:hAnsi="David"/>
                <w:sz w:val="26"/>
              </w:rPr>
            </w:pPr>
          </w:p>
        </w:tc>
      </w:tr>
      <w:tr w:rsidR="002C2052" w:rsidRPr="004F21CA" w14:paraId="2C840299" w14:textId="77777777" w:rsidTr="00337A6D">
        <w:trPr>
          <w:cantSplit/>
          <w:trHeight w:val="60"/>
        </w:trPr>
        <w:tc>
          <w:tcPr>
            <w:tcW w:w="1871" w:type="dxa"/>
          </w:tcPr>
          <w:p w14:paraId="415187A7" w14:textId="77777777" w:rsidR="002C2052" w:rsidRPr="004F21CA" w:rsidRDefault="00E308D7">
            <w:pPr>
              <w:pStyle w:val="TableSideHeading"/>
              <w:rPr>
                <w:rFonts w:ascii="David" w:hAnsi="David"/>
                <w:sz w:val="26"/>
              </w:rPr>
            </w:pPr>
            <w:r w:rsidRPr="004F21CA">
              <w:rPr>
                <w:rFonts w:ascii="David" w:hAnsi="David"/>
                <w:sz w:val="26"/>
                <w:rtl/>
              </w:rPr>
              <w:t>תיקון תקנה 1</w:t>
            </w:r>
          </w:p>
        </w:tc>
        <w:tc>
          <w:tcPr>
            <w:tcW w:w="624" w:type="dxa"/>
          </w:tcPr>
          <w:p w14:paraId="6FCDE177" w14:textId="77777777" w:rsidR="002C2052" w:rsidRPr="004F21CA" w:rsidRDefault="002C2052" w:rsidP="002C2052">
            <w:pPr>
              <w:pStyle w:val="TableText"/>
              <w:numPr>
                <w:ilvl w:val="0"/>
                <w:numId w:val="2"/>
              </w:numPr>
              <w:rPr>
                <w:rFonts w:ascii="David" w:hAnsi="David"/>
                <w:sz w:val="26"/>
              </w:rPr>
            </w:pPr>
          </w:p>
        </w:tc>
        <w:tc>
          <w:tcPr>
            <w:tcW w:w="7146" w:type="dxa"/>
            <w:gridSpan w:val="4"/>
          </w:tcPr>
          <w:p w14:paraId="484F7D3A" w14:textId="532FCA5C" w:rsidR="002C2052" w:rsidRPr="004F21CA" w:rsidRDefault="00E308D7" w:rsidP="00337A6D">
            <w:pPr>
              <w:pStyle w:val="TableBlock"/>
              <w:rPr>
                <w:rFonts w:ascii="David" w:hAnsi="David"/>
                <w:sz w:val="26"/>
                <w:rtl/>
              </w:rPr>
            </w:pPr>
            <w:r w:rsidRPr="004F21CA">
              <w:rPr>
                <w:rFonts w:ascii="David" w:hAnsi="David"/>
                <w:sz w:val="26"/>
                <w:rtl/>
              </w:rPr>
              <w:t>בתקנות</w:t>
            </w:r>
            <w:r w:rsidR="0047056D" w:rsidRPr="004F21CA">
              <w:rPr>
                <w:rFonts w:ascii="David" w:hAnsi="David"/>
                <w:sz w:val="26"/>
                <w:rtl/>
              </w:rPr>
              <w:t xml:space="preserve"> הגנת הצומח (יבוא צמחים, מוצרי צמחים, נגעים ואמצעי לוואי), התשס"ט-2009</w:t>
            </w:r>
            <w:r w:rsidR="0047056D" w:rsidRPr="004F21CA">
              <w:rPr>
                <w:rStyle w:val="a7"/>
                <w:rFonts w:ascii="David" w:hAnsi="David"/>
                <w:sz w:val="26"/>
                <w:rtl/>
              </w:rPr>
              <w:footnoteReference w:id="2"/>
            </w:r>
            <w:r w:rsidR="0047056D" w:rsidRPr="004F21CA">
              <w:rPr>
                <w:rFonts w:ascii="David" w:hAnsi="David"/>
                <w:sz w:val="26"/>
                <w:rtl/>
              </w:rPr>
              <w:t xml:space="preserve"> (להלן – התקנות העיקריות)</w:t>
            </w:r>
            <w:r w:rsidRPr="004F21CA">
              <w:rPr>
                <w:rFonts w:ascii="David" w:hAnsi="David"/>
                <w:sz w:val="26"/>
                <w:rtl/>
              </w:rPr>
              <w:t>, בתקנה 1</w:t>
            </w:r>
            <w:r w:rsidR="00337A6D" w:rsidRPr="004F21CA">
              <w:rPr>
                <w:rFonts w:ascii="David" w:hAnsi="David"/>
                <w:sz w:val="26"/>
                <w:rtl/>
              </w:rPr>
              <w:t xml:space="preserve"> </w:t>
            </w:r>
            <w:r w:rsidR="0047056D" w:rsidRPr="004F21CA">
              <w:rPr>
                <w:rFonts w:ascii="David" w:hAnsi="David"/>
                <w:sz w:val="26"/>
                <w:rtl/>
              </w:rPr>
              <w:t xml:space="preserve"> </w:t>
            </w:r>
          </w:p>
        </w:tc>
      </w:tr>
      <w:tr w:rsidR="003C29D7" w:rsidRPr="004F21CA" w14:paraId="4468BCB6" w14:textId="77777777">
        <w:trPr>
          <w:cantSplit/>
          <w:trHeight w:val="60"/>
        </w:trPr>
        <w:tc>
          <w:tcPr>
            <w:tcW w:w="1871" w:type="dxa"/>
          </w:tcPr>
          <w:p w14:paraId="35DB57D2" w14:textId="77777777" w:rsidR="003C29D7" w:rsidRPr="004F21CA" w:rsidRDefault="003C29D7">
            <w:pPr>
              <w:pStyle w:val="TableSideHeading"/>
              <w:rPr>
                <w:rFonts w:ascii="David" w:hAnsi="David"/>
                <w:sz w:val="26"/>
              </w:rPr>
            </w:pPr>
          </w:p>
        </w:tc>
        <w:tc>
          <w:tcPr>
            <w:tcW w:w="624" w:type="dxa"/>
          </w:tcPr>
          <w:p w14:paraId="3AC4E410" w14:textId="77777777" w:rsidR="003C29D7" w:rsidRPr="004F21CA" w:rsidRDefault="003C29D7">
            <w:pPr>
              <w:pStyle w:val="TableText"/>
              <w:rPr>
                <w:rFonts w:ascii="David" w:hAnsi="David"/>
                <w:sz w:val="26"/>
              </w:rPr>
            </w:pPr>
          </w:p>
        </w:tc>
        <w:tc>
          <w:tcPr>
            <w:tcW w:w="624" w:type="dxa"/>
          </w:tcPr>
          <w:p w14:paraId="2E6E0C4F" w14:textId="77777777" w:rsidR="003C29D7" w:rsidRPr="004F21CA" w:rsidRDefault="003C29D7" w:rsidP="003C29D7">
            <w:pPr>
              <w:pStyle w:val="TableText"/>
              <w:numPr>
                <w:ilvl w:val="0"/>
                <w:numId w:val="35"/>
              </w:numPr>
              <w:tabs>
                <w:tab w:val="left" w:pos="624"/>
              </w:tabs>
              <w:jc w:val="both"/>
              <w:rPr>
                <w:rFonts w:ascii="David" w:hAnsi="David"/>
                <w:sz w:val="26"/>
              </w:rPr>
            </w:pPr>
          </w:p>
        </w:tc>
        <w:tc>
          <w:tcPr>
            <w:tcW w:w="6522" w:type="dxa"/>
            <w:gridSpan w:val="3"/>
          </w:tcPr>
          <w:p w14:paraId="4EDB0C03" w14:textId="5CFC15A5" w:rsidR="003C29D7" w:rsidRPr="004F21CA" w:rsidRDefault="003C29D7">
            <w:pPr>
              <w:pStyle w:val="TableBlock"/>
              <w:rPr>
                <w:rFonts w:ascii="David" w:hAnsi="David"/>
                <w:sz w:val="26"/>
              </w:rPr>
            </w:pPr>
            <w:r w:rsidRPr="004F21CA">
              <w:rPr>
                <w:rFonts w:ascii="David" w:hAnsi="David"/>
                <w:sz w:val="26"/>
                <w:rtl/>
              </w:rPr>
              <w:t xml:space="preserve">בהגדרה "ארצות אירופה", אחרי המילה "הולנד," יבוא - </w:t>
            </w:r>
          </w:p>
        </w:tc>
      </w:tr>
      <w:tr w:rsidR="003C29D7" w:rsidRPr="004F21CA" w14:paraId="2E8AEB58" w14:textId="77777777">
        <w:trPr>
          <w:cantSplit/>
          <w:trHeight w:val="60"/>
        </w:trPr>
        <w:tc>
          <w:tcPr>
            <w:tcW w:w="1871" w:type="dxa"/>
          </w:tcPr>
          <w:p w14:paraId="4DD74976" w14:textId="77777777" w:rsidR="003C29D7" w:rsidRPr="004F21CA" w:rsidRDefault="003C29D7">
            <w:pPr>
              <w:pStyle w:val="TableSideHeading"/>
              <w:rPr>
                <w:rFonts w:ascii="David" w:hAnsi="David"/>
                <w:sz w:val="26"/>
              </w:rPr>
            </w:pPr>
          </w:p>
        </w:tc>
        <w:tc>
          <w:tcPr>
            <w:tcW w:w="624" w:type="dxa"/>
          </w:tcPr>
          <w:p w14:paraId="572A0AA2" w14:textId="77777777" w:rsidR="003C29D7" w:rsidRPr="004F21CA" w:rsidRDefault="003C29D7">
            <w:pPr>
              <w:pStyle w:val="TableText"/>
              <w:rPr>
                <w:rFonts w:ascii="David" w:hAnsi="David"/>
                <w:sz w:val="26"/>
              </w:rPr>
            </w:pPr>
          </w:p>
        </w:tc>
        <w:tc>
          <w:tcPr>
            <w:tcW w:w="624" w:type="dxa"/>
          </w:tcPr>
          <w:p w14:paraId="02E6CFBB" w14:textId="77777777" w:rsidR="003C29D7" w:rsidRPr="004F21CA" w:rsidRDefault="003C29D7">
            <w:pPr>
              <w:pStyle w:val="TableText"/>
              <w:rPr>
                <w:rFonts w:ascii="David" w:hAnsi="David"/>
                <w:sz w:val="26"/>
              </w:rPr>
            </w:pPr>
          </w:p>
        </w:tc>
        <w:tc>
          <w:tcPr>
            <w:tcW w:w="624" w:type="dxa"/>
          </w:tcPr>
          <w:p w14:paraId="6BBBFB78" w14:textId="77777777" w:rsidR="003C29D7" w:rsidRPr="004F21CA" w:rsidRDefault="003C29D7">
            <w:pPr>
              <w:pStyle w:val="TableText"/>
              <w:rPr>
                <w:rFonts w:ascii="David" w:hAnsi="David"/>
                <w:sz w:val="26"/>
              </w:rPr>
            </w:pPr>
          </w:p>
        </w:tc>
        <w:tc>
          <w:tcPr>
            <w:tcW w:w="5898" w:type="dxa"/>
            <w:gridSpan w:val="2"/>
          </w:tcPr>
          <w:p w14:paraId="25AB0FD3" w14:textId="6ECBCA6E" w:rsidR="003C29D7" w:rsidRPr="004F21CA" w:rsidRDefault="003C29D7">
            <w:pPr>
              <w:pStyle w:val="TableBlock"/>
              <w:rPr>
                <w:rFonts w:ascii="David" w:hAnsi="David"/>
                <w:sz w:val="26"/>
              </w:rPr>
            </w:pPr>
            <w:r w:rsidRPr="004F21CA">
              <w:rPr>
                <w:rFonts w:ascii="David" w:hAnsi="David"/>
                <w:sz w:val="26"/>
                <w:rtl/>
              </w:rPr>
              <w:t>"</w:t>
            </w:r>
            <w:r w:rsidR="004854F9" w:rsidRPr="004F21CA">
              <w:rPr>
                <w:rFonts w:ascii="David" w:hAnsi="David"/>
                <w:sz w:val="26"/>
                <w:rtl/>
              </w:rPr>
              <w:t xml:space="preserve">הונגריה, </w:t>
            </w:r>
            <w:r w:rsidRPr="004F21CA">
              <w:rPr>
                <w:rFonts w:ascii="David" w:hAnsi="David"/>
                <w:sz w:val="26"/>
                <w:rtl/>
              </w:rPr>
              <w:t>יוון,</w:t>
            </w:r>
            <w:r w:rsidR="004854F9" w:rsidRPr="004F21CA">
              <w:rPr>
                <w:rFonts w:ascii="David" w:hAnsi="David"/>
                <w:sz w:val="26"/>
                <w:rtl/>
              </w:rPr>
              <w:t xml:space="preserve"> קפריסין</w:t>
            </w:r>
            <w:r w:rsidRPr="004F21CA">
              <w:rPr>
                <w:rFonts w:ascii="David" w:hAnsi="David"/>
                <w:sz w:val="26"/>
                <w:rtl/>
              </w:rPr>
              <w:t xml:space="preserve">"; </w:t>
            </w:r>
          </w:p>
        </w:tc>
      </w:tr>
      <w:tr w:rsidR="00337A6D" w:rsidRPr="004F21CA" w14:paraId="174BF5B3" w14:textId="77777777" w:rsidTr="00337A6D">
        <w:trPr>
          <w:cantSplit/>
          <w:trHeight w:val="60"/>
        </w:trPr>
        <w:tc>
          <w:tcPr>
            <w:tcW w:w="1871" w:type="dxa"/>
          </w:tcPr>
          <w:p w14:paraId="5DED84F1" w14:textId="77777777" w:rsidR="00337A6D" w:rsidRPr="004F21CA" w:rsidRDefault="00337A6D">
            <w:pPr>
              <w:pStyle w:val="TableSideHeading"/>
              <w:rPr>
                <w:rFonts w:ascii="David" w:hAnsi="David"/>
                <w:sz w:val="26"/>
              </w:rPr>
            </w:pPr>
          </w:p>
        </w:tc>
        <w:tc>
          <w:tcPr>
            <w:tcW w:w="624" w:type="dxa"/>
          </w:tcPr>
          <w:p w14:paraId="7C11FD98" w14:textId="77777777" w:rsidR="00337A6D" w:rsidRPr="004F21CA" w:rsidRDefault="00337A6D">
            <w:pPr>
              <w:pStyle w:val="TableText"/>
              <w:rPr>
                <w:rFonts w:ascii="David" w:hAnsi="David"/>
                <w:sz w:val="26"/>
              </w:rPr>
            </w:pPr>
          </w:p>
        </w:tc>
        <w:tc>
          <w:tcPr>
            <w:tcW w:w="624" w:type="dxa"/>
          </w:tcPr>
          <w:p w14:paraId="593AAD93" w14:textId="77777777" w:rsidR="00337A6D" w:rsidRPr="004F21CA" w:rsidRDefault="00337A6D" w:rsidP="003C29D7">
            <w:pPr>
              <w:pStyle w:val="TableText"/>
              <w:numPr>
                <w:ilvl w:val="0"/>
                <w:numId w:val="35"/>
              </w:numPr>
              <w:tabs>
                <w:tab w:val="left" w:pos="624"/>
              </w:tabs>
              <w:jc w:val="both"/>
              <w:rPr>
                <w:rFonts w:ascii="David" w:hAnsi="David"/>
                <w:sz w:val="26"/>
              </w:rPr>
            </w:pPr>
          </w:p>
        </w:tc>
        <w:tc>
          <w:tcPr>
            <w:tcW w:w="6522" w:type="dxa"/>
            <w:gridSpan w:val="3"/>
          </w:tcPr>
          <w:p w14:paraId="3B21B5E5" w14:textId="666BA6B9" w:rsidR="00337A6D" w:rsidRPr="004F21CA" w:rsidRDefault="00337A6D">
            <w:pPr>
              <w:pStyle w:val="TableBlock"/>
              <w:rPr>
                <w:rFonts w:ascii="David" w:hAnsi="David"/>
                <w:sz w:val="26"/>
              </w:rPr>
            </w:pPr>
            <w:r w:rsidRPr="004F21CA">
              <w:rPr>
                <w:rFonts w:ascii="David" w:hAnsi="David"/>
                <w:sz w:val="26"/>
                <w:rtl/>
              </w:rPr>
              <w:t xml:space="preserve">אחרי ההגדרה "ארצות אירופה" יבוא - </w:t>
            </w:r>
          </w:p>
        </w:tc>
      </w:tr>
      <w:tr w:rsidR="00337A6D" w:rsidRPr="004F21CA" w14:paraId="6DA71367" w14:textId="77777777" w:rsidTr="00337A6D">
        <w:trPr>
          <w:cantSplit/>
          <w:trHeight w:val="60"/>
        </w:trPr>
        <w:tc>
          <w:tcPr>
            <w:tcW w:w="1871" w:type="dxa"/>
          </w:tcPr>
          <w:p w14:paraId="4AE7FCD8" w14:textId="77777777" w:rsidR="00337A6D" w:rsidRPr="004F21CA" w:rsidRDefault="00337A6D">
            <w:pPr>
              <w:pStyle w:val="TableSideHeading"/>
              <w:rPr>
                <w:rFonts w:ascii="David" w:hAnsi="David"/>
                <w:sz w:val="26"/>
              </w:rPr>
            </w:pPr>
          </w:p>
        </w:tc>
        <w:tc>
          <w:tcPr>
            <w:tcW w:w="624" w:type="dxa"/>
          </w:tcPr>
          <w:p w14:paraId="40DBCB0D" w14:textId="77777777" w:rsidR="00337A6D" w:rsidRPr="004F21CA" w:rsidRDefault="00337A6D">
            <w:pPr>
              <w:pStyle w:val="TableText"/>
              <w:rPr>
                <w:rFonts w:ascii="David" w:hAnsi="David"/>
                <w:sz w:val="26"/>
              </w:rPr>
            </w:pPr>
          </w:p>
        </w:tc>
        <w:tc>
          <w:tcPr>
            <w:tcW w:w="624" w:type="dxa"/>
          </w:tcPr>
          <w:p w14:paraId="4B0990BB" w14:textId="77777777" w:rsidR="00337A6D" w:rsidRPr="004F21CA" w:rsidRDefault="00337A6D">
            <w:pPr>
              <w:pStyle w:val="TableText"/>
              <w:rPr>
                <w:rFonts w:ascii="David" w:hAnsi="David"/>
                <w:sz w:val="26"/>
              </w:rPr>
            </w:pPr>
          </w:p>
        </w:tc>
        <w:tc>
          <w:tcPr>
            <w:tcW w:w="624" w:type="dxa"/>
          </w:tcPr>
          <w:p w14:paraId="49023C10" w14:textId="77777777" w:rsidR="00337A6D" w:rsidRPr="004F21CA" w:rsidRDefault="00337A6D">
            <w:pPr>
              <w:pStyle w:val="TableText"/>
              <w:rPr>
                <w:rFonts w:ascii="David" w:hAnsi="David"/>
                <w:sz w:val="26"/>
              </w:rPr>
            </w:pPr>
          </w:p>
        </w:tc>
        <w:tc>
          <w:tcPr>
            <w:tcW w:w="5898" w:type="dxa"/>
            <w:gridSpan w:val="2"/>
          </w:tcPr>
          <w:p w14:paraId="75C6FB64" w14:textId="74F130AE" w:rsidR="00337A6D" w:rsidRPr="004F21CA" w:rsidRDefault="00337A6D">
            <w:pPr>
              <w:pStyle w:val="TableBlock"/>
              <w:rPr>
                <w:rFonts w:ascii="David" w:hAnsi="David"/>
                <w:sz w:val="26"/>
              </w:rPr>
            </w:pPr>
            <w:r w:rsidRPr="004F21CA">
              <w:rPr>
                <w:rFonts w:ascii="David" w:hAnsi="David"/>
                <w:sz w:val="26"/>
                <w:rtl/>
              </w:rPr>
              <w:t>""אתר האינטרנט" – אתר האינטרנט של משרד החקלאות;".</w:t>
            </w:r>
          </w:p>
        </w:tc>
      </w:tr>
      <w:tr w:rsidR="00FF0EE7" w:rsidRPr="004F21CA" w14:paraId="0D0FE441" w14:textId="77777777" w:rsidTr="00337A6D">
        <w:trPr>
          <w:cantSplit/>
          <w:trHeight w:val="60"/>
        </w:trPr>
        <w:tc>
          <w:tcPr>
            <w:tcW w:w="1871" w:type="dxa"/>
          </w:tcPr>
          <w:p w14:paraId="49773D23" w14:textId="77777777" w:rsidR="00FF0EE7" w:rsidRPr="004F21CA" w:rsidRDefault="00FF0EE7">
            <w:pPr>
              <w:pStyle w:val="TableSideHeading"/>
              <w:rPr>
                <w:rFonts w:ascii="David" w:hAnsi="David"/>
                <w:sz w:val="26"/>
              </w:rPr>
            </w:pPr>
          </w:p>
        </w:tc>
        <w:tc>
          <w:tcPr>
            <w:tcW w:w="624" w:type="dxa"/>
          </w:tcPr>
          <w:p w14:paraId="7E714F1D" w14:textId="77777777" w:rsidR="00FF0EE7" w:rsidRPr="004F21CA" w:rsidRDefault="00FF0EE7">
            <w:pPr>
              <w:pStyle w:val="TableText"/>
              <w:rPr>
                <w:rFonts w:ascii="David" w:hAnsi="David"/>
                <w:sz w:val="26"/>
              </w:rPr>
            </w:pPr>
          </w:p>
        </w:tc>
        <w:tc>
          <w:tcPr>
            <w:tcW w:w="624" w:type="dxa"/>
          </w:tcPr>
          <w:p w14:paraId="5BF515DA" w14:textId="77777777" w:rsidR="00FF0EE7" w:rsidRPr="004F21CA" w:rsidRDefault="00FF0EE7">
            <w:pPr>
              <w:pStyle w:val="TableText"/>
              <w:numPr>
                <w:ilvl w:val="0"/>
                <w:numId w:val="35"/>
              </w:numPr>
              <w:tabs>
                <w:tab w:val="left" w:pos="624"/>
              </w:tabs>
              <w:jc w:val="both"/>
              <w:rPr>
                <w:rFonts w:ascii="David" w:hAnsi="David"/>
                <w:sz w:val="26"/>
              </w:rPr>
            </w:pPr>
          </w:p>
        </w:tc>
        <w:tc>
          <w:tcPr>
            <w:tcW w:w="6522" w:type="dxa"/>
            <w:gridSpan w:val="3"/>
          </w:tcPr>
          <w:p w14:paraId="64543205" w14:textId="29B9F983" w:rsidR="00FF0EE7" w:rsidRPr="004F21CA" w:rsidRDefault="00FF0EE7">
            <w:pPr>
              <w:pStyle w:val="TableBlock"/>
              <w:rPr>
                <w:rFonts w:ascii="David" w:hAnsi="David"/>
                <w:sz w:val="26"/>
                <w:rtl/>
              </w:rPr>
            </w:pPr>
            <w:r w:rsidRPr="004F21CA">
              <w:rPr>
                <w:rFonts w:ascii="David" w:hAnsi="David"/>
                <w:sz w:val="26"/>
                <w:rtl/>
              </w:rPr>
              <w:t>אחרי ההגדרה "הסכם בין-לאומי בדבר צעדים בתברואה והגנת הצומח" יבוא</w:t>
            </w:r>
            <w:r w:rsidR="00A17836">
              <w:rPr>
                <w:rFonts w:ascii="David" w:hAnsi="David" w:hint="cs"/>
                <w:sz w:val="26"/>
                <w:rtl/>
              </w:rPr>
              <w:t xml:space="preserve">  - </w:t>
            </w:r>
          </w:p>
        </w:tc>
      </w:tr>
      <w:tr w:rsidR="00FF0EE7" w:rsidRPr="004F21CA" w14:paraId="0C33495B" w14:textId="77777777" w:rsidTr="00337A6D">
        <w:trPr>
          <w:cantSplit/>
          <w:trHeight w:val="60"/>
        </w:trPr>
        <w:tc>
          <w:tcPr>
            <w:tcW w:w="1871" w:type="dxa"/>
          </w:tcPr>
          <w:p w14:paraId="3F3CEA0E" w14:textId="77777777" w:rsidR="00FF0EE7" w:rsidRPr="004F21CA" w:rsidRDefault="00FF0EE7">
            <w:pPr>
              <w:pStyle w:val="TableSideHeading"/>
              <w:rPr>
                <w:rFonts w:ascii="David" w:hAnsi="David"/>
                <w:sz w:val="26"/>
              </w:rPr>
            </w:pPr>
          </w:p>
        </w:tc>
        <w:tc>
          <w:tcPr>
            <w:tcW w:w="624" w:type="dxa"/>
          </w:tcPr>
          <w:p w14:paraId="1EEBE80A" w14:textId="77777777" w:rsidR="00FF0EE7" w:rsidRPr="004F21CA" w:rsidRDefault="00FF0EE7">
            <w:pPr>
              <w:pStyle w:val="TableText"/>
              <w:rPr>
                <w:rFonts w:ascii="David" w:hAnsi="David"/>
                <w:sz w:val="26"/>
              </w:rPr>
            </w:pPr>
          </w:p>
        </w:tc>
        <w:tc>
          <w:tcPr>
            <w:tcW w:w="624" w:type="dxa"/>
          </w:tcPr>
          <w:p w14:paraId="5B319003" w14:textId="77777777" w:rsidR="00FF0EE7" w:rsidRPr="004F21CA" w:rsidRDefault="00FF0EE7" w:rsidP="00436A04">
            <w:pPr>
              <w:pStyle w:val="TableText"/>
              <w:tabs>
                <w:tab w:val="clear" w:pos="624"/>
              </w:tabs>
              <w:jc w:val="both"/>
              <w:rPr>
                <w:rFonts w:ascii="David" w:hAnsi="David"/>
                <w:sz w:val="26"/>
              </w:rPr>
            </w:pPr>
          </w:p>
        </w:tc>
        <w:tc>
          <w:tcPr>
            <w:tcW w:w="6522" w:type="dxa"/>
            <w:gridSpan w:val="3"/>
          </w:tcPr>
          <w:p w14:paraId="176EAEC4" w14:textId="62E7B0CB" w:rsidR="00FF0EE7" w:rsidRPr="004F21CA" w:rsidRDefault="00FF0EE7" w:rsidP="00FF0EE7">
            <w:pPr>
              <w:pStyle w:val="TableBlock"/>
              <w:rPr>
                <w:rFonts w:ascii="David" w:hAnsi="David"/>
                <w:sz w:val="26"/>
                <w:rtl/>
              </w:rPr>
            </w:pPr>
            <w:r w:rsidRPr="004F21CA">
              <w:rPr>
                <w:rFonts w:ascii="David" w:hAnsi="David"/>
                <w:sz w:val="26"/>
                <w:rtl/>
              </w:rPr>
              <w:t>""השר" – שר החקלאות ופיתוח הכפר;".</w:t>
            </w:r>
          </w:p>
        </w:tc>
      </w:tr>
      <w:tr w:rsidR="00A17836" w14:paraId="726EFEA6" w14:textId="77777777">
        <w:trPr>
          <w:cantSplit/>
          <w:trHeight w:val="60"/>
        </w:trPr>
        <w:tc>
          <w:tcPr>
            <w:tcW w:w="1871" w:type="dxa"/>
          </w:tcPr>
          <w:p w14:paraId="5EA5E856" w14:textId="77777777" w:rsidR="00A17836" w:rsidRDefault="00A17836">
            <w:pPr>
              <w:pStyle w:val="TableSideHeading"/>
            </w:pPr>
          </w:p>
        </w:tc>
        <w:tc>
          <w:tcPr>
            <w:tcW w:w="624" w:type="dxa"/>
          </w:tcPr>
          <w:p w14:paraId="1DCF0B9A" w14:textId="77777777" w:rsidR="00A17836" w:rsidRDefault="00A17836">
            <w:pPr>
              <w:pStyle w:val="TableText"/>
            </w:pPr>
          </w:p>
        </w:tc>
        <w:tc>
          <w:tcPr>
            <w:tcW w:w="624" w:type="dxa"/>
          </w:tcPr>
          <w:p w14:paraId="2AFCDD0D" w14:textId="7D27A479" w:rsidR="00A17836" w:rsidRDefault="00A17836">
            <w:pPr>
              <w:pStyle w:val="TableText"/>
            </w:pPr>
            <w:r>
              <w:rPr>
                <w:rFonts w:hint="cs"/>
                <w:rtl/>
              </w:rPr>
              <w:t>(4)</w:t>
            </w:r>
          </w:p>
        </w:tc>
        <w:tc>
          <w:tcPr>
            <w:tcW w:w="6522" w:type="dxa"/>
            <w:gridSpan w:val="3"/>
          </w:tcPr>
          <w:p w14:paraId="41B907DA" w14:textId="212ED139" w:rsidR="00A17836" w:rsidRDefault="00A17836" w:rsidP="00A17836">
            <w:pPr>
              <w:pStyle w:val="TableBlock"/>
            </w:pPr>
            <w:r>
              <w:rPr>
                <w:rFonts w:hint="cs"/>
                <w:rtl/>
              </w:rPr>
              <w:t>בהגדרה "תעודת בריאות", בסופה יבוא "</w:t>
            </w:r>
            <w:r w:rsidRPr="00A17836">
              <w:rPr>
                <w:rFonts w:hint="cs"/>
                <w:rtl/>
              </w:rPr>
              <w:t>המודפסת על גבי ניר או גרסה אלקטרונית רשמית שוות ערך לה</w:t>
            </w:r>
            <w:r>
              <w:rPr>
                <w:rFonts w:hint="cs"/>
                <w:rtl/>
              </w:rPr>
              <w:t>".</w:t>
            </w:r>
          </w:p>
        </w:tc>
      </w:tr>
      <w:tr w:rsidR="00E308D7" w:rsidRPr="004F21CA" w14:paraId="0902F31C" w14:textId="77777777" w:rsidTr="00337A6D">
        <w:trPr>
          <w:cantSplit/>
          <w:trHeight w:val="60"/>
        </w:trPr>
        <w:tc>
          <w:tcPr>
            <w:tcW w:w="1871" w:type="dxa"/>
          </w:tcPr>
          <w:p w14:paraId="5AD3486C" w14:textId="77777777" w:rsidR="00E308D7" w:rsidRPr="004F21CA" w:rsidRDefault="00E308D7">
            <w:pPr>
              <w:pStyle w:val="TableSideHeading"/>
              <w:rPr>
                <w:rFonts w:ascii="David" w:hAnsi="David"/>
                <w:sz w:val="26"/>
              </w:rPr>
            </w:pPr>
            <w:r w:rsidRPr="004F21CA">
              <w:rPr>
                <w:rFonts w:ascii="David" w:hAnsi="David"/>
                <w:sz w:val="26"/>
                <w:rtl/>
              </w:rPr>
              <w:t xml:space="preserve">תיקון תקנה 2 </w:t>
            </w:r>
          </w:p>
        </w:tc>
        <w:tc>
          <w:tcPr>
            <w:tcW w:w="624" w:type="dxa"/>
          </w:tcPr>
          <w:p w14:paraId="768E3B30" w14:textId="77777777" w:rsidR="00E308D7" w:rsidRPr="004F21CA" w:rsidRDefault="00E308D7" w:rsidP="00E308D7">
            <w:pPr>
              <w:pStyle w:val="TableText"/>
              <w:numPr>
                <w:ilvl w:val="0"/>
                <w:numId w:val="2"/>
              </w:numPr>
              <w:rPr>
                <w:rFonts w:ascii="David" w:hAnsi="David"/>
                <w:sz w:val="26"/>
              </w:rPr>
            </w:pPr>
          </w:p>
        </w:tc>
        <w:tc>
          <w:tcPr>
            <w:tcW w:w="7146" w:type="dxa"/>
            <w:gridSpan w:val="4"/>
          </w:tcPr>
          <w:p w14:paraId="4981861D" w14:textId="2CD85F23" w:rsidR="00E308D7" w:rsidRPr="004F21CA" w:rsidRDefault="00E308D7" w:rsidP="00436A04">
            <w:pPr>
              <w:pStyle w:val="TableBlock"/>
              <w:tabs>
                <w:tab w:val="clear" w:pos="624"/>
              </w:tabs>
              <w:rPr>
                <w:rFonts w:ascii="David" w:hAnsi="David"/>
                <w:sz w:val="26"/>
              </w:rPr>
            </w:pPr>
            <w:r w:rsidRPr="004F21CA">
              <w:rPr>
                <w:rFonts w:ascii="David" w:hAnsi="David"/>
                <w:sz w:val="26"/>
                <w:rtl/>
              </w:rPr>
              <w:t>בתקנה 2 לתקנות העיקריות</w:t>
            </w:r>
            <w:r w:rsidR="006C1D93" w:rsidRPr="004F21CA">
              <w:rPr>
                <w:rFonts w:ascii="David" w:hAnsi="David"/>
                <w:sz w:val="26"/>
                <w:rtl/>
              </w:rPr>
              <w:t xml:space="preserve">: </w:t>
            </w:r>
            <w:r w:rsidRPr="004F21CA">
              <w:rPr>
                <w:rFonts w:ascii="David" w:hAnsi="David"/>
                <w:sz w:val="26"/>
                <w:rtl/>
              </w:rPr>
              <w:t xml:space="preserve"> </w:t>
            </w:r>
          </w:p>
        </w:tc>
      </w:tr>
      <w:tr w:rsidR="00436A04" w:rsidRPr="004F21CA" w14:paraId="1DE86E77" w14:textId="77777777">
        <w:trPr>
          <w:cantSplit/>
          <w:trHeight w:val="60"/>
        </w:trPr>
        <w:tc>
          <w:tcPr>
            <w:tcW w:w="1871" w:type="dxa"/>
          </w:tcPr>
          <w:p w14:paraId="6A517D79" w14:textId="77777777" w:rsidR="00436A04" w:rsidRPr="004F21CA" w:rsidRDefault="00436A04">
            <w:pPr>
              <w:pStyle w:val="TableSideHeading"/>
              <w:rPr>
                <w:rFonts w:ascii="David" w:hAnsi="David"/>
                <w:sz w:val="26"/>
              </w:rPr>
            </w:pPr>
          </w:p>
        </w:tc>
        <w:tc>
          <w:tcPr>
            <w:tcW w:w="624" w:type="dxa"/>
          </w:tcPr>
          <w:p w14:paraId="53477A86" w14:textId="77777777" w:rsidR="00436A04" w:rsidRPr="004F21CA" w:rsidRDefault="00436A04">
            <w:pPr>
              <w:pStyle w:val="TableText"/>
              <w:rPr>
                <w:rFonts w:ascii="David" w:hAnsi="David"/>
                <w:sz w:val="26"/>
              </w:rPr>
            </w:pPr>
          </w:p>
        </w:tc>
        <w:tc>
          <w:tcPr>
            <w:tcW w:w="624" w:type="dxa"/>
          </w:tcPr>
          <w:p w14:paraId="78345246" w14:textId="77777777" w:rsidR="00436A04" w:rsidRPr="004F21CA" w:rsidRDefault="00436A04" w:rsidP="00436A04">
            <w:pPr>
              <w:pStyle w:val="TableText"/>
              <w:numPr>
                <w:ilvl w:val="0"/>
                <w:numId w:val="36"/>
              </w:numPr>
              <w:tabs>
                <w:tab w:val="left" w:pos="624"/>
              </w:tabs>
              <w:jc w:val="both"/>
              <w:rPr>
                <w:rFonts w:ascii="David" w:hAnsi="David"/>
                <w:sz w:val="26"/>
              </w:rPr>
            </w:pPr>
          </w:p>
        </w:tc>
        <w:tc>
          <w:tcPr>
            <w:tcW w:w="6522" w:type="dxa"/>
            <w:gridSpan w:val="3"/>
          </w:tcPr>
          <w:p w14:paraId="0A454157" w14:textId="6215BC59" w:rsidR="00436A04" w:rsidRPr="004F21CA" w:rsidRDefault="00436A04">
            <w:pPr>
              <w:pStyle w:val="TableBlock"/>
              <w:rPr>
                <w:rFonts w:ascii="David" w:hAnsi="David"/>
                <w:sz w:val="26"/>
              </w:rPr>
            </w:pPr>
            <w:r w:rsidRPr="004F21CA">
              <w:rPr>
                <w:rFonts w:ascii="David" w:hAnsi="David"/>
                <w:sz w:val="26"/>
                <w:rtl/>
              </w:rPr>
              <w:t>אחרי תקנת משנה (ב), יבוא:</w:t>
            </w:r>
          </w:p>
        </w:tc>
      </w:tr>
      <w:tr w:rsidR="00436A04" w:rsidRPr="004F21CA" w14:paraId="5190B521" w14:textId="77777777">
        <w:trPr>
          <w:cantSplit/>
          <w:trHeight w:val="60"/>
        </w:trPr>
        <w:tc>
          <w:tcPr>
            <w:tcW w:w="1871" w:type="dxa"/>
          </w:tcPr>
          <w:p w14:paraId="76E788D5" w14:textId="77777777" w:rsidR="00436A04" w:rsidRPr="004F21CA" w:rsidRDefault="00436A04" w:rsidP="00436A04">
            <w:pPr>
              <w:pStyle w:val="TableSideHeading"/>
              <w:rPr>
                <w:rFonts w:ascii="David" w:hAnsi="David"/>
                <w:sz w:val="26"/>
              </w:rPr>
            </w:pPr>
          </w:p>
        </w:tc>
        <w:tc>
          <w:tcPr>
            <w:tcW w:w="624" w:type="dxa"/>
          </w:tcPr>
          <w:p w14:paraId="2B793FCD" w14:textId="77777777" w:rsidR="00436A04" w:rsidRPr="004F21CA" w:rsidRDefault="00436A04" w:rsidP="00436A04">
            <w:pPr>
              <w:pStyle w:val="TableText"/>
              <w:rPr>
                <w:rFonts w:ascii="David" w:hAnsi="David"/>
                <w:sz w:val="26"/>
              </w:rPr>
            </w:pPr>
          </w:p>
        </w:tc>
        <w:tc>
          <w:tcPr>
            <w:tcW w:w="624" w:type="dxa"/>
          </w:tcPr>
          <w:p w14:paraId="65916F04" w14:textId="77777777" w:rsidR="00436A04" w:rsidRPr="004F21CA" w:rsidRDefault="00436A04" w:rsidP="00436A04">
            <w:pPr>
              <w:pStyle w:val="TableText"/>
              <w:rPr>
                <w:rFonts w:ascii="David" w:hAnsi="David"/>
                <w:sz w:val="26"/>
              </w:rPr>
            </w:pPr>
          </w:p>
        </w:tc>
        <w:tc>
          <w:tcPr>
            <w:tcW w:w="624" w:type="dxa"/>
          </w:tcPr>
          <w:p w14:paraId="175CDA9A" w14:textId="68EDBF6E" w:rsidR="00436A04" w:rsidRPr="004F21CA" w:rsidRDefault="00436A04" w:rsidP="00436A04">
            <w:pPr>
              <w:pStyle w:val="TableText"/>
              <w:rPr>
                <w:rFonts w:ascii="David" w:hAnsi="David"/>
                <w:sz w:val="26"/>
              </w:rPr>
            </w:pPr>
            <w:r w:rsidRPr="004F21CA">
              <w:rPr>
                <w:rFonts w:ascii="David" w:hAnsi="David"/>
                <w:sz w:val="26"/>
                <w:rtl/>
              </w:rPr>
              <w:t>"(ב1)</w:t>
            </w:r>
          </w:p>
        </w:tc>
        <w:tc>
          <w:tcPr>
            <w:tcW w:w="5898" w:type="dxa"/>
            <w:gridSpan w:val="2"/>
          </w:tcPr>
          <w:p w14:paraId="603AF9DE" w14:textId="2E39180B" w:rsidR="00436A04" w:rsidRPr="004F21CA" w:rsidRDefault="00436A04" w:rsidP="00436A04">
            <w:pPr>
              <w:pStyle w:val="TableBlock"/>
              <w:rPr>
                <w:rFonts w:ascii="David" w:hAnsi="David"/>
                <w:sz w:val="26"/>
              </w:rPr>
            </w:pPr>
            <w:r w:rsidRPr="004F21CA">
              <w:rPr>
                <w:rFonts w:ascii="David" w:hAnsi="David"/>
                <w:snapToGrid/>
                <w:sz w:val="26"/>
                <w:rtl/>
              </w:rPr>
              <w:t xml:space="preserve">על אף האמור </w:t>
            </w:r>
            <w:r w:rsidRPr="004F21CA">
              <w:rPr>
                <w:rFonts w:ascii="David" w:hAnsi="David"/>
                <w:sz w:val="26"/>
                <w:rtl/>
              </w:rPr>
              <w:t>בתקנת</w:t>
            </w:r>
            <w:r w:rsidRPr="004F21CA">
              <w:rPr>
                <w:rFonts w:ascii="David" w:hAnsi="David"/>
                <w:snapToGrid/>
                <w:sz w:val="26"/>
                <w:rtl/>
              </w:rPr>
              <w:t xml:space="preserve"> משנה (ב), רשאי אדם לייבא פירות וירקות טריים למאכל ללא רישיון, אם צירף למשלוח תעודת בריאות הכוללת הצהרה בנוסח הקבוע בתוספת הרביעית;  </w:t>
            </w:r>
          </w:p>
        </w:tc>
      </w:tr>
      <w:tr w:rsidR="00436A04" w:rsidRPr="004F21CA" w14:paraId="11E21488" w14:textId="77777777">
        <w:trPr>
          <w:cantSplit/>
          <w:trHeight w:val="60"/>
        </w:trPr>
        <w:tc>
          <w:tcPr>
            <w:tcW w:w="1871" w:type="dxa"/>
          </w:tcPr>
          <w:p w14:paraId="0DD8C825" w14:textId="77777777" w:rsidR="00436A04" w:rsidRPr="004F21CA" w:rsidRDefault="00436A04" w:rsidP="00436A04">
            <w:pPr>
              <w:pStyle w:val="TableSideHeading"/>
              <w:rPr>
                <w:rFonts w:ascii="David" w:hAnsi="David"/>
                <w:sz w:val="26"/>
              </w:rPr>
            </w:pPr>
          </w:p>
        </w:tc>
        <w:tc>
          <w:tcPr>
            <w:tcW w:w="624" w:type="dxa"/>
          </w:tcPr>
          <w:p w14:paraId="5082EA5D" w14:textId="77777777" w:rsidR="00436A04" w:rsidRPr="004F21CA" w:rsidRDefault="00436A04" w:rsidP="00436A04">
            <w:pPr>
              <w:pStyle w:val="TableText"/>
              <w:rPr>
                <w:rFonts w:ascii="David" w:hAnsi="David"/>
                <w:sz w:val="26"/>
              </w:rPr>
            </w:pPr>
          </w:p>
        </w:tc>
        <w:tc>
          <w:tcPr>
            <w:tcW w:w="624" w:type="dxa"/>
          </w:tcPr>
          <w:p w14:paraId="4965D118" w14:textId="77777777" w:rsidR="00436A04" w:rsidRPr="004F21CA" w:rsidRDefault="00436A04" w:rsidP="00436A04">
            <w:pPr>
              <w:pStyle w:val="TableText"/>
              <w:rPr>
                <w:rFonts w:ascii="David" w:hAnsi="David"/>
                <w:sz w:val="26"/>
              </w:rPr>
            </w:pPr>
          </w:p>
        </w:tc>
        <w:tc>
          <w:tcPr>
            <w:tcW w:w="624" w:type="dxa"/>
          </w:tcPr>
          <w:p w14:paraId="6213615B" w14:textId="77777777" w:rsidR="00436A04" w:rsidRPr="004F21CA" w:rsidRDefault="00436A04" w:rsidP="00436A04">
            <w:pPr>
              <w:pStyle w:val="TableText"/>
              <w:rPr>
                <w:rFonts w:ascii="David" w:hAnsi="David"/>
                <w:sz w:val="26"/>
                <w:rtl/>
              </w:rPr>
            </w:pPr>
          </w:p>
        </w:tc>
        <w:tc>
          <w:tcPr>
            <w:tcW w:w="5898" w:type="dxa"/>
            <w:gridSpan w:val="2"/>
          </w:tcPr>
          <w:p w14:paraId="1C8ABF85" w14:textId="2696B084" w:rsidR="00436A04" w:rsidRPr="004F21CA" w:rsidRDefault="00436A04" w:rsidP="00436A04">
            <w:pPr>
              <w:pStyle w:val="TableBlock"/>
              <w:rPr>
                <w:rFonts w:ascii="David" w:hAnsi="David"/>
                <w:sz w:val="26"/>
              </w:rPr>
            </w:pPr>
            <w:r w:rsidRPr="004F21CA">
              <w:rPr>
                <w:rFonts w:ascii="David" w:hAnsi="David"/>
                <w:snapToGrid/>
                <w:sz w:val="26"/>
                <w:rtl/>
              </w:rPr>
              <w:t xml:space="preserve">בתקנה זו, "פירות וירקות טריים למאכל" – שאינם מיובאים במטען יד של נוסע ולמעט הפירות והירקות המפורטים בטור א' לתוספת התשיעית  שמקורם במדינות המפורטות בטור ב' </w:t>
            </w:r>
            <w:proofErr w:type="spellStart"/>
            <w:r w:rsidRPr="004F21CA">
              <w:rPr>
                <w:rFonts w:ascii="David" w:hAnsi="David"/>
                <w:snapToGrid/>
                <w:sz w:val="26"/>
                <w:rtl/>
              </w:rPr>
              <w:t>לצידן</w:t>
            </w:r>
            <w:proofErr w:type="spellEnd"/>
            <w:r w:rsidRPr="004F21CA">
              <w:rPr>
                <w:rFonts w:ascii="David" w:hAnsi="David"/>
                <w:snapToGrid/>
                <w:sz w:val="26"/>
                <w:rtl/>
              </w:rPr>
              <w:t>.</w:t>
            </w:r>
          </w:p>
        </w:tc>
      </w:tr>
      <w:tr w:rsidR="00436A04" w:rsidRPr="005D5EA5" w14:paraId="77BCAE40" w14:textId="77777777">
        <w:trPr>
          <w:cantSplit/>
          <w:trHeight w:val="60"/>
        </w:trPr>
        <w:tc>
          <w:tcPr>
            <w:tcW w:w="1871" w:type="dxa"/>
          </w:tcPr>
          <w:p w14:paraId="4749F060" w14:textId="77777777" w:rsidR="00436A04" w:rsidRPr="004F21CA" w:rsidRDefault="00436A04" w:rsidP="00436A04">
            <w:pPr>
              <w:pStyle w:val="TableSideHeading"/>
              <w:rPr>
                <w:rFonts w:ascii="David" w:hAnsi="David"/>
                <w:sz w:val="26"/>
              </w:rPr>
            </w:pPr>
          </w:p>
        </w:tc>
        <w:tc>
          <w:tcPr>
            <w:tcW w:w="624" w:type="dxa"/>
          </w:tcPr>
          <w:p w14:paraId="7A977ACC" w14:textId="77777777" w:rsidR="00436A04" w:rsidRPr="004F21CA" w:rsidRDefault="00436A04" w:rsidP="00436A04">
            <w:pPr>
              <w:pStyle w:val="TableText"/>
              <w:rPr>
                <w:rFonts w:ascii="David" w:hAnsi="David"/>
                <w:sz w:val="26"/>
              </w:rPr>
            </w:pPr>
          </w:p>
        </w:tc>
        <w:tc>
          <w:tcPr>
            <w:tcW w:w="624" w:type="dxa"/>
          </w:tcPr>
          <w:p w14:paraId="204EE1D7" w14:textId="77777777" w:rsidR="00436A04" w:rsidRPr="004F21CA" w:rsidRDefault="00436A04" w:rsidP="00436A04">
            <w:pPr>
              <w:pStyle w:val="TableText"/>
              <w:rPr>
                <w:rFonts w:ascii="David" w:hAnsi="David"/>
                <w:sz w:val="26"/>
              </w:rPr>
            </w:pPr>
          </w:p>
        </w:tc>
        <w:tc>
          <w:tcPr>
            <w:tcW w:w="624" w:type="dxa"/>
          </w:tcPr>
          <w:p w14:paraId="0D3AC728" w14:textId="25E61A22" w:rsidR="00436A04" w:rsidRPr="004F21CA" w:rsidRDefault="00436A04" w:rsidP="00436A04">
            <w:pPr>
              <w:pStyle w:val="TableText"/>
              <w:rPr>
                <w:rFonts w:ascii="David" w:hAnsi="David"/>
                <w:sz w:val="26"/>
                <w:rtl/>
              </w:rPr>
            </w:pPr>
            <w:r w:rsidRPr="004F21CA">
              <w:rPr>
                <w:rFonts w:ascii="David" w:hAnsi="David"/>
                <w:sz w:val="26"/>
                <w:rtl/>
              </w:rPr>
              <w:t>(ב2)</w:t>
            </w:r>
          </w:p>
        </w:tc>
        <w:tc>
          <w:tcPr>
            <w:tcW w:w="5898" w:type="dxa"/>
            <w:gridSpan w:val="2"/>
          </w:tcPr>
          <w:p w14:paraId="22F6F90A" w14:textId="61BEFCE3" w:rsidR="00436A04" w:rsidRPr="004F21CA" w:rsidRDefault="00436A04" w:rsidP="00436A04">
            <w:pPr>
              <w:pStyle w:val="TableBlock"/>
              <w:rPr>
                <w:rFonts w:ascii="David" w:hAnsi="David"/>
                <w:sz w:val="26"/>
              </w:rPr>
            </w:pPr>
            <w:r w:rsidRPr="004F21CA">
              <w:rPr>
                <w:rFonts w:ascii="David" w:hAnsi="David"/>
                <w:snapToGrid/>
                <w:sz w:val="26"/>
                <w:rtl/>
              </w:rPr>
              <w:t>המבקש לייבא פירות וירקות טריים, למעט הפירות והירקות הטריים המפורטים בתוספת התשיעית  או בסעיף 1(ב) לתוספת הרביעית, ידווח על כך למנהל 90 ימים לפני הוצאת המשלוח מארץ המקור; הדיווח יתאפשר גם באופן מקוון דרך אתר האינטרנט.</w:t>
            </w:r>
          </w:p>
        </w:tc>
      </w:tr>
      <w:tr w:rsidR="00436A04" w:rsidRPr="004F21CA" w14:paraId="1A2FC475" w14:textId="77777777">
        <w:trPr>
          <w:cantSplit/>
          <w:trHeight w:val="60"/>
        </w:trPr>
        <w:tc>
          <w:tcPr>
            <w:tcW w:w="1871" w:type="dxa"/>
          </w:tcPr>
          <w:p w14:paraId="2FA53FCA" w14:textId="77777777" w:rsidR="00436A04" w:rsidRPr="004F21CA" w:rsidRDefault="00436A04" w:rsidP="00436A04">
            <w:pPr>
              <w:pStyle w:val="TableSideHeading"/>
              <w:rPr>
                <w:rFonts w:ascii="David" w:hAnsi="David"/>
                <w:sz w:val="26"/>
              </w:rPr>
            </w:pPr>
          </w:p>
        </w:tc>
        <w:tc>
          <w:tcPr>
            <w:tcW w:w="624" w:type="dxa"/>
          </w:tcPr>
          <w:p w14:paraId="718CF615" w14:textId="77777777" w:rsidR="00436A04" w:rsidRPr="004F21CA" w:rsidRDefault="00436A04" w:rsidP="00436A04">
            <w:pPr>
              <w:pStyle w:val="TableText"/>
              <w:rPr>
                <w:rFonts w:ascii="David" w:hAnsi="David"/>
                <w:sz w:val="26"/>
              </w:rPr>
            </w:pPr>
          </w:p>
        </w:tc>
        <w:tc>
          <w:tcPr>
            <w:tcW w:w="624" w:type="dxa"/>
          </w:tcPr>
          <w:p w14:paraId="47C96B54" w14:textId="77777777" w:rsidR="00436A04" w:rsidRPr="004F21CA" w:rsidRDefault="00436A04" w:rsidP="00436A04">
            <w:pPr>
              <w:pStyle w:val="TableText"/>
              <w:rPr>
                <w:rFonts w:ascii="David" w:hAnsi="David"/>
                <w:sz w:val="26"/>
              </w:rPr>
            </w:pPr>
          </w:p>
        </w:tc>
        <w:tc>
          <w:tcPr>
            <w:tcW w:w="624" w:type="dxa"/>
          </w:tcPr>
          <w:p w14:paraId="15275E58" w14:textId="34800732" w:rsidR="00436A04" w:rsidRPr="004F21CA" w:rsidRDefault="00436A04" w:rsidP="00436A04">
            <w:pPr>
              <w:pStyle w:val="TableText"/>
              <w:rPr>
                <w:rFonts w:ascii="David" w:hAnsi="David"/>
                <w:sz w:val="26"/>
                <w:rtl/>
              </w:rPr>
            </w:pPr>
            <w:r w:rsidRPr="004F21CA">
              <w:rPr>
                <w:rFonts w:ascii="David" w:hAnsi="David"/>
                <w:sz w:val="26"/>
                <w:rtl/>
              </w:rPr>
              <w:t>(ב3)</w:t>
            </w:r>
          </w:p>
        </w:tc>
        <w:tc>
          <w:tcPr>
            <w:tcW w:w="5898" w:type="dxa"/>
            <w:gridSpan w:val="2"/>
          </w:tcPr>
          <w:p w14:paraId="225B0DDE" w14:textId="6D119A98" w:rsidR="00436A04" w:rsidRPr="004F21CA" w:rsidRDefault="00436A04" w:rsidP="00436A04">
            <w:pPr>
              <w:pStyle w:val="TableBlock"/>
              <w:rPr>
                <w:rFonts w:ascii="David" w:hAnsi="David"/>
                <w:snapToGrid/>
                <w:sz w:val="26"/>
                <w:rtl/>
              </w:rPr>
            </w:pPr>
            <w:r w:rsidRPr="004F21CA">
              <w:rPr>
                <w:rFonts w:ascii="David" w:hAnsi="David"/>
                <w:sz w:val="26"/>
                <w:rtl/>
              </w:rPr>
              <w:t xml:space="preserve">על אף האמור בתקנת משנה (ב2), המנהל רשאי להתיר יבוא פירות וירקות טריים מסוימים, ממדינות מסוימות, ללא דיווח, אם מצא שאין מדובר ביבוא המבוצע לראשונה או שהיבוא אפשרי גם ללא דיווח מוקדם; הודעה על מתן ההיתר תפורסם באתר האינטרנט.". </w:t>
            </w:r>
            <w:r w:rsidRPr="004F21CA">
              <w:rPr>
                <w:rFonts w:ascii="David" w:hAnsi="David"/>
                <w:sz w:val="26"/>
                <w:highlight w:val="lightGray"/>
                <w:rtl/>
              </w:rPr>
              <w:t xml:space="preserve"> </w:t>
            </w:r>
          </w:p>
        </w:tc>
      </w:tr>
      <w:tr w:rsidR="00436A04" w:rsidRPr="004F21CA" w14:paraId="66E98FF4" w14:textId="77777777" w:rsidTr="00337A6D">
        <w:trPr>
          <w:cantSplit/>
          <w:trHeight w:val="60"/>
        </w:trPr>
        <w:tc>
          <w:tcPr>
            <w:tcW w:w="1871" w:type="dxa"/>
          </w:tcPr>
          <w:p w14:paraId="51353437" w14:textId="77777777" w:rsidR="00436A04" w:rsidRPr="004F21CA" w:rsidRDefault="00436A04" w:rsidP="00436A04">
            <w:pPr>
              <w:pStyle w:val="TableSideHeading"/>
              <w:rPr>
                <w:rFonts w:ascii="David" w:hAnsi="David"/>
                <w:sz w:val="26"/>
              </w:rPr>
            </w:pPr>
          </w:p>
        </w:tc>
        <w:tc>
          <w:tcPr>
            <w:tcW w:w="624" w:type="dxa"/>
          </w:tcPr>
          <w:p w14:paraId="012100EB" w14:textId="77777777" w:rsidR="00436A04" w:rsidRPr="004F21CA" w:rsidRDefault="00436A04" w:rsidP="00436A04">
            <w:pPr>
              <w:pStyle w:val="TableText"/>
              <w:rPr>
                <w:rFonts w:ascii="David" w:hAnsi="David"/>
                <w:sz w:val="26"/>
              </w:rPr>
            </w:pPr>
          </w:p>
        </w:tc>
        <w:tc>
          <w:tcPr>
            <w:tcW w:w="624" w:type="dxa"/>
          </w:tcPr>
          <w:p w14:paraId="6A2CF02A" w14:textId="16197016" w:rsidR="00436A04" w:rsidRPr="004F21CA" w:rsidRDefault="00436A04" w:rsidP="00436A04">
            <w:pPr>
              <w:pStyle w:val="TableText"/>
              <w:numPr>
                <w:ilvl w:val="0"/>
                <w:numId w:val="36"/>
              </w:numPr>
              <w:tabs>
                <w:tab w:val="left" w:pos="624"/>
              </w:tabs>
              <w:jc w:val="both"/>
              <w:rPr>
                <w:rFonts w:ascii="David" w:hAnsi="David"/>
                <w:sz w:val="26"/>
              </w:rPr>
            </w:pPr>
          </w:p>
        </w:tc>
        <w:tc>
          <w:tcPr>
            <w:tcW w:w="6522" w:type="dxa"/>
            <w:gridSpan w:val="3"/>
          </w:tcPr>
          <w:p w14:paraId="59066F52" w14:textId="54968FD9" w:rsidR="00436A04" w:rsidRPr="004F21CA" w:rsidRDefault="00436A04" w:rsidP="00D84F33">
            <w:pPr>
              <w:pStyle w:val="TableBlock"/>
              <w:rPr>
                <w:rFonts w:ascii="David" w:hAnsi="David"/>
                <w:sz w:val="26"/>
              </w:rPr>
            </w:pPr>
            <w:r w:rsidRPr="004F21CA">
              <w:rPr>
                <w:rFonts w:ascii="David" w:hAnsi="David"/>
                <w:sz w:val="26"/>
                <w:rtl/>
              </w:rPr>
              <w:t xml:space="preserve">בתקנת משנה (ג)(2), הסיפא המתחיל במילים "ובטובין שהם חומר ריבוי" – יימחק. </w:t>
            </w:r>
          </w:p>
        </w:tc>
      </w:tr>
      <w:tr w:rsidR="00436A04" w:rsidRPr="004F21CA" w14:paraId="5F1B548D" w14:textId="77777777" w:rsidTr="00337A6D">
        <w:trPr>
          <w:cantSplit/>
          <w:trHeight w:val="60"/>
        </w:trPr>
        <w:tc>
          <w:tcPr>
            <w:tcW w:w="1871" w:type="dxa"/>
          </w:tcPr>
          <w:p w14:paraId="5EB2623E" w14:textId="77777777" w:rsidR="00436A04" w:rsidRPr="004F21CA" w:rsidRDefault="00436A04" w:rsidP="00436A04">
            <w:pPr>
              <w:pStyle w:val="TableSideHeading"/>
              <w:rPr>
                <w:rFonts w:ascii="David" w:hAnsi="David"/>
                <w:sz w:val="26"/>
              </w:rPr>
            </w:pPr>
            <w:r w:rsidRPr="004F21CA">
              <w:rPr>
                <w:rFonts w:ascii="David" w:hAnsi="David"/>
                <w:sz w:val="26"/>
                <w:rtl/>
              </w:rPr>
              <w:t>הוספת תקנה 2א</w:t>
            </w:r>
          </w:p>
        </w:tc>
        <w:tc>
          <w:tcPr>
            <w:tcW w:w="624" w:type="dxa"/>
          </w:tcPr>
          <w:p w14:paraId="7C6FCF25" w14:textId="77777777" w:rsidR="00436A04" w:rsidRPr="004F21CA" w:rsidRDefault="00436A04" w:rsidP="00436A04">
            <w:pPr>
              <w:pStyle w:val="TableText"/>
              <w:numPr>
                <w:ilvl w:val="0"/>
                <w:numId w:val="2"/>
              </w:numPr>
              <w:rPr>
                <w:rFonts w:ascii="David" w:hAnsi="David"/>
                <w:sz w:val="26"/>
              </w:rPr>
            </w:pPr>
          </w:p>
        </w:tc>
        <w:tc>
          <w:tcPr>
            <w:tcW w:w="7146" w:type="dxa"/>
            <w:gridSpan w:val="4"/>
          </w:tcPr>
          <w:p w14:paraId="686AAA7C" w14:textId="77777777" w:rsidR="00436A04" w:rsidRPr="004F21CA" w:rsidRDefault="00436A04" w:rsidP="00436A04">
            <w:pPr>
              <w:pStyle w:val="TableBlock"/>
              <w:rPr>
                <w:rFonts w:ascii="David" w:hAnsi="David"/>
                <w:sz w:val="26"/>
              </w:rPr>
            </w:pPr>
            <w:r w:rsidRPr="004F21CA">
              <w:rPr>
                <w:rFonts w:ascii="David" w:hAnsi="David"/>
                <w:sz w:val="26"/>
                <w:rtl/>
              </w:rPr>
              <w:t xml:space="preserve">אחרי תקנה 2 לתקנות העיקריות, יבוא: </w:t>
            </w:r>
          </w:p>
        </w:tc>
      </w:tr>
      <w:tr w:rsidR="00436A04" w:rsidRPr="004F21CA" w14:paraId="6A9E90A3" w14:textId="77777777" w:rsidTr="00337A6D">
        <w:trPr>
          <w:cantSplit/>
          <w:trHeight w:val="60"/>
        </w:trPr>
        <w:tc>
          <w:tcPr>
            <w:tcW w:w="1871" w:type="dxa"/>
          </w:tcPr>
          <w:p w14:paraId="36878894" w14:textId="77777777" w:rsidR="00436A04" w:rsidRPr="004F21CA" w:rsidRDefault="00436A04" w:rsidP="00436A04">
            <w:pPr>
              <w:pStyle w:val="TableSideHeading"/>
              <w:rPr>
                <w:rFonts w:ascii="David" w:hAnsi="David"/>
                <w:sz w:val="26"/>
              </w:rPr>
            </w:pPr>
          </w:p>
        </w:tc>
        <w:tc>
          <w:tcPr>
            <w:tcW w:w="624" w:type="dxa"/>
          </w:tcPr>
          <w:p w14:paraId="088F6A10" w14:textId="77777777" w:rsidR="00436A04" w:rsidRPr="004F21CA" w:rsidRDefault="00436A04" w:rsidP="00436A04">
            <w:pPr>
              <w:pStyle w:val="TableText"/>
              <w:rPr>
                <w:rFonts w:ascii="David" w:hAnsi="David"/>
                <w:sz w:val="26"/>
              </w:rPr>
            </w:pPr>
          </w:p>
        </w:tc>
        <w:tc>
          <w:tcPr>
            <w:tcW w:w="624" w:type="dxa"/>
          </w:tcPr>
          <w:p w14:paraId="00E4A88E" w14:textId="77777777" w:rsidR="00436A04" w:rsidRPr="004F21CA" w:rsidRDefault="00436A04" w:rsidP="00436A04">
            <w:pPr>
              <w:pStyle w:val="TableText"/>
              <w:rPr>
                <w:rFonts w:ascii="David" w:hAnsi="David"/>
                <w:sz w:val="26"/>
              </w:rPr>
            </w:pPr>
            <w:r w:rsidRPr="004F21CA">
              <w:rPr>
                <w:rFonts w:ascii="David" w:hAnsi="David"/>
                <w:sz w:val="26"/>
                <w:rtl/>
              </w:rPr>
              <w:t>"הוראת חירום</w:t>
            </w:r>
          </w:p>
        </w:tc>
        <w:tc>
          <w:tcPr>
            <w:tcW w:w="624" w:type="dxa"/>
          </w:tcPr>
          <w:p w14:paraId="5F2300AA" w14:textId="77777777" w:rsidR="00436A04" w:rsidRPr="004F21CA" w:rsidRDefault="00436A04" w:rsidP="00436A04">
            <w:pPr>
              <w:pStyle w:val="TableText"/>
              <w:rPr>
                <w:rFonts w:ascii="David" w:hAnsi="David"/>
                <w:sz w:val="26"/>
              </w:rPr>
            </w:pPr>
            <w:r w:rsidRPr="004F21CA">
              <w:rPr>
                <w:rFonts w:ascii="David" w:hAnsi="David"/>
                <w:sz w:val="26"/>
                <w:rtl/>
              </w:rPr>
              <w:t>2א.</w:t>
            </w:r>
          </w:p>
        </w:tc>
        <w:tc>
          <w:tcPr>
            <w:tcW w:w="624" w:type="dxa"/>
          </w:tcPr>
          <w:p w14:paraId="5CDD529F" w14:textId="77777777" w:rsidR="00436A04" w:rsidRPr="004F21CA" w:rsidRDefault="00436A04" w:rsidP="00436A04">
            <w:pPr>
              <w:pStyle w:val="TableText"/>
              <w:numPr>
                <w:ilvl w:val="0"/>
                <w:numId w:val="20"/>
              </w:numPr>
              <w:tabs>
                <w:tab w:val="left" w:pos="624"/>
              </w:tabs>
              <w:jc w:val="both"/>
              <w:rPr>
                <w:rFonts w:ascii="David" w:hAnsi="David"/>
                <w:sz w:val="26"/>
              </w:rPr>
            </w:pPr>
          </w:p>
        </w:tc>
        <w:tc>
          <w:tcPr>
            <w:tcW w:w="5274" w:type="dxa"/>
          </w:tcPr>
          <w:p w14:paraId="31B79366" w14:textId="41523D02" w:rsidR="00436A04" w:rsidRPr="004F21CA" w:rsidRDefault="00436A04" w:rsidP="00436A04">
            <w:pPr>
              <w:pStyle w:val="TableBlock"/>
              <w:rPr>
                <w:rFonts w:ascii="David" w:hAnsi="David"/>
                <w:sz w:val="26"/>
              </w:rPr>
            </w:pPr>
            <w:r w:rsidRPr="004F21CA">
              <w:rPr>
                <w:rFonts w:ascii="David" w:hAnsi="David"/>
                <w:snapToGrid/>
                <w:sz w:val="26"/>
                <w:rtl/>
              </w:rPr>
              <w:t xml:space="preserve">נוכח השר, לאחר שקיבל את המלצת המנהל, כי נגרמת סכנה </w:t>
            </w:r>
            <w:proofErr w:type="spellStart"/>
            <w:r w:rsidRPr="004F21CA">
              <w:rPr>
                <w:rFonts w:ascii="David" w:hAnsi="David"/>
                <w:snapToGrid/>
                <w:sz w:val="26"/>
                <w:rtl/>
              </w:rPr>
              <w:t>מיידית</w:t>
            </w:r>
            <w:proofErr w:type="spellEnd"/>
            <w:r w:rsidRPr="004F21CA">
              <w:rPr>
                <w:rFonts w:ascii="David" w:hAnsi="David"/>
                <w:snapToGrid/>
                <w:sz w:val="26"/>
                <w:rtl/>
              </w:rPr>
              <w:t xml:space="preserve"> לבריאות הצומח בישראל או עלולה להיגרם סכנה כאמור בשל ייבוא צמח, מוצר-צמח, נגע או אמצעי לוואי (להלן – מוצר) ממדינה מסוימת או מאזור מסוים, רשאי הוא לתת הוראה למניעת יבוא של אותו מוצר מאותה מדינה או מאותו </w:t>
            </w:r>
            <w:proofErr w:type="spellStart"/>
            <w:r w:rsidRPr="004F21CA">
              <w:rPr>
                <w:rFonts w:ascii="David" w:hAnsi="David"/>
                <w:snapToGrid/>
                <w:sz w:val="26"/>
                <w:rtl/>
              </w:rPr>
              <w:t>איזור</w:t>
            </w:r>
            <w:proofErr w:type="spellEnd"/>
            <w:r w:rsidRPr="004F21CA">
              <w:rPr>
                <w:rFonts w:ascii="David" w:hAnsi="David"/>
                <w:snapToGrid/>
                <w:sz w:val="26"/>
                <w:rtl/>
              </w:rPr>
              <w:t xml:space="preserve">, לפרק זמן שיקבע (להלן – הוראה למניעת יבוא); </w:t>
            </w:r>
          </w:p>
        </w:tc>
      </w:tr>
      <w:tr w:rsidR="00436A04" w:rsidRPr="004F21CA" w14:paraId="7FFC345D" w14:textId="77777777" w:rsidTr="00337A6D">
        <w:trPr>
          <w:cantSplit/>
          <w:trHeight w:val="60"/>
        </w:trPr>
        <w:tc>
          <w:tcPr>
            <w:tcW w:w="1871" w:type="dxa"/>
          </w:tcPr>
          <w:p w14:paraId="7C21BAC1" w14:textId="77777777" w:rsidR="00436A04" w:rsidRPr="004F21CA" w:rsidRDefault="00436A04" w:rsidP="00436A04">
            <w:pPr>
              <w:pStyle w:val="TableSideHeading"/>
              <w:rPr>
                <w:rFonts w:ascii="David" w:hAnsi="David"/>
                <w:sz w:val="26"/>
              </w:rPr>
            </w:pPr>
          </w:p>
        </w:tc>
        <w:tc>
          <w:tcPr>
            <w:tcW w:w="624" w:type="dxa"/>
          </w:tcPr>
          <w:p w14:paraId="35066717" w14:textId="77777777" w:rsidR="00436A04" w:rsidRPr="004F21CA" w:rsidRDefault="00436A04" w:rsidP="00436A04">
            <w:pPr>
              <w:pStyle w:val="TableText"/>
              <w:rPr>
                <w:rFonts w:ascii="David" w:hAnsi="David"/>
                <w:sz w:val="26"/>
              </w:rPr>
            </w:pPr>
          </w:p>
        </w:tc>
        <w:tc>
          <w:tcPr>
            <w:tcW w:w="624" w:type="dxa"/>
          </w:tcPr>
          <w:p w14:paraId="51ADA343" w14:textId="77777777" w:rsidR="00436A04" w:rsidRPr="004F21CA" w:rsidRDefault="00436A04" w:rsidP="00436A04">
            <w:pPr>
              <w:pStyle w:val="TableText"/>
              <w:rPr>
                <w:rFonts w:ascii="David" w:hAnsi="David"/>
                <w:sz w:val="26"/>
                <w:rtl/>
              </w:rPr>
            </w:pPr>
          </w:p>
        </w:tc>
        <w:tc>
          <w:tcPr>
            <w:tcW w:w="624" w:type="dxa"/>
          </w:tcPr>
          <w:p w14:paraId="0D5D2D3D" w14:textId="77777777" w:rsidR="00436A04" w:rsidRPr="004F21CA" w:rsidRDefault="00436A04" w:rsidP="00436A04">
            <w:pPr>
              <w:pStyle w:val="TableText"/>
              <w:rPr>
                <w:rFonts w:ascii="David" w:hAnsi="David"/>
                <w:sz w:val="26"/>
                <w:rtl/>
              </w:rPr>
            </w:pPr>
          </w:p>
        </w:tc>
        <w:tc>
          <w:tcPr>
            <w:tcW w:w="624" w:type="dxa"/>
          </w:tcPr>
          <w:p w14:paraId="4A9D4637" w14:textId="77777777" w:rsidR="00436A04" w:rsidRPr="004F21CA" w:rsidRDefault="00436A04" w:rsidP="00436A04">
            <w:pPr>
              <w:pStyle w:val="TableText"/>
              <w:numPr>
                <w:ilvl w:val="0"/>
                <w:numId w:val="20"/>
              </w:numPr>
              <w:tabs>
                <w:tab w:val="left" w:pos="624"/>
              </w:tabs>
              <w:jc w:val="both"/>
              <w:rPr>
                <w:rFonts w:ascii="David" w:hAnsi="David"/>
                <w:sz w:val="26"/>
              </w:rPr>
            </w:pPr>
          </w:p>
        </w:tc>
        <w:tc>
          <w:tcPr>
            <w:tcW w:w="5274" w:type="dxa"/>
          </w:tcPr>
          <w:p w14:paraId="0E9B89A5" w14:textId="2AEAB066" w:rsidR="00436A04" w:rsidRPr="004F21CA" w:rsidRDefault="00436A04" w:rsidP="00436A04">
            <w:pPr>
              <w:pStyle w:val="TableBlock"/>
              <w:rPr>
                <w:rFonts w:ascii="David" w:hAnsi="David"/>
                <w:snapToGrid/>
                <w:sz w:val="26"/>
                <w:rtl/>
              </w:rPr>
            </w:pPr>
            <w:r w:rsidRPr="004F21CA">
              <w:rPr>
                <w:rFonts w:ascii="David" w:hAnsi="David"/>
                <w:snapToGrid/>
                <w:sz w:val="26"/>
                <w:rtl/>
              </w:rPr>
              <w:t xml:space="preserve">הוראה למניעת יבוא תפורסם באתר האינטרנט וברשומות; </w:t>
            </w:r>
          </w:p>
        </w:tc>
      </w:tr>
      <w:tr w:rsidR="00436A04" w:rsidRPr="004F21CA" w14:paraId="167DFC4D" w14:textId="77777777" w:rsidTr="00337A6D">
        <w:trPr>
          <w:cantSplit/>
          <w:trHeight w:val="60"/>
        </w:trPr>
        <w:tc>
          <w:tcPr>
            <w:tcW w:w="1871" w:type="dxa"/>
          </w:tcPr>
          <w:p w14:paraId="2BDF8597" w14:textId="77777777" w:rsidR="00436A04" w:rsidRPr="004F21CA" w:rsidRDefault="00436A04" w:rsidP="00436A04">
            <w:pPr>
              <w:pStyle w:val="TableSideHeading"/>
              <w:rPr>
                <w:rFonts w:ascii="David" w:hAnsi="David"/>
                <w:sz w:val="26"/>
              </w:rPr>
            </w:pPr>
          </w:p>
        </w:tc>
        <w:tc>
          <w:tcPr>
            <w:tcW w:w="624" w:type="dxa"/>
          </w:tcPr>
          <w:p w14:paraId="3914C733" w14:textId="77777777" w:rsidR="00436A04" w:rsidRPr="004F21CA" w:rsidRDefault="00436A04" w:rsidP="00436A04">
            <w:pPr>
              <w:pStyle w:val="TableText"/>
              <w:rPr>
                <w:rFonts w:ascii="David" w:hAnsi="David"/>
                <w:sz w:val="26"/>
              </w:rPr>
            </w:pPr>
          </w:p>
        </w:tc>
        <w:tc>
          <w:tcPr>
            <w:tcW w:w="624" w:type="dxa"/>
          </w:tcPr>
          <w:p w14:paraId="6D2AC518" w14:textId="77777777" w:rsidR="00436A04" w:rsidRPr="004F21CA" w:rsidRDefault="00436A04" w:rsidP="00436A04">
            <w:pPr>
              <w:pStyle w:val="TableText"/>
              <w:rPr>
                <w:rFonts w:ascii="David" w:hAnsi="David"/>
                <w:sz w:val="26"/>
                <w:rtl/>
              </w:rPr>
            </w:pPr>
          </w:p>
        </w:tc>
        <w:tc>
          <w:tcPr>
            <w:tcW w:w="624" w:type="dxa"/>
          </w:tcPr>
          <w:p w14:paraId="1CD81432" w14:textId="77777777" w:rsidR="00436A04" w:rsidRPr="004F21CA" w:rsidRDefault="00436A04" w:rsidP="00436A04">
            <w:pPr>
              <w:pStyle w:val="TableText"/>
              <w:rPr>
                <w:rFonts w:ascii="David" w:hAnsi="David"/>
                <w:sz w:val="26"/>
                <w:rtl/>
              </w:rPr>
            </w:pPr>
          </w:p>
        </w:tc>
        <w:tc>
          <w:tcPr>
            <w:tcW w:w="624" w:type="dxa"/>
          </w:tcPr>
          <w:p w14:paraId="288B79FD" w14:textId="77777777" w:rsidR="00436A04" w:rsidRPr="004F21CA" w:rsidRDefault="00436A04" w:rsidP="00436A04">
            <w:pPr>
              <w:pStyle w:val="TableText"/>
              <w:numPr>
                <w:ilvl w:val="0"/>
                <w:numId w:val="20"/>
              </w:numPr>
              <w:tabs>
                <w:tab w:val="left" w:pos="624"/>
              </w:tabs>
              <w:jc w:val="both"/>
              <w:rPr>
                <w:rFonts w:ascii="David" w:hAnsi="David"/>
                <w:sz w:val="26"/>
              </w:rPr>
            </w:pPr>
          </w:p>
        </w:tc>
        <w:tc>
          <w:tcPr>
            <w:tcW w:w="5274" w:type="dxa"/>
          </w:tcPr>
          <w:p w14:paraId="09D39EC1" w14:textId="3B8950B3" w:rsidR="00436A04" w:rsidRPr="004F21CA" w:rsidRDefault="00436A04" w:rsidP="00436A04">
            <w:pPr>
              <w:pStyle w:val="TableBlock"/>
              <w:rPr>
                <w:rFonts w:ascii="David" w:hAnsi="David"/>
                <w:snapToGrid/>
                <w:sz w:val="26"/>
                <w:rtl/>
              </w:rPr>
            </w:pPr>
            <w:r w:rsidRPr="004F21CA">
              <w:rPr>
                <w:rFonts w:ascii="David" w:hAnsi="David"/>
                <w:snapToGrid/>
                <w:sz w:val="26"/>
                <w:rtl/>
              </w:rPr>
              <w:t xml:space="preserve">הוראה למניעת יבוא תינתן לתקופה שלא תעלה על שלושה חודשים, ואולם מי שנתן את ההוראה רשאי </w:t>
            </w:r>
            <w:proofErr w:type="spellStart"/>
            <w:r w:rsidRPr="004F21CA">
              <w:rPr>
                <w:rFonts w:ascii="David" w:hAnsi="David"/>
                <w:snapToGrid/>
                <w:sz w:val="26"/>
                <w:rtl/>
              </w:rPr>
              <w:t>להאריכה</w:t>
            </w:r>
            <w:proofErr w:type="spellEnd"/>
            <w:r w:rsidRPr="004F21CA">
              <w:rPr>
                <w:rFonts w:ascii="David" w:hAnsi="David"/>
                <w:snapToGrid/>
                <w:sz w:val="26"/>
                <w:rtl/>
              </w:rPr>
              <w:t xml:space="preserve"> לתקופה נוספת שלא תעלה על שלושה חודשים; </w:t>
            </w:r>
          </w:p>
        </w:tc>
      </w:tr>
      <w:tr w:rsidR="00436A04" w:rsidRPr="004F21CA" w14:paraId="112D31DA" w14:textId="77777777" w:rsidTr="00337A6D">
        <w:trPr>
          <w:cantSplit/>
          <w:trHeight w:val="60"/>
        </w:trPr>
        <w:tc>
          <w:tcPr>
            <w:tcW w:w="1871" w:type="dxa"/>
          </w:tcPr>
          <w:p w14:paraId="07FDFAC6" w14:textId="77777777" w:rsidR="00436A04" w:rsidRPr="004F21CA" w:rsidRDefault="00436A04" w:rsidP="00436A04">
            <w:pPr>
              <w:pStyle w:val="TableSideHeading"/>
              <w:rPr>
                <w:rFonts w:ascii="David" w:hAnsi="David"/>
                <w:sz w:val="26"/>
              </w:rPr>
            </w:pPr>
          </w:p>
        </w:tc>
        <w:tc>
          <w:tcPr>
            <w:tcW w:w="624" w:type="dxa"/>
          </w:tcPr>
          <w:p w14:paraId="358A3DC5" w14:textId="77777777" w:rsidR="00436A04" w:rsidRPr="004F21CA" w:rsidRDefault="00436A04" w:rsidP="00436A04">
            <w:pPr>
              <w:pStyle w:val="TableText"/>
              <w:rPr>
                <w:rFonts w:ascii="David" w:hAnsi="David"/>
                <w:sz w:val="26"/>
              </w:rPr>
            </w:pPr>
          </w:p>
        </w:tc>
        <w:tc>
          <w:tcPr>
            <w:tcW w:w="624" w:type="dxa"/>
          </w:tcPr>
          <w:p w14:paraId="13707F1E" w14:textId="77777777" w:rsidR="00436A04" w:rsidRPr="004F21CA" w:rsidRDefault="00436A04" w:rsidP="00436A04">
            <w:pPr>
              <w:pStyle w:val="TableText"/>
              <w:rPr>
                <w:rFonts w:ascii="David" w:hAnsi="David"/>
                <w:sz w:val="26"/>
                <w:rtl/>
              </w:rPr>
            </w:pPr>
          </w:p>
        </w:tc>
        <w:tc>
          <w:tcPr>
            <w:tcW w:w="624" w:type="dxa"/>
          </w:tcPr>
          <w:p w14:paraId="5DC95F7D" w14:textId="77777777" w:rsidR="00436A04" w:rsidRPr="004F21CA" w:rsidRDefault="00436A04" w:rsidP="00436A04">
            <w:pPr>
              <w:pStyle w:val="TableText"/>
              <w:rPr>
                <w:rFonts w:ascii="David" w:hAnsi="David"/>
                <w:sz w:val="26"/>
                <w:rtl/>
              </w:rPr>
            </w:pPr>
          </w:p>
        </w:tc>
        <w:tc>
          <w:tcPr>
            <w:tcW w:w="624" w:type="dxa"/>
          </w:tcPr>
          <w:p w14:paraId="11612417" w14:textId="77777777" w:rsidR="00436A04" w:rsidRPr="004F21CA" w:rsidRDefault="00436A04" w:rsidP="00436A04">
            <w:pPr>
              <w:pStyle w:val="TableText"/>
              <w:numPr>
                <w:ilvl w:val="0"/>
                <w:numId w:val="20"/>
              </w:numPr>
              <w:tabs>
                <w:tab w:val="left" w:pos="624"/>
              </w:tabs>
              <w:jc w:val="both"/>
              <w:rPr>
                <w:rFonts w:ascii="David" w:hAnsi="David"/>
                <w:sz w:val="26"/>
              </w:rPr>
            </w:pPr>
          </w:p>
        </w:tc>
        <w:tc>
          <w:tcPr>
            <w:tcW w:w="5274" w:type="dxa"/>
          </w:tcPr>
          <w:p w14:paraId="56B24C7D" w14:textId="57862F64" w:rsidR="00436A04" w:rsidRPr="004F21CA" w:rsidRDefault="00436A04" w:rsidP="00436A04">
            <w:pPr>
              <w:pStyle w:val="TableBlock"/>
              <w:rPr>
                <w:rFonts w:ascii="David" w:hAnsi="David"/>
                <w:snapToGrid/>
                <w:sz w:val="26"/>
                <w:rtl/>
              </w:rPr>
            </w:pPr>
            <w:r w:rsidRPr="004F21CA">
              <w:rPr>
                <w:rFonts w:ascii="David" w:hAnsi="David"/>
                <w:sz w:val="26"/>
                <w:rtl/>
              </w:rPr>
              <w:t xml:space="preserve">השר רשאי לאצול סמכותו לפי תקנות משנה (א) ו-(ג) למנהל; </w:t>
            </w:r>
          </w:p>
        </w:tc>
      </w:tr>
      <w:tr w:rsidR="00436A04" w:rsidRPr="004F21CA" w14:paraId="0881F346" w14:textId="77777777" w:rsidTr="00337A6D">
        <w:trPr>
          <w:cantSplit/>
          <w:trHeight w:val="60"/>
        </w:trPr>
        <w:tc>
          <w:tcPr>
            <w:tcW w:w="1871" w:type="dxa"/>
          </w:tcPr>
          <w:p w14:paraId="601F9C39" w14:textId="77777777" w:rsidR="00436A04" w:rsidRPr="004F21CA" w:rsidRDefault="00436A04" w:rsidP="00436A04">
            <w:pPr>
              <w:pStyle w:val="TableSideHeading"/>
              <w:rPr>
                <w:rFonts w:ascii="David" w:hAnsi="David"/>
                <w:sz w:val="26"/>
              </w:rPr>
            </w:pPr>
          </w:p>
        </w:tc>
        <w:tc>
          <w:tcPr>
            <w:tcW w:w="624" w:type="dxa"/>
          </w:tcPr>
          <w:p w14:paraId="37B91CD6" w14:textId="77777777" w:rsidR="00436A04" w:rsidRPr="004F21CA" w:rsidRDefault="00436A04" w:rsidP="00436A04">
            <w:pPr>
              <w:pStyle w:val="TableText"/>
              <w:rPr>
                <w:rFonts w:ascii="David" w:hAnsi="David"/>
                <w:sz w:val="26"/>
              </w:rPr>
            </w:pPr>
          </w:p>
        </w:tc>
        <w:tc>
          <w:tcPr>
            <w:tcW w:w="624" w:type="dxa"/>
          </w:tcPr>
          <w:p w14:paraId="53940752" w14:textId="77777777" w:rsidR="00436A04" w:rsidRPr="004F21CA" w:rsidRDefault="00436A04" w:rsidP="00436A04">
            <w:pPr>
              <w:pStyle w:val="TableText"/>
              <w:rPr>
                <w:rFonts w:ascii="David" w:hAnsi="David"/>
                <w:sz w:val="26"/>
                <w:rtl/>
              </w:rPr>
            </w:pPr>
          </w:p>
        </w:tc>
        <w:tc>
          <w:tcPr>
            <w:tcW w:w="624" w:type="dxa"/>
          </w:tcPr>
          <w:p w14:paraId="70E9BCDD" w14:textId="77777777" w:rsidR="00436A04" w:rsidRPr="004F21CA" w:rsidRDefault="00436A04" w:rsidP="00436A04">
            <w:pPr>
              <w:pStyle w:val="TableText"/>
              <w:rPr>
                <w:rFonts w:ascii="David" w:hAnsi="David"/>
                <w:sz w:val="26"/>
                <w:rtl/>
              </w:rPr>
            </w:pPr>
          </w:p>
        </w:tc>
        <w:tc>
          <w:tcPr>
            <w:tcW w:w="624" w:type="dxa"/>
          </w:tcPr>
          <w:p w14:paraId="51FF4F96" w14:textId="77777777" w:rsidR="00436A04" w:rsidRPr="004F21CA" w:rsidRDefault="00436A04" w:rsidP="00436A04">
            <w:pPr>
              <w:pStyle w:val="TableText"/>
              <w:numPr>
                <w:ilvl w:val="0"/>
                <w:numId w:val="20"/>
              </w:numPr>
              <w:tabs>
                <w:tab w:val="left" w:pos="624"/>
              </w:tabs>
              <w:jc w:val="both"/>
              <w:rPr>
                <w:rFonts w:ascii="David" w:hAnsi="David"/>
                <w:sz w:val="26"/>
              </w:rPr>
            </w:pPr>
          </w:p>
        </w:tc>
        <w:tc>
          <w:tcPr>
            <w:tcW w:w="5274" w:type="dxa"/>
          </w:tcPr>
          <w:p w14:paraId="4A9D1D82" w14:textId="4CEEF274" w:rsidR="00436A04" w:rsidRPr="004F21CA" w:rsidRDefault="00436A04" w:rsidP="00436A04">
            <w:pPr>
              <w:pStyle w:val="4"/>
              <w:numPr>
                <w:ilvl w:val="0"/>
                <w:numId w:val="0"/>
              </w:numPr>
              <w:rPr>
                <w:b w:val="0"/>
                <w:bCs w:val="0"/>
                <w:sz w:val="26"/>
                <w:szCs w:val="26"/>
                <w:rtl/>
              </w:rPr>
            </w:pPr>
            <w:r w:rsidRPr="004F21CA">
              <w:rPr>
                <w:b w:val="0"/>
                <w:bCs w:val="0"/>
                <w:sz w:val="26"/>
                <w:szCs w:val="26"/>
                <w:rtl/>
              </w:rPr>
              <w:t>השר רשאי, בהתייעצות עם שר האוצר, להאריך את תוקפה של הוראה למניעת יבוא שהוארכה כאמור בתקנת משנה (ג), לתקופה נוספת שלא תעלה על שישה חודשים;</w:t>
            </w:r>
          </w:p>
        </w:tc>
      </w:tr>
      <w:tr w:rsidR="00436A04" w:rsidRPr="004F21CA" w14:paraId="457AACC1" w14:textId="77777777" w:rsidTr="00337A6D">
        <w:trPr>
          <w:cantSplit/>
          <w:trHeight w:val="60"/>
        </w:trPr>
        <w:tc>
          <w:tcPr>
            <w:tcW w:w="1871" w:type="dxa"/>
          </w:tcPr>
          <w:p w14:paraId="4B694282" w14:textId="77777777" w:rsidR="00436A04" w:rsidRPr="004F21CA" w:rsidRDefault="00436A04" w:rsidP="00436A04">
            <w:pPr>
              <w:pStyle w:val="TableSideHeading"/>
              <w:rPr>
                <w:rFonts w:ascii="David" w:hAnsi="David"/>
                <w:sz w:val="26"/>
              </w:rPr>
            </w:pPr>
          </w:p>
        </w:tc>
        <w:tc>
          <w:tcPr>
            <w:tcW w:w="624" w:type="dxa"/>
          </w:tcPr>
          <w:p w14:paraId="2029470D" w14:textId="77777777" w:rsidR="00436A04" w:rsidRPr="004F21CA" w:rsidRDefault="00436A04" w:rsidP="00436A04">
            <w:pPr>
              <w:pStyle w:val="TableText"/>
              <w:rPr>
                <w:rFonts w:ascii="David" w:hAnsi="David"/>
                <w:sz w:val="26"/>
              </w:rPr>
            </w:pPr>
          </w:p>
        </w:tc>
        <w:tc>
          <w:tcPr>
            <w:tcW w:w="624" w:type="dxa"/>
          </w:tcPr>
          <w:p w14:paraId="6A977EAF" w14:textId="77777777" w:rsidR="00436A04" w:rsidRPr="004F21CA" w:rsidRDefault="00436A04" w:rsidP="00436A04">
            <w:pPr>
              <w:pStyle w:val="TableText"/>
              <w:rPr>
                <w:rFonts w:ascii="David" w:hAnsi="David"/>
                <w:sz w:val="26"/>
                <w:rtl/>
              </w:rPr>
            </w:pPr>
          </w:p>
        </w:tc>
        <w:tc>
          <w:tcPr>
            <w:tcW w:w="624" w:type="dxa"/>
          </w:tcPr>
          <w:p w14:paraId="50E3EBEB" w14:textId="77777777" w:rsidR="00436A04" w:rsidRPr="004F21CA" w:rsidRDefault="00436A04" w:rsidP="00436A04">
            <w:pPr>
              <w:pStyle w:val="TableText"/>
              <w:rPr>
                <w:rFonts w:ascii="David" w:hAnsi="David"/>
                <w:sz w:val="26"/>
                <w:rtl/>
              </w:rPr>
            </w:pPr>
          </w:p>
        </w:tc>
        <w:tc>
          <w:tcPr>
            <w:tcW w:w="624" w:type="dxa"/>
          </w:tcPr>
          <w:p w14:paraId="52DE893C" w14:textId="77777777" w:rsidR="00436A04" w:rsidRPr="004F21CA" w:rsidRDefault="00436A04" w:rsidP="00436A04">
            <w:pPr>
              <w:pStyle w:val="TableText"/>
              <w:numPr>
                <w:ilvl w:val="0"/>
                <w:numId w:val="20"/>
              </w:numPr>
              <w:tabs>
                <w:tab w:val="left" w:pos="624"/>
              </w:tabs>
              <w:jc w:val="both"/>
              <w:rPr>
                <w:rFonts w:ascii="David" w:hAnsi="David"/>
                <w:sz w:val="26"/>
              </w:rPr>
            </w:pPr>
          </w:p>
        </w:tc>
        <w:tc>
          <w:tcPr>
            <w:tcW w:w="5274" w:type="dxa"/>
          </w:tcPr>
          <w:p w14:paraId="3E43AE18" w14:textId="087DF0CE" w:rsidR="00436A04" w:rsidRPr="004F21CA" w:rsidRDefault="00436A04" w:rsidP="00436A04">
            <w:pPr>
              <w:pStyle w:val="4"/>
              <w:numPr>
                <w:ilvl w:val="0"/>
                <w:numId w:val="0"/>
              </w:numPr>
              <w:rPr>
                <w:b w:val="0"/>
                <w:bCs w:val="0"/>
                <w:sz w:val="26"/>
                <w:szCs w:val="26"/>
                <w:rtl/>
              </w:rPr>
            </w:pPr>
            <w:r w:rsidRPr="004F21CA">
              <w:rPr>
                <w:b w:val="0"/>
                <w:bCs w:val="0"/>
                <w:sz w:val="26"/>
                <w:szCs w:val="26"/>
                <w:rtl/>
              </w:rPr>
              <w:t xml:space="preserve">השר רשאי, בהסכמת שר האוצר, להאריך את תוקפה של הוראה למניעת יבוא שהוארכה כאמור בתקנת משנה (ה) לתקופה נוספת שלא תעלה על שישה חודשים; </w:t>
            </w:r>
          </w:p>
        </w:tc>
      </w:tr>
      <w:tr w:rsidR="00436A04" w:rsidRPr="004F21CA" w14:paraId="13496E62" w14:textId="77777777" w:rsidTr="00337A6D">
        <w:trPr>
          <w:cantSplit/>
          <w:trHeight w:val="60"/>
        </w:trPr>
        <w:tc>
          <w:tcPr>
            <w:tcW w:w="1871" w:type="dxa"/>
          </w:tcPr>
          <w:p w14:paraId="7C5E7F3F" w14:textId="77777777" w:rsidR="00436A04" w:rsidRPr="004F21CA" w:rsidRDefault="00436A04" w:rsidP="00436A04">
            <w:pPr>
              <w:pStyle w:val="TableSideHeading"/>
              <w:rPr>
                <w:rFonts w:ascii="David" w:hAnsi="David"/>
                <w:sz w:val="26"/>
              </w:rPr>
            </w:pPr>
          </w:p>
        </w:tc>
        <w:tc>
          <w:tcPr>
            <w:tcW w:w="624" w:type="dxa"/>
          </w:tcPr>
          <w:p w14:paraId="50448447" w14:textId="77777777" w:rsidR="00436A04" w:rsidRPr="004F21CA" w:rsidRDefault="00436A04" w:rsidP="00436A04">
            <w:pPr>
              <w:pStyle w:val="TableText"/>
              <w:rPr>
                <w:rFonts w:ascii="David" w:hAnsi="David"/>
                <w:sz w:val="26"/>
              </w:rPr>
            </w:pPr>
          </w:p>
        </w:tc>
        <w:tc>
          <w:tcPr>
            <w:tcW w:w="624" w:type="dxa"/>
          </w:tcPr>
          <w:p w14:paraId="6F938350" w14:textId="77777777" w:rsidR="00436A04" w:rsidRPr="004F21CA" w:rsidRDefault="00436A04" w:rsidP="00436A04">
            <w:pPr>
              <w:pStyle w:val="TableText"/>
              <w:rPr>
                <w:rFonts w:ascii="David" w:hAnsi="David"/>
                <w:sz w:val="26"/>
                <w:rtl/>
              </w:rPr>
            </w:pPr>
          </w:p>
        </w:tc>
        <w:tc>
          <w:tcPr>
            <w:tcW w:w="624" w:type="dxa"/>
          </w:tcPr>
          <w:p w14:paraId="09218702" w14:textId="77777777" w:rsidR="00436A04" w:rsidRPr="004F21CA" w:rsidRDefault="00436A04" w:rsidP="00436A04">
            <w:pPr>
              <w:pStyle w:val="TableText"/>
              <w:rPr>
                <w:rFonts w:ascii="David" w:hAnsi="David"/>
                <w:sz w:val="26"/>
                <w:rtl/>
              </w:rPr>
            </w:pPr>
          </w:p>
        </w:tc>
        <w:tc>
          <w:tcPr>
            <w:tcW w:w="624" w:type="dxa"/>
          </w:tcPr>
          <w:p w14:paraId="6644FD6A" w14:textId="77777777" w:rsidR="00436A04" w:rsidRPr="004F21CA" w:rsidRDefault="00436A04" w:rsidP="00436A04">
            <w:pPr>
              <w:pStyle w:val="TableText"/>
              <w:numPr>
                <w:ilvl w:val="0"/>
                <w:numId w:val="20"/>
              </w:numPr>
              <w:tabs>
                <w:tab w:val="left" w:pos="624"/>
              </w:tabs>
              <w:jc w:val="both"/>
              <w:rPr>
                <w:rFonts w:ascii="David" w:hAnsi="David"/>
                <w:sz w:val="26"/>
              </w:rPr>
            </w:pPr>
          </w:p>
        </w:tc>
        <w:tc>
          <w:tcPr>
            <w:tcW w:w="5274" w:type="dxa"/>
          </w:tcPr>
          <w:p w14:paraId="387FA0D2" w14:textId="7D55E044" w:rsidR="00436A04" w:rsidRPr="004F21CA" w:rsidRDefault="00436A04" w:rsidP="00436A04">
            <w:pPr>
              <w:pStyle w:val="4"/>
              <w:numPr>
                <w:ilvl w:val="0"/>
                <w:numId w:val="0"/>
              </w:numPr>
              <w:rPr>
                <w:sz w:val="26"/>
                <w:szCs w:val="26"/>
                <w:rtl/>
              </w:rPr>
            </w:pPr>
            <w:r w:rsidRPr="004F21CA">
              <w:rPr>
                <w:b w:val="0"/>
                <w:bCs w:val="0"/>
                <w:sz w:val="26"/>
                <w:szCs w:val="26"/>
                <w:rtl/>
              </w:rPr>
              <w:t xml:space="preserve">ניתנה הוראה למניעת יבוא לפי תקנת משנה (א), רשאי מי שנתן את ההוראה להתיר יבואו של המוצר לגביו ניתנה ההוראה, בתנאים שייקבע, מתוך התנאים המפורטים בתוספת העשירית, אם מצא כי ניתן למנוע את הסכנה לבריאות הצומח מייבוא המוצר בהתקיים תנאים כאמור". </w:t>
            </w:r>
          </w:p>
        </w:tc>
      </w:tr>
      <w:tr w:rsidR="00436A04" w:rsidRPr="004F21CA" w14:paraId="0D6BC945" w14:textId="77777777" w:rsidTr="00337A6D">
        <w:trPr>
          <w:cantSplit/>
          <w:trHeight w:val="60"/>
        </w:trPr>
        <w:tc>
          <w:tcPr>
            <w:tcW w:w="1871" w:type="dxa"/>
          </w:tcPr>
          <w:p w14:paraId="031C7421" w14:textId="77777777" w:rsidR="00436A04" w:rsidRPr="004F21CA" w:rsidRDefault="00436A04" w:rsidP="00436A04">
            <w:pPr>
              <w:pStyle w:val="TableSideHeading"/>
              <w:rPr>
                <w:rFonts w:ascii="David" w:hAnsi="David"/>
                <w:sz w:val="26"/>
              </w:rPr>
            </w:pPr>
            <w:r w:rsidRPr="004F21CA">
              <w:rPr>
                <w:rFonts w:ascii="David" w:hAnsi="David"/>
                <w:sz w:val="26"/>
                <w:rtl/>
              </w:rPr>
              <w:t>תיקון תקנה 5</w:t>
            </w:r>
          </w:p>
        </w:tc>
        <w:tc>
          <w:tcPr>
            <w:tcW w:w="624" w:type="dxa"/>
          </w:tcPr>
          <w:p w14:paraId="759FD73F" w14:textId="77777777" w:rsidR="00436A04" w:rsidRPr="004F21CA" w:rsidRDefault="00436A04" w:rsidP="00436A04">
            <w:pPr>
              <w:pStyle w:val="TableText"/>
              <w:numPr>
                <w:ilvl w:val="0"/>
                <w:numId w:val="2"/>
              </w:numPr>
              <w:rPr>
                <w:rFonts w:ascii="David" w:hAnsi="David"/>
                <w:sz w:val="26"/>
              </w:rPr>
            </w:pPr>
          </w:p>
        </w:tc>
        <w:tc>
          <w:tcPr>
            <w:tcW w:w="7146" w:type="dxa"/>
            <w:gridSpan w:val="4"/>
          </w:tcPr>
          <w:p w14:paraId="1011941D" w14:textId="77777777" w:rsidR="00436A04" w:rsidRPr="004F21CA" w:rsidRDefault="00436A04" w:rsidP="00436A04">
            <w:pPr>
              <w:pStyle w:val="TableBlock"/>
              <w:rPr>
                <w:rFonts w:ascii="David" w:hAnsi="David"/>
                <w:sz w:val="26"/>
              </w:rPr>
            </w:pPr>
            <w:r w:rsidRPr="004F21CA">
              <w:rPr>
                <w:rFonts w:ascii="David" w:hAnsi="David"/>
                <w:sz w:val="26"/>
                <w:rtl/>
              </w:rPr>
              <w:t xml:space="preserve">בתקנה 5 לתקנות העיקריות - </w:t>
            </w:r>
          </w:p>
        </w:tc>
      </w:tr>
      <w:tr w:rsidR="00436A04" w:rsidRPr="004F21CA" w14:paraId="164D7FF7" w14:textId="77777777" w:rsidTr="00337A6D">
        <w:trPr>
          <w:cantSplit/>
          <w:trHeight w:val="60"/>
        </w:trPr>
        <w:tc>
          <w:tcPr>
            <w:tcW w:w="1871" w:type="dxa"/>
          </w:tcPr>
          <w:p w14:paraId="7B152066" w14:textId="77777777" w:rsidR="00436A04" w:rsidRPr="004F21CA" w:rsidRDefault="00436A04" w:rsidP="00436A04">
            <w:pPr>
              <w:pStyle w:val="TableSideHeading"/>
              <w:rPr>
                <w:rFonts w:ascii="David" w:hAnsi="David"/>
                <w:sz w:val="26"/>
              </w:rPr>
            </w:pPr>
          </w:p>
        </w:tc>
        <w:tc>
          <w:tcPr>
            <w:tcW w:w="624" w:type="dxa"/>
          </w:tcPr>
          <w:p w14:paraId="7488DC11" w14:textId="77777777" w:rsidR="00436A04" w:rsidRPr="004F21CA" w:rsidRDefault="00436A04" w:rsidP="00436A04">
            <w:pPr>
              <w:pStyle w:val="TableText"/>
              <w:rPr>
                <w:rFonts w:ascii="David" w:hAnsi="David"/>
                <w:sz w:val="26"/>
              </w:rPr>
            </w:pPr>
          </w:p>
        </w:tc>
        <w:tc>
          <w:tcPr>
            <w:tcW w:w="624" w:type="dxa"/>
          </w:tcPr>
          <w:p w14:paraId="416F717C" w14:textId="77777777" w:rsidR="00436A04" w:rsidRPr="004F21CA" w:rsidRDefault="00436A04" w:rsidP="00436A04">
            <w:pPr>
              <w:pStyle w:val="TableText"/>
              <w:numPr>
                <w:ilvl w:val="0"/>
                <w:numId w:val="21"/>
              </w:numPr>
              <w:tabs>
                <w:tab w:val="left" w:pos="624"/>
              </w:tabs>
              <w:jc w:val="both"/>
              <w:rPr>
                <w:rFonts w:ascii="David" w:hAnsi="David"/>
                <w:sz w:val="26"/>
              </w:rPr>
            </w:pPr>
          </w:p>
        </w:tc>
        <w:tc>
          <w:tcPr>
            <w:tcW w:w="6522" w:type="dxa"/>
            <w:gridSpan w:val="3"/>
          </w:tcPr>
          <w:p w14:paraId="6B617EE1" w14:textId="2CBA5E7D" w:rsidR="00436A04" w:rsidRPr="004F21CA" w:rsidRDefault="00436A04" w:rsidP="00436A04">
            <w:pPr>
              <w:pStyle w:val="TableBlock"/>
              <w:rPr>
                <w:rFonts w:ascii="David" w:hAnsi="David"/>
                <w:sz w:val="26"/>
              </w:rPr>
            </w:pPr>
            <w:r w:rsidRPr="004F21CA">
              <w:rPr>
                <w:rFonts w:ascii="David" w:hAnsi="David"/>
                <w:sz w:val="26"/>
                <w:rtl/>
              </w:rPr>
              <w:t xml:space="preserve">בתקנת משנה (א), במקום המילים "ויגישה למפקח בנמל היבוא" יבוא - </w:t>
            </w:r>
          </w:p>
        </w:tc>
      </w:tr>
      <w:tr w:rsidR="00436A04" w:rsidRPr="004F21CA" w14:paraId="55E9EEC3" w14:textId="77777777" w:rsidTr="00337A6D">
        <w:trPr>
          <w:cantSplit/>
          <w:trHeight w:val="60"/>
        </w:trPr>
        <w:tc>
          <w:tcPr>
            <w:tcW w:w="1871" w:type="dxa"/>
          </w:tcPr>
          <w:p w14:paraId="3632F4E2" w14:textId="77777777" w:rsidR="00436A04" w:rsidRPr="004F21CA" w:rsidRDefault="00436A04" w:rsidP="00436A04">
            <w:pPr>
              <w:pStyle w:val="TableSideHeading"/>
              <w:rPr>
                <w:rFonts w:ascii="David" w:hAnsi="David"/>
                <w:sz w:val="26"/>
              </w:rPr>
            </w:pPr>
          </w:p>
        </w:tc>
        <w:tc>
          <w:tcPr>
            <w:tcW w:w="624" w:type="dxa"/>
          </w:tcPr>
          <w:p w14:paraId="5BE946E2" w14:textId="77777777" w:rsidR="00436A04" w:rsidRPr="004F21CA" w:rsidRDefault="00436A04" w:rsidP="00436A04">
            <w:pPr>
              <w:pStyle w:val="TableText"/>
              <w:rPr>
                <w:rFonts w:ascii="David" w:hAnsi="David"/>
                <w:sz w:val="26"/>
              </w:rPr>
            </w:pPr>
          </w:p>
        </w:tc>
        <w:tc>
          <w:tcPr>
            <w:tcW w:w="624" w:type="dxa"/>
          </w:tcPr>
          <w:p w14:paraId="1F514291" w14:textId="77777777" w:rsidR="00436A04" w:rsidRPr="004F21CA" w:rsidRDefault="00436A04" w:rsidP="00436A04">
            <w:pPr>
              <w:pStyle w:val="TableText"/>
              <w:rPr>
                <w:rFonts w:ascii="David" w:hAnsi="David"/>
                <w:sz w:val="26"/>
              </w:rPr>
            </w:pPr>
          </w:p>
        </w:tc>
        <w:tc>
          <w:tcPr>
            <w:tcW w:w="624" w:type="dxa"/>
          </w:tcPr>
          <w:p w14:paraId="0B736ED3" w14:textId="77777777" w:rsidR="00436A04" w:rsidRPr="004F21CA" w:rsidRDefault="00436A04" w:rsidP="00436A04">
            <w:pPr>
              <w:pStyle w:val="TableText"/>
              <w:rPr>
                <w:rFonts w:ascii="David" w:hAnsi="David"/>
                <w:sz w:val="26"/>
              </w:rPr>
            </w:pPr>
          </w:p>
        </w:tc>
        <w:tc>
          <w:tcPr>
            <w:tcW w:w="5898" w:type="dxa"/>
            <w:gridSpan w:val="2"/>
          </w:tcPr>
          <w:p w14:paraId="666F4654" w14:textId="6036C9E6" w:rsidR="00436A04" w:rsidRPr="004F21CA" w:rsidRDefault="00436A04" w:rsidP="00436A04">
            <w:pPr>
              <w:pStyle w:val="TableBlock"/>
              <w:rPr>
                <w:rFonts w:ascii="David" w:hAnsi="David"/>
                <w:sz w:val="26"/>
              </w:rPr>
            </w:pPr>
            <w:r w:rsidRPr="004F21CA">
              <w:rPr>
                <w:rFonts w:ascii="David" w:hAnsi="David"/>
                <w:sz w:val="26"/>
                <w:rtl/>
              </w:rPr>
              <w:t xml:space="preserve">"הכוללת פרטים מלאים ומדויקים בכל הנושאים המפורטים בה ועונה על תנאי הרישיון ותנאי התוספת הרביעית, ובכלל כך תכלול הצהרת מדינת המקור על עמידת הטובין בתנאים כאמור, ויגישה למפקח בנמל היבוא"; </w:t>
            </w:r>
          </w:p>
        </w:tc>
      </w:tr>
      <w:tr w:rsidR="00436A04" w:rsidRPr="004F21CA" w14:paraId="5281BFA2" w14:textId="77777777" w:rsidTr="00337A6D">
        <w:trPr>
          <w:cantSplit/>
          <w:trHeight w:val="60"/>
        </w:trPr>
        <w:tc>
          <w:tcPr>
            <w:tcW w:w="1871" w:type="dxa"/>
          </w:tcPr>
          <w:p w14:paraId="0A799E69" w14:textId="77777777" w:rsidR="00436A04" w:rsidRPr="004F21CA" w:rsidRDefault="00436A04" w:rsidP="00436A04">
            <w:pPr>
              <w:pStyle w:val="TableSideHeading"/>
              <w:rPr>
                <w:rFonts w:ascii="David" w:hAnsi="David"/>
                <w:sz w:val="26"/>
              </w:rPr>
            </w:pPr>
          </w:p>
        </w:tc>
        <w:tc>
          <w:tcPr>
            <w:tcW w:w="624" w:type="dxa"/>
          </w:tcPr>
          <w:p w14:paraId="76BEE760" w14:textId="77777777" w:rsidR="00436A04" w:rsidRPr="004F21CA" w:rsidRDefault="00436A04" w:rsidP="00436A04">
            <w:pPr>
              <w:pStyle w:val="TableText"/>
              <w:rPr>
                <w:rFonts w:ascii="David" w:hAnsi="David"/>
                <w:sz w:val="26"/>
              </w:rPr>
            </w:pPr>
          </w:p>
        </w:tc>
        <w:tc>
          <w:tcPr>
            <w:tcW w:w="624" w:type="dxa"/>
          </w:tcPr>
          <w:p w14:paraId="14BF47C9" w14:textId="77777777" w:rsidR="00436A04" w:rsidRPr="004F21CA" w:rsidRDefault="00436A04" w:rsidP="00436A04">
            <w:pPr>
              <w:pStyle w:val="TableText"/>
              <w:numPr>
                <w:ilvl w:val="0"/>
                <w:numId w:val="21"/>
              </w:numPr>
              <w:tabs>
                <w:tab w:val="left" w:pos="624"/>
              </w:tabs>
              <w:jc w:val="both"/>
              <w:rPr>
                <w:rFonts w:ascii="David" w:hAnsi="David"/>
                <w:sz w:val="26"/>
              </w:rPr>
            </w:pPr>
          </w:p>
        </w:tc>
        <w:tc>
          <w:tcPr>
            <w:tcW w:w="6522" w:type="dxa"/>
            <w:gridSpan w:val="3"/>
          </w:tcPr>
          <w:p w14:paraId="0931B1E1" w14:textId="77777777" w:rsidR="00436A04" w:rsidRPr="004F21CA" w:rsidRDefault="00436A04" w:rsidP="00436A04">
            <w:pPr>
              <w:pStyle w:val="TableBlock"/>
              <w:rPr>
                <w:rFonts w:ascii="David" w:hAnsi="David"/>
                <w:sz w:val="26"/>
                <w:rtl/>
              </w:rPr>
            </w:pPr>
            <w:r w:rsidRPr="004F21CA">
              <w:rPr>
                <w:rFonts w:ascii="David" w:hAnsi="David"/>
                <w:sz w:val="26"/>
                <w:rtl/>
              </w:rPr>
              <w:t xml:space="preserve">תקנת משנה (ה) – תימחק; </w:t>
            </w:r>
          </w:p>
        </w:tc>
      </w:tr>
      <w:tr w:rsidR="00436A04" w:rsidRPr="004F21CA" w14:paraId="2EA9C3D0" w14:textId="77777777" w:rsidTr="00337A6D">
        <w:trPr>
          <w:cantSplit/>
          <w:trHeight w:val="60"/>
        </w:trPr>
        <w:tc>
          <w:tcPr>
            <w:tcW w:w="1871" w:type="dxa"/>
          </w:tcPr>
          <w:p w14:paraId="56A17AD9" w14:textId="77777777" w:rsidR="00436A04" w:rsidRPr="004F21CA" w:rsidRDefault="00436A04" w:rsidP="00436A04">
            <w:pPr>
              <w:pStyle w:val="TableSideHeading"/>
              <w:rPr>
                <w:rFonts w:ascii="David" w:hAnsi="David"/>
                <w:sz w:val="26"/>
              </w:rPr>
            </w:pPr>
          </w:p>
        </w:tc>
        <w:tc>
          <w:tcPr>
            <w:tcW w:w="624" w:type="dxa"/>
          </w:tcPr>
          <w:p w14:paraId="0BF2BE3D" w14:textId="77777777" w:rsidR="00436A04" w:rsidRPr="004F21CA" w:rsidRDefault="00436A04" w:rsidP="00436A04">
            <w:pPr>
              <w:pStyle w:val="TableText"/>
              <w:rPr>
                <w:rFonts w:ascii="David" w:hAnsi="David"/>
                <w:sz w:val="26"/>
              </w:rPr>
            </w:pPr>
          </w:p>
        </w:tc>
        <w:tc>
          <w:tcPr>
            <w:tcW w:w="624" w:type="dxa"/>
          </w:tcPr>
          <w:p w14:paraId="7A78D0BF" w14:textId="77777777" w:rsidR="00436A04" w:rsidRPr="004F21CA" w:rsidRDefault="00436A04" w:rsidP="00436A04">
            <w:pPr>
              <w:pStyle w:val="TableText"/>
              <w:numPr>
                <w:ilvl w:val="0"/>
                <w:numId w:val="21"/>
              </w:numPr>
              <w:tabs>
                <w:tab w:val="left" w:pos="624"/>
              </w:tabs>
              <w:jc w:val="both"/>
              <w:rPr>
                <w:rFonts w:ascii="David" w:hAnsi="David"/>
                <w:sz w:val="26"/>
              </w:rPr>
            </w:pPr>
          </w:p>
        </w:tc>
        <w:tc>
          <w:tcPr>
            <w:tcW w:w="6522" w:type="dxa"/>
            <w:gridSpan w:val="3"/>
          </w:tcPr>
          <w:p w14:paraId="07ED1E22" w14:textId="77777777" w:rsidR="00436A04" w:rsidRPr="004F21CA" w:rsidRDefault="00436A04" w:rsidP="00436A04">
            <w:pPr>
              <w:pStyle w:val="TableBlock"/>
              <w:rPr>
                <w:rFonts w:ascii="David" w:hAnsi="David"/>
                <w:sz w:val="26"/>
                <w:rtl/>
              </w:rPr>
            </w:pPr>
            <w:r w:rsidRPr="004F21CA">
              <w:rPr>
                <w:rFonts w:ascii="David" w:hAnsi="David"/>
                <w:sz w:val="26"/>
                <w:rtl/>
              </w:rPr>
              <w:t xml:space="preserve">אחרי תקנת משנה (ח) יבוא: </w:t>
            </w:r>
          </w:p>
        </w:tc>
      </w:tr>
      <w:tr w:rsidR="00436A04" w:rsidRPr="004F21CA" w14:paraId="517CAAE3" w14:textId="77777777" w:rsidTr="00337A6D">
        <w:trPr>
          <w:cantSplit/>
          <w:trHeight w:val="60"/>
        </w:trPr>
        <w:tc>
          <w:tcPr>
            <w:tcW w:w="1871" w:type="dxa"/>
          </w:tcPr>
          <w:p w14:paraId="41C9C4A6" w14:textId="77777777" w:rsidR="00436A04" w:rsidRPr="004F21CA" w:rsidRDefault="00436A04" w:rsidP="00436A04">
            <w:pPr>
              <w:pStyle w:val="TableSideHeading"/>
              <w:rPr>
                <w:rFonts w:ascii="David" w:hAnsi="David"/>
                <w:sz w:val="26"/>
              </w:rPr>
            </w:pPr>
          </w:p>
        </w:tc>
        <w:tc>
          <w:tcPr>
            <w:tcW w:w="624" w:type="dxa"/>
          </w:tcPr>
          <w:p w14:paraId="7489F615" w14:textId="77777777" w:rsidR="00436A04" w:rsidRPr="004F21CA" w:rsidRDefault="00436A04" w:rsidP="00436A04">
            <w:pPr>
              <w:pStyle w:val="TableText"/>
              <w:rPr>
                <w:rFonts w:ascii="David" w:hAnsi="David"/>
                <w:sz w:val="26"/>
              </w:rPr>
            </w:pPr>
          </w:p>
        </w:tc>
        <w:tc>
          <w:tcPr>
            <w:tcW w:w="624" w:type="dxa"/>
          </w:tcPr>
          <w:p w14:paraId="6BB28567" w14:textId="77777777" w:rsidR="00436A04" w:rsidRPr="004F21CA" w:rsidRDefault="00436A04" w:rsidP="00436A04">
            <w:pPr>
              <w:pStyle w:val="TableText"/>
              <w:rPr>
                <w:rFonts w:ascii="David" w:hAnsi="David"/>
                <w:sz w:val="26"/>
              </w:rPr>
            </w:pPr>
          </w:p>
        </w:tc>
        <w:tc>
          <w:tcPr>
            <w:tcW w:w="624" w:type="dxa"/>
          </w:tcPr>
          <w:p w14:paraId="3AB4B156" w14:textId="77777777" w:rsidR="00436A04" w:rsidRPr="004F21CA" w:rsidRDefault="00436A04" w:rsidP="00436A04">
            <w:pPr>
              <w:pStyle w:val="TableText"/>
              <w:rPr>
                <w:rFonts w:ascii="David" w:hAnsi="David"/>
                <w:sz w:val="26"/>
              </w:rPr>
            </w:pPr>
            <w:r w:rsidRPr="004F21CA">
              <w:rPr>
                <w:rFonts w:ascii="David" w:hAnsi="David"/>
                <w:sz w:val="26"/>
                <w:rtl/>
              </w:rPr>
              <w:t>"(ט)</w:t>
            </w:r>
          </w:p>
        </w:tc>
        <w:tc>
          <w:tcPr>
            <w:tcW w:w="5898" w:type="dxa"/>
            <w:gridSpan w:val="2"/>
          </w:tcPr>
          <w:p w14:paraId="4103FFE4" w14:textId="77777777" w:rsidR="00436A04" w:rsidRPr="004F21CA" w:rsidRDefault="00436A04" w:rsidP="00436A04">
            <w:pPr>
              <w:pStyle w:val="TableBlock"/>
              <w:rPr>
                <w:rFonts w:ascii="David" w:hAnsi="David"/>
                <w:sz w:val="26"/>
              </w:rPr>
            </w:pPr>
            <w:r w:rsidRPr="004F21CA">
              <w:rPr>
                <w:rFonts w:ascii="David" w:hAnsi="David"/>
                <w:sz w:val="26"/>
                <w:rtl/>
              </w:rPr>
              <w:t xml:space="preserve">תנאי לתוקפה של תעודת בריאות למשלוח של פירות או ירקות טריים המפורטים בתוספת הרביעית הוא שהשירותים להגנת הצומח בארץ המקור מסרו למנהל הודעה מוקדמת בכתב על עמידת המדינה בדרישות המפורטות בתוספת הרביעית לגבי אותו פרי או ירק". </w:t>
            </w:r>
          </w:p>
        </w:tc>
      </w:tr>
      <w:tr w:rsidR="00436A04" w:rsidRPr="004F21CA" w14:paraId="3E732B2C" w14:textId="77777777" w:rsidTr="00337A6D">
        <w:trPr>
          <w:cantSplit/>
          <w:trHeight w:val="60"/>
        </w:trPr>
        <w:tc>
          <w:tcPr>
            <w:tcW w:w="1871" w:type="dxa"/>
          </w:tcPr>
          <w:p w14:paraId="36B4B73C" w14:textId="0053393C" w:rsidR="00436A04" w:rsidRPr="004F21CA" w:rsidRDefault="00436A04" w:rsidP="00436A04">
            <w:pPr>
              <w:pStyle w:val="TableSideHeading"/>
              <w:rPr>
                <w:rFonts w:ascii="David" w:hAnsi="David"/>
                <w:sz w:val="26"/>
                <w:rtl/>
              </w:rPr>
            </w:pPr>
            <w:r w:rsidRPr="004F21CA">
              <w:rPr>
                <w:rFonts w:ascii="David" w:hAnsi="David"/>
                <w:sz w:val="26"/>
                <w:rtl/>
              </w:rPr>
              <w:t>תיקון תקנה 6</w:t>
            </w:r>
          </w:p>
        </w:tc>
        <w:tc>
          <w:tcPr>
            <w:tcW w:w="624" w:type="dxa"/>
          </w:tcPr>
          <w:p w14:paraId="4DE63A6F" w14:textId="77777777" w:rsidR="00436A04" w:rsidRPr="004F21CA" w:rsidRDefault="00436A04" w:rsidP="00436A04">
            <w:pPr>
              <w:pStyle w:val="TableText"/>
              <w:numPr>
                <w:ilvl w:val="0"/>
                <w:numId w:val="2"/>
              </w:numPr>
              <w:rPr>
                <w:rFonts w:ascii="David" w:hAnsi="David"/>
                <w:sz w:val="26"/>
              </w:rPr>
            </w:pPr>
          </w:p>
        </w:tc>
        <w:tc>
          <w:tcPr>
            <w:tcW w:w="7146" w:type="dxa"/>
            <w:gridSpan w:val="4"/>
          </w:tcPr>
          <w:p w14:paraId="145C92A9" w14:textId="4FA473A4" w:rsidR="00436A04" w:rsidRPr="004F21CA" w:rsidRDefault="00436A04" w:rsidP="00436A04">
            <w:pPr>
              <w:pStyle w:val="TableBlock"/>
              <w:rPr>
                <w:rFonts w:ascii="David" w:hAnsi="David"/>
                <w:sz w:val="26"/>
                <w:rtl/>
              </w:rPr>
            </w:pPr>
            <w:r w:rsidRPr="004F21CA">
              <w:rPr>
                <w:rFonts w:ascii="David" w:hAnsi="David"/>
                <w:sz w:val="26"/>
                <w:rtl/>
              </w:rPr>
              <w:t xml:space="preserve">בתקנה 6 לתקנות העיקריות - </w:t>
            </w:r>
          </w:p>
        </w:tc>
      </w:tr>
      <w:tr w:rsidR="00436A04" w:rsidRPr="004F21CA" w14:paraId="055E56F1" w14:textId="77777777" w:rsidTr="006672A2">
        <w:trPr>
          <w:cantSplit/>
          <w:trHeight w:val="60"/>
        </w:trPr>
        <w:tc>
          <w:tcPr>
            <w:tcW w:w="1871" w:type="dxa"/>
          </w:tcPr>
          <w:p w14:paraId="4166655D" w14:textId="77777777" w:rsidR="00436A04" w:rsidRPr="004F21CA" w:rsidRDefault="00436A04" w:rsidP="00436A04">
            <w:pPr>
              <w:pStyle w:val="TableSideHeading"/>
              <w:rPr>
                <w:rFonts w:ascii="David" w:hAnsi="David"/>
                <w:sz w:val="26"/>
              </w:rPr>
            </w:pPr>
          </w:p>
        </w:tc>
        <w:tc>
          <w:tcPr>
            <w:tcW w:w="624" w:type="dxa"/>
          </w:tcPr>
          <w:p w14:paraId="104B6546" w14:textId="77777777" w:rsidR="00436A04" w:rsidRPr="004F21CA" w:rsidRDefault="00436A04" w:rsidP="00436A04">
            <w:pPr>
              <w:pStyle w:val="TableText"/>
              <w:rPr>
                <w:rFonts w:ascii="David" w:hAnsi="David"/>
                <w:sz w:val="26"/>
              </w:rPr>
            </w:pPr>
          </w:p>
        </w:tc>
        <w:tc>
          <w:tcPr>
            <w:tcW w:w="624" w:type="dxa"/>
          </w:tcPr>
          <w:p w14:paraId="3778E2A8" w14:textId="77777777" w:rsidR="00436A04" w:rsidRPr="004F21CA" w:rsidRDefault="00436A04" w:rsidP="00436A04">
            <w:pPr>
              <w:pStyle w:val="TableText"/>
              <w:numPr>
                <w:ilvl w:val="0"/>
                <w:numId w:val="34"/>
              </w:numPr>
              <w:tabs>
                <w:tab w:val="left" w:pos="624"/>
              </w:tabs>
              <w:jc w:val="both"/>
              <w:rPr>
                <w:rFonts w:ascii="David" w:hAnsi="David"/>
                <w:sz w:val="26"/>
              </w:rPr>
            </w:pPr>
          </w:p>
        </w:tc>
        <w:tc>
          <w:tcPr>
            <w:tcW w:w="6522" w:type="dxa"/>
            <w:gridSpan w:val="3"/>
          </w:tcPr>
          <w:p w14:paraId="339C11A9" w14:textId="47E5C315" w:rsidR="00436A04" w:rsidRPr="004F21CA" w:rsidRDefault="00436A04" w:rsidP="00436A04">
            <w:pPr>
              <w:pStyle w:val="TableBlock"/>
              <w:rPr>
                <w:rFonts w:ascii="David" w:hAnsi="David"/>
                <w:sz w:val="26"/>
              </w:rPr>
            </w:pPr>
            <w:r w:rsidRPr="004F21CA">
              <w:rPr>
                <w:rFonts w:ascii="David" w:hAnsi="David"/>
                <w:sz w:val="26"/>
                <w:rtl/>
              </w:rPr>
              <w:t>במקום המילים "היבוא,</w:t>
            </w:r>
            <w:r w:rsidR="00496268">
              <w:rPr>
                <w:rFonts w:ascii="David" w:hAnsi="David"/>
                <w:sz w:val="26"/>
                <w:rtl/>
              </w:rPr>
              <w:t xml:space="preserve"> לאחר שקיבל הודעה על כך" יבוא "</w:t>
            </w:r>
            <w:r w:rsidRPr="004F21CA">
              <w:rPr>
                <w:rFonts w:ascii="David" w:hAnsi="David"/>
                <w:sz w:val="26"/>
                <w:rtl/>
              </w:rPr>
              <w:t>יבוא ימי לפחות 48 שעות טרם הגעת המשלוח לנמל, ולנמל יבוא יבשתי או אווירי לפחות 24 שעות טרם הגעת המשלוח לנמל";</w:t>
            </w:r>
          </w:p>
        </w:tc>
      </w:tr>
      <w:tr w:rsidR="00436A04" w:rsidRPr="004F21CA" w14:paraId="6F3D3011" w14:textId="77777777" w:rsidTr="006672A2">
        <w:trPr>
          <w:cantSplit/>
          <w:trHeight w:val="60"/>
        </w:trPr>
        <w:tc>
          <w:tcPr>
            <w:tcW w:w="1871" w:type="dxa"/>
          </w:tcPr>
          <w:p w14:paraId="1843106F" w14:textId="77777777" w:rsidR="00436A04" w:rsidRPr="004F21CA" w:rsidRDefault="00436A04" w:rsidP="00436A04">
            <w:pPr>
              <w:pStyle w:val="TableSideHeading"/>
              <w:rPr>
                <w:rFonts w:ascii="David" w:hAnsi="David"/>
                <w:sz w:val="26"/>
              </w:rPr>
            </w:pPr>
          </w:p>
        </w:tc>
        <w:tc>
          <w:tcPr>
            <w:tcW w:w="624" w:type="dxa"/>
          </w:tcPr>
          <w:p w14:paraId="5FDA3D40" w14:textId="77777777" w:rsidR="00436A04" w:rsidRPr="004F21CA" w:rsidRDefault="00436A04" w:rsidP="00436A04">
            <w:pPr>
              <w:pStyle w:val="TableText"/>
              <w:rPr>
                <w:rFonts w:ascii="David" w:hAnsi="David"/>
                <w:sz w:val="26"/>
              </w:rPr>
            </w:pPr>
          </w:p>
        </w:tc>
        <w:tc>
          <w:tcPr>
            <w:tcW w:w="624" w:type="dxa"/>
          </w:tcPr>
          <w:p w14:paraId="526CB2AA" w14:textId="77777777" w:rsidR="00436A04" w:rsidRPr="004F21CA" w:rsidRDefault="00436A04" w:rsidP="00436A04">
            <w:pPr>
              <w:pStyle w:val="TableText"/>
              <w:numPr>
                <w:ilvl w:val="0"/>
                <w:numId w:val="34"/>
              </w:numPr>
              <w:tabs>
                <w:tab w:val="left" w:pos="624"/>
              </w:tabs>
              <w:jc w:val="both"/>
              <w:rPr>
                <w:rFonts w:ascii="David" w:hAnsi="David"/>
                <w:sz w:val="26"/>
              </w:rPr>
            </w:pPr>
          </w:p>
        </w:tc>
        <w:tc>
          <w:tcPr>
            <w:tcW w:w="6522" w:type="dxa"/>
            <w:gridSpan w:val="3"/>
          </w:tcPr>
          <w:p w14:paraId="2F0F0B9C" w14:textId="07D13C14" w:rsidR="00436A04" w:rsidRPr="004F21CA" w:rsidRDefault="00436A04" w:rsidP="00436A04">
            <w:pPr>
              <w:pStyle w:val="TableBlock"/>
              <w:rPr>
                <w:rFonts w:ascii="David" w:hAnsi="David"/>
                <w:sz w:val="26"/>
                <w:rtl/>
              </w:rPr>
            </w:pPr>
            <w:r w:rsidRPr="004F21CA">
              <w:rPr>
                <w:rFonts w:ascii="David" w:hAnsi="David"/>
                <w:sz w:val="26"/>
                <w:rtl/>
              </w:rPr>
              <w:t>בסופה יבוא "</w:t>
            </w:r>
            <w:r w:rsidRPr="004F21CA">
              <w:rPr>
                <w:rFonts w:ascii="David" w:hAnsi="David"/>
                <w:snapToGrid/>
                <w:sz w:val="26"/>
                <w:rtl/>
              </w:rPr>
              <w:t>מתן הודעה כאמור יתאפשר גם באופן מקוון דרך אתר האינטרנט".</w:t>
            </w:r>
          </w:p>
        </w:tc>
      </w:tr>
      <w:tr w:rsidR="00436A04" w:rsidRPr="004F21CA" w14:paraId="2E642C96" w14:textId="77777777" w:rsidTr="00337A6D">
        <w:trPr>
          <w:cantSplit/>
          <w:trHeight w:val="60"/>
        </w:trPr>
        <w:tc>
          <w:tcPr>
            <w:tcW w:w="1871" w:type="dxa"/>
          </w:tcPr>
          <w:p w14:paraId="7F8337BD" w14:textId="77777777" w:rsidR="00436A04" w:rsidRPr="004F21CA" w:rsidRDefault="00436A04" w:rsidP="00436A04">
            <w:pPr>
              <w:pStyle w:val="TableSideHeading"/>
              <w:rPr>
                <w:rFonts w:ascii="David" w:hAnsi="David"/>
                <w:sz w:val="26"/>
              </w:rPr>
            </w:pPr>
            <w:r w:rsidRPr="004F21CA">
              <w:rPr>
                <w:rFonts w:ascii="David" w:hAnsi="David"/>
                <w:sz w:val="26"/>
                <w:rtl/>
              </w:rPr>
              <w:t>תיקון תקנה 8</w:t>
            </w:r>
          </w:p>
        </w:tc>
        <w:tc>
          <w:tcPr>
            <w:tcW w:w="624" w:type="dxa"/>
          </w:tcPr>
          <w:p w14:paraId="67FE5B59" w14:textId="77777777" w:rsidR="00436A04" w:rsidRPr="004F21CA" w:rsidRDefault="00436A04" w:rsidP="00436A04">
            <w:pPr>
              <w:pStyle w:val="TableText"/>
              <w:numPr>
                <w:ilvl w:val="0"/>
                <w:numId w:val="2"/>
              </w:numPr>
              <w:rPr>
                <w:rFonts w:ascii="David" w:hAnsi="David"/>
                <w:sz w:val="26"/>
              </w:rPr>
            </w:pPr>
          </w:p>
        </w:tc>
        <w:tc>
          <w:tcPr>
            <w:tcW w:w="7146" w:type="dxa"/>
            <w:gridSpan w:val="4"/>
          </w:tcPr>
          <w:p w14:paraId="240351C1" w14:textId="00FA8351" w:rsidR="00436A04" w:rsidRPr="004F21CA" w:rsidRDefault="00436A04" w:rsidP="00436A04">
            <w:pPr>
              <w:pStyle w:val="TableBlock"/>
              <w:rPr>
                <w:rFonts w:ascii="David" w:hAnsi="David"/>
                <w:sz w:val="26"/>
              </w:rPr>
            </w:pPr>
            <w:r w:rsidRPr="004F21CA">
              <w:rPr>
                <w:rFonts w:ascii="David" w:hAnsi="David"/>
                <w:sz w:val="26"/>
                <w:rtl/>
              </w:rPr>
              <w:t xml:space="preserve">בתקנה 8 לתקנות העיקריות, בתקנת משנה (ג), אחרי המילים "ובתנאים שקבע" יבוא - </w:t>
            </w:r>
          </w:p>
        </w:tc>
      </w:tr>
      <w:tr w:rsidR="00436A04" w:rsidRPr="004F21CA" w14:paraId="4DEC5D76" w14:textId="77777777">
        <w:trPr>
          <w:cantSplit/>
          <w:trHeight w:val="60"/>
        </w:trPr>
        <w:tc>
          <w:tcPr>
            <w:tcW w:w="1871" w:type="dxa"/>
          </w:tcPr>
          <w:p w14:paraId="6F122758" w14:textId="77777777" w:rsidR="00436A04" w:rsidRPr="004F21CA" w:rsidRDefault="00436A04" w:rsidP="00436A04">
            <w:pPr>
              <w:pStyle w:val="TableSideHeading"/>
              <w:rPr>
                <w:rFonts w:ascii="David" w:hAnsi="David"/>
                <w:sz w:val="26"/>
              </w:rPr>
            </w:pPr>
          </w:p>
        </w:tc>
        <w:tc>
          <w:tcPr>
            <w:tcW w:w="624" w:type="dxa"/>
          </w:tcPr>
          <w:p w14:paraId="267C3DA7" w14:textId="77777777" w:rsidR="00436A04" w:rsidRPr="004F21CA" w:rsidRDefault="00436A04" w:rsidP="00436A04">
            <w:pPr>
              <w:pStyle w:val="TableText"/>
              <w:rPr>
                <w:rFonts w:ascii="David" w:hAnsi="David"/>
                <w:sz w:val="26"/>
              </w:rPr>
            </w:pPr>
          </w:p>
        </w:tc>
        <w:tc>
          <w:tcPr>
            <w:tcW w:w="624" w:type="dxa"/>
          </w:tcPr>
          <w:p w14:paraId="0755EBB0" w14:textId="77777777" w:rsidR="00436A04" w:rsidRPr="004F21CA" w:rsidRDefault="00436A04" w:rsidP="00436A04">
            <w:pPr>
              <w:pStyle w:val="TableText"/>
              <w:rPr>
                <w:rFonts w:ascii="David" w:hAnsi="David"/>
                <w:sz w:val="26"/>
              </w:rPr>
            </w:pPr>
          </w:p>
        </w:tc>
        <w:tc>
          <w:tcPr>
            <w:tcW w:w="6522" w:type="dxa"/>
            <w:gridSpan w:val="3"/>
          </w:tcPr>
          <w:p w14:paraId="063F8560" w14:textId="2E8C09D7" w:rsidR="00436A04" w:rsidRPr="004F21CA" w:rsidRDefault="00436A04" w:rsidP="00436A04">
            <w:pPr>
              <w:pStyle w:val="TableBlock"/>
              <w:rPr>
                <w:rFonts w:ascii="David" w:hAnsi="David"/>
                <w:sz w:val="26"/>
              </w:rPr>
            </w:pPr>
            <w:r w:rsidRPr="004F21CA">
              <w:rPr>
                <w:rFonts w:ascii="David" w:hAnsi="David"/>
                <w:sz w:val="26"/>
                <w:rtl/>
              </w:rPr>
              <w:t xml:space="preserve">"אם מצא שיש טיפול יעיל להכחדת הנגע,". </w:t>
            </w:r>
          </w:p>
        </w:tc>
      </w:tr>
      <w:tr w:rsidR="00436A04" w:rsidRPr="004F21CA" w14:paraId="35A72F18" w14:textId="77777777" w:rsidTr="00337A6D">
        <w:trPr>
          <w:cantSplit/>
          <w:trHeight w:val="60"/>
        </w:trPr>
        <w:tc>
          <w:tcPr>
            <w:tcW w:w="1871" w:type="dxa"/>
          </w:tcPr>
          <w:p w14:paraId="4B8AB545" w14:textId="78846FE7" w:rsidR="00436A04" w:rsidRPr="004F21CA" w:rsidRDefault="00436A04" w:rsidP="00436A04">
            <w:pPr>
              <w:pStyle w:val="TableSideHeading"/>
              <w:rPr>
                <w:rFonts w:ascii="David" w:hAnsi="David"/>
                <w:sz w:val="26"/>
                <w:rtl/>
              </w:rPr>
            </w:pPr>
            <w:r w:rsidRPr="004F21CA">
              <w:rPr>
                <w:rFonts w:ascii="David" w:hAnsi="David"/>
                <w:sz w:val="26"/>
                <w:rtl/>
              </w:rPr>
              <w:t>תיקון תקנה 12</w:t>
            </w:r>
          </w:p>
        </w:tc>
        <w:tc>
          <w:tcPr>
            <w:tcW w:w="624" w:type="dxa"/>
          </w:tcPr>
          <w:p w14:paraId="2358EFCF" w14:textId="77777777" w:rsidR="00436A04" w:rsidRPr="004F21CA" w:rsidRDefault="00436A04" w:rsidP="00436A04">
            <w:pPr>
              <w:pStyle w:val="TableText"/>
              <w:numPr>
                <w:ilvl w:val="0"/>
                <w:numId w:val="2"/>
              </w:numPr>
              <w:rPr>
                <w:rFonts w:ascii="David" w:hAnsi="David"/>
                <w:sz w:val="26"/>
              </w:rPr>
            </w:pPr>
          </w:p>
        </w:tc>
        <w:tc>
          <w:tcPr>
            <w:tcW w:w="7146" w:type="dxa"/>
            <w:gridSpan w:val="4"/>
          </w:tcPr>
          <w:p w14:paraId="25F4A693" w14:textId="52A0C779" w:rsidR="00436A04" w:rsidRPr="004F21CA" w:rsidRDefault="00436A04" w:rsidP="00436A04">
            <w:pPr>
              <w:pStyle w:val="TableBlock"/>
              <w:rPr>
                <w:rFonts w:ascii="David" w:hAnsi="David"/>
                <w:sz w:val="26"/>
                <w:rtl/>
              </w:rPr>
            </w:pPr>
            <w:r w:rsidRPr="004F21CA">
              <w:rPr>
                <w:rFonts w:ascii="David" w:hAnsi="David"/>
                <w:sz w:val="26"/>
                <w:rtl/>
              </w:rPr>
              <w:t xml:space="preserve">בתקנה 12 לתקנות העיקריות -  </w:t>
            </w:r>
          </w:p>
        </w:tc>
      </w:tr>
      <w:tr w:rsidR="00436A04" w:rsidRPr="004F21CA" w14:paraId="5164EC25" w14:textId="77777777" w:rsidTr="00337A6D">
        <w:trPr>
          <w:cantSplit/>
          <w:trHeight w:val="60"/>
        </w:trPr>
        <w:tc>
          <w:tcPr>
            <w:tcW w:w="1871" w:type="dxa"/>
          </w:tcPr>
          <w:p w14:paraId="6BFBEF38" w14:textId="77777777" w:rsidR="00436A04" w:rsidRPr="004F21CA" w:rsidRDefault="00436A04" w:rsidP="00436A04">
            <w:pPr>
              <w:pStyle w:val="TableSideHeading"/>
              <w:rPr>
                <w:rFonts w:ascii="David" w:hAnsi="David"/>
                <w:sz w:val="26"/>
              </w:rPr>
            </w:pPr>
          </w:p>
        </w:tc>
        <w:tc>
          <w:tcPr>
            <w:tcW w:w="624" w:type="dxa"/>
          </w:tcPr>
          <w:p w14:paraId="3B151A53" w14:textId="77777777" w:rsidR="00436A04" w:rsidRPr="004F21CA" w:rsidRDefault="00436A04" w:rsidP="00436A04">
            <w:pPr>
              <w:pStyle w:val="TableText"/>
              <w:rPr>
                <w:rFonts w:ascii="David" w:hAnsi="David"/>
                <w:sz w:val="26"/>
              </w:rPr>
            </w:pPr>
          </w:p>
        </w:tc>
        <w:tc>
          <w:tcPr>
            <w:tcW w:w="624" w:type="dxa"/>
          </w:tcPr>
          <w:p w14:paraId="339FBA0B" w14:textId="65E12843" w:rsidR="00436A04" w:rsidRPr="004F21CA" w:rsidRDefault="00436A04" w:rsidP="00436A04">
            <w:pPr>
              <w:pStyle w:val="TableText"/>
              <w:rPr>
                <w:rFonts w:ascii="David" w:hAnsi="David"/>
                <w:sz w:val="26"/>
              </w:rPr>
            </w:pPr>
            <w:r w:rsidRPr="004F21CA">
              <w:rPr>
                <w:rFonts w:ascii="David" w:hAnsi="David"/>
                <w:sz w:val="26"/>
                <w:rtl/>
              </w:rPr>
              <w:t>(א)</w:t>
            </w:r>
          </w:p>
        </w:tc>
        <w:tc>
          <w:tcPr>
            <w:tcW w:w="6522" w:type="dxa"/>
            <w:gridSpan w:val="3"/>
          </w:tcPr>
          <w:p w14:paraId="11B11450" w14:textId="2DA35793" w:rsidR="00436A04" w:rsidRPr="004F21CA" w:rsidRDefault="00436A04" w:rsidP="00436A04">
            <w:pPr>
              <w:pStyle w:val="TableBlock"/>
              <w:rPr>
                <w:rFonts w:ascii="David" w:hAnsi="David"/>
                <w:sz w:val="26"/>
              </w:rPr>
            </w:pPr>
            <w:r w:rsidRPr="004F21CA">
              <w:rPr>
                <w:rFonts w:ascii="David" w:hAnsi="David"/>
                <w:sz w:val="26"/>
                <w:rtl/>
              </w:rPr>
              <w:t xml:space="preserve"> במקום האמור בתקנת משנה (ג), יבוא - "לא ייבא אדם משלוח אלא בחומרי אריזה חדשים.";  </w:t>
            </w:r>
          </w:p>
        </w:tc>
      </w:tr>
      <w:tr w:rsidR="00436A04" w:rsidRPr="004F21CA" w14:paraId="047A1171" w14:textId="77777777" w:rsidTr="00337A6D">
        <w:trPr>
          <w:cantSplit/>
          <w:trHeight w:val="60"/>
        </w:trPr>
        <w:tc>
          <w:tcPr>
            <w:tcW w:w="1871" w:type="dxa"/>
          </w:tcPr>
          <w:p w14:paraId="727768D7" w14:textId="77777777" w:rsidR="00436A04" w:rsidRPr="004F21CA" w:rsidRDefault="00436A04" w:rsidP="00436A04">
            <w:pPr>
              <w:pStyle w:val="TableSideHeading"/>
              <w:rPr>
                <w:rFonts w:ascii="David" w:hAnsi="David"/>
                <w:sz w:val="26"/>
              </w:rPr>
            </w:pPr>
          </w:p>
        </w:tc>
        <w:tc>
          <w:tcPr>
            <w:tcW w:w="624" w:type="dxa"/>
          </w:tcPr>
          <w:p w14:paraId="69FDED33" w14:textId="77777777" w:rsidR="00436A04" w:rsidRPr="004F21CA" w:rsidRDefault="00436A04" w:rsidP="00436A04">
            <w:pPr>
              <w:pStyle w:val="TableText"/>
              <w:rPr>
                <w:rFonts w:ascii="David" w:hAnsi="David"/>
                <w:sz w:val="26"/>
              </w:rPr>
            </w:pPr>
          </w:p>
        </w:tc>
        <w:tc>
          <w:tcPr>
            <w:tcW w:w="624" w:type="dxa"/>
          </w:tcPr>
          <w:p w14:paraId="4D81A959" w14:textId="42551946" w:rsidR="00436A04" w:rsidRPr="004F21CA" w:rsidRDefault="00436A04" w:rsidP="00436A04">
            <w:pPr>
              <w:pStyle w:val="TableText"/>
              <w:rPr>
                <w:rFonts w:ascii="David" w:hAnsi="David"/>
                <w:sz w:val="26"/>
              </w:rPr>
            </w:pPr>
            <w:r w:rsidRPr="004F21CA">
              <w:rPr>
                <w:rFonts w:ascii="David" w:hAnsi="David"/>
                <w:sz w:val="26"/>
                <w:rtl/>
              </w:rPr>
              <w:t>(ב)</w:t>
            </w:r>
          </w:p>
        </w:tc>
        <w:tc>
          <w:tcPr>
            <w:tcW w:w="6522" w:type="dxa"/>
            <w:gridSpan w:val="3"/>
          </w:tcPr>
          <w:p w14:paraId="024AA3C9" w14:textId="14BB34AA" w:rsidR="00436A04" w:rsidRPr="004F21CA" w:rsidRDefault="00436A04" w:rsidP="00436A04">
            <w:pPr>
              <w:pStyle w:val="TableBlock"/>
              <w:rPr>
                <w:rFonts w:ascii="David" w:hAnsi="David"/>
                <w:sz w:val="26"/>
                <w:rtl/>
              </w:rPr>
            </w:pPr>
            <w:r w:rsidRPr="004F21CA">
              <w:rPr>
                <w:rFonts w:ascii="David" w:hAnsi="David"/>
                <w:sz w:val="26"/>
                <w:rtl/>
              </w:rPr>
              <w:t xml:space="preserve">בתקנת משנה (ד), אחרי "טובין באריזת עץ" יבוא – "או אריזת עץ". </w:t>
            </w:r>
          </w:p>
        </w:tc>
      </w:tr>
      <w:tr w:rsidR="00436A04" w:rsidRPr="004F21CA" w14:paraId="55BA9189" w14:textId="77777777" w:rsidTr="00337A6D">
        <w:trPr>
          <w:cantSplit/>
          <w:trHeight w:val="60"/>
        </w:trPr>
        <w:tc>
          <w:tcPr>
            <w:tcW w:w="1871" w:type="dxa"/>
          </w:tcPr>
          <w:p w14:paraId="540F374E" w14:textId="65E56992" w:rsidR="00436A04" w:rsidRPr="004F21CA" w:rsidRDefault="00436A04" w:rsidP="00436A04">
            <w:pPr>
              <w:pStyle w:val="TableSideHeading"/>
              <w:rPr>
                <w:rFonts w:ascii="David" w:hAnsi="David"/>
                <w:sz w:val="26"/>
                <w:rtl/>
              </w:rPr>
            </w:pPr>
            <w:r w:rsidRPr="004F21CA">
              <w:rPr>
                <w:rFonts w:ascii="David" w:hAnsi="David"/>
                <w:sz w:val="26"/>
                <w:rtl/>
              </w:rPr>
              <w:t>החלפת תקנה 16</w:t>
            </w:r>
          </w:p>
        </w:tc>
        <w:tc>
          <w:tcPr>
            <w:tcW w:w="624" w:type="dxa"/>
          </w:tcPr>
          <w:p w14:paraId="66C989BE" w14:textId="77777777" w:rsidR="00436A04" w:rsidRPr="004F21CA" w:rsidRDefault="00436A04" w:rsidP="00436A04">
            <w:pPr>
              <w:pStyle w:val="TableText"/>
              <w:numPr>
                <w:ilvl w:val="0"/>
                <w:numId w:val="2"/>
              </w:numPr>
              <w:rPr>
                <w:rFonts w:ascii="David" w:hAnsi="David"/>
                <w:sz w:val="26"/>
              </w:rPr>
            </w:pPr>
          </w:p>
        </w:tc>
        <w:tc>
          <w:tcPr>
            <w:tcW w:w="7146" w:type="dxa"/>
            <w:gridSpan w:val="4"/>
          </w:tcPr>
          <w:p w14:paraId="5CB63921" w14:textId="38540A0D" w:rsidR="00436A04" w:rsidRPr="004F21CA" w:rsidRDefault="00436A04" w:rsidP="00436A04">
            <w:pPr>
              <w:pStyle w:val="TableBlock"/>
              <w:rPr>
                <w:rFonts w:ascii="David" w:hAnsi="David"/>
                <w:sz w:val="26"/>
                <w:rtl/>
              </w:rPr>
            </w:pPr>
            <w:r w:rsidRPr="004F21CA">
              <w:rPr>
                <w:rFonts w:ascii="David" w:hAnsi="David"/>
                <w:sz w:val="26"/>
                <w:rtl/>
              </w:rPr>
              <w:t>במקום תקנה 16 לתקנות העיקריות, יבוא -</w:t>
            </w:r>
          </w:p>
        </w:tc>
      </w:tr>
      <w:tr w:rsidR="00436A04" w:rsidRPr="004F21CA" w14:paraId="26CD3169" w14:textId="77777777" w:rsidTr="00337A6D">
        <w:trPr>
          <w:cantSplit/>
          <w:trHeight w:val="60"/>
        </w:trPr>
        <w:tc>
          <w:tcPr>
            <w:tcW w:w="1871" w:type="dxa"/>
          </w:tcPr>
          <w:p w14:paraId="716E19D8" w14:textId="77777777" w:rsidR="00436A04" w:rsidRPr="004F21CA" w:rsidRDefault="00436A04" w:rsidP="00436A04">
            <w:pPr>
              <w:pStyle w:val="TableSideHeading"/>
              <w:rPr>
                <w:rFonts w:ascii="David" w:hAnsi="David"/>
                <w:sz w:val="26"/>
              </w:rPr>
            </w:pPr>
          </w:p>
        </w:tc>
        <w:tc>
          <w:tcPr>
            <w:tcW w:w="624" w:type="dxa"/>
          </w:tcPr>
          <w:p w14:paraId="27E274F2" w14:textId="77777777" w:rsidR="00436A04" w:rsidRPr="004F21CA" w:rsidRDefault="00436A04" w:rsidP="00436A04">
            <w:pPr>
              <w:pStyle w:val="TableText"/>
              <w:rPr>
                <w:rFonts w:ascii="David" w:hAnsi="David"/>
                <w:sz w:val="26"/>
              </w:rPr>
            </w:pPr>
          </w:p>
        </w:tc>
        <w:tc>
          <w:tcPr>
            <w:tcW w:w="624" w:type="dxa"/>
          </w:tcPr>
          <w:p w14:paraId="35AD3CF5" w14:textId="11C4017C" w:rsidR="00436A04" w:rsidRPr="004F21CA" w:rsidRDefault="00436A04" w:rsidP="00436A04">
            <w:pPr>
              <w:pStyle w:val="TableText"/>
              <w:rPr>
                <w:rFonts w:ascii="David" w:hAnsi="David"/>
                <w:sz w:val="26"/>
              </w:rPr>
            </w:pPr>
            <w:r w:rsidRPr="004F21CA">
              <w:rPr>
                <w:rFonts w:ascii="David" w:hAnsi="David"/>
                <w:sz w:val="26"/>
                <w:rtl/>
              </w:rPr>
              <w:t>"(א)</w:t>
            </w:r>
          </w:p>
        </w:tc>
        <w:tc>
          <w:tcPr>
            <w:tcW w:w="6522" w:type="dxa"/>
            <w:gridSpan w:val="3"/>
          </w:tcPr>
          <w:p w14:paraId="52086310" w14:textId="3E1E0D12" w:rsidR="00436A04" w:rsidRPr="004F21CA" w:rsidRDefault="00436A04" w:rsidP="00436A04">
            <w:pPr>
              <w:pStyle w:val="TableBlock"/>
              <w:rPr>
                <w:rFonts w:ascii="David" w:hAnsi="David"/>
                <w:sz w:val="26"/>
              </w:rPr>
            </w:pPr>
            <w:r w:rsidRPr="004F21CA">
              <w:rPr>
                <w:rFonts w:ascii="David" w:hAnsi="David"/>
                <w:sz w:val="26"/>
                <w:rtl/>
              </w:rPr>
              <w:t xml:space="preserve">העושה אחד מאלה דינו </w:t>
            </w:r>
            <w:r w:rsidR="00AA276C">
              <w:rPr>
                <w:rFonts w:ascii="David" w:hAnsi="David" w:hint="cs"/>
                <w:sz w:val="26"/>
                <w:rtl/>
              </w:rPr>
              <w:t xml:space="preserve">מאסר </w:t>
            </w:r>
            <w:r w:rsidRPr="004F21CA">
              <w:rPr>
                <w:rFonts w:ascii="David" w:hAnsi="David"/>
                <w:sz w:val="26"/>
                <w:rtl/>
              </w:rPr>
              <w:t xml:space="preserve">שישה חודשים או קנס: </w:t>
            </w:r>
          </w:p>
        </w:tc>
      </w:tr>
      <w:tr w:rsidR="00436A04" w:rsidRPr="004F21CA" w14:paraId="68D9E97C" w14:textId="77777777" w:rsidTr="00337A6D">
        <w:trPr>
          <w:cantSplit/>
          <w:trHeight w:val="60"/>
        </w:trPr>
        <w:tc>
          <w:tcPr>
            <w:tcW w:w="1871" w:type="dxa"/>
          </w:tcPr>
          <w:p w14:paraId="28ED3F65" w14:textId="77777777" w:rsidR="00436A04" w:rsidRPr="004F21CA" w:rsidRDefault="00436A04" w:rsidP="00436A04">
            <w:pPr>
              <w:pStyle w:val="TableSideHeading"/>
              <w:rPr>
                <w:rFonts w:ascii="David" w:hAnsi="David"/>
                <w:sz w:val="26"/>
              </w:rPr>
            </w:pPr>
          </w:p>
        </w:tc>
        <w:tc>
          <w:tcPr>
            <w:tcW w:w="624" w:type="dxa"/>
          </w:tcPr>
          <w:p w14:paraId="30A5CCA6" w14:textId="77777777" w:rsidR="00436A04" w:rsidRPr="004F21CA" w:rsidRDefault="00436A04" w:rsidP="00436A04">
            <w:pPr>
              <w:pStyle w:val="TableText"/>
              <w:rPr>
                <w:rFonts w:ascii="David" w:hAnsi="David"/>
                <w:sz w:val="26"/>
              </w:rPr>
            </w:pPr>
          </w:p>
        </w:tc>
        <w:tc>
          <w:tcPr>
            <w:tcW w:w="624" w:type="dxa"/>
          </w:tcPr>
          <w:p w14:paraId="63A8D6AB" w14:textId="77777777" w:rsidR="00436A04" w:rsidRPr="004F21CA" w:rsidRDefault="00436A04" w:rsidP="00436A04">
            <w:pPr>
              <w:pStyle w:val="TableText"/>
              <w:rPr>
                <w:rFonts w:ascii="David" w:hAnsi="David"/>
                <w:sz w:val="26"/>
              </w:rPr>
            </w:pPr>
          </w:p>
        </w:tc>
        <w:tc>
          <w:tcPr>
            <w:tcW w:w="624" w:type="dxa"/>
          </w:tcPr>
          <w:p w14:paraId="5F403A35" w14:textId="77777777" w:rsidR="00436A04" w:rsidRPr="004F21CA" w:rsidRDefault="00436A04" w:rsidP="00436A04">
            <w:pPr>
              <w:pStyle w:val="TableText"/>
              <w:numPr>
                <w:ilvl w:val="0"/>
                <w:numId w:val="22"/>
              </w:numPr>
              <w:tabs>
                <w:tab w:val="left" w:pos="624"/>
              </w:tabs>
              <w:jc w:val="both"/>
              <w:rPr>
                <w:rFonts w:ascii="David" w:hAnsi="David"/>
                <w:sz w:val="26"/>
              </w:rPr>
            </w:pPr>
          </w:p>
        </w:tc>
        <w:tc>
          <w:tcPr>
            <w:tcW w:w="5898" w:type="dxa"/>
            <w:gridSpan w:val="2"/>
          </w:tcPr>
          <w:p w14:paraId="035B83BF" w14:textId="0B1268B9" w:rsidR="00436A04" w:rsidRPr="004F21CA" w:rsidRDefault="00436A04" w:rsidP="00436A04">
            <w:pPr>
              <w:pStyle w:val="TableBlock"/>
              <w:rPr>
                <w:rFonts w:ascii="David" w:hAnsi="David"/>
                <w:sz w:val="26"/>
              </w:rPr>
            </w:pPr>
            <w:r w:rsidRPr="004F21CA">
              <w:rPr>
                <w:rFonts w:ascii="David" w:hAnsi="David"/>
                <w:sz w:val="26"/>
                <w:rtl/>
              </w:rPr>
              <w:t xml:space="preserve">מייבא פירות או ירקות טריים ללא תעודת בריאות בניגוד לתקנה 2(ב)(1); </w:t>
            </w:r>
          </w:p>
        </w:tc>
      </w:tr>
      <w:tr w:rsidR="00436A04" w:rsidRPr="004F21CA" w14:paraId="2B87AE0F" w14:textId="77777777" w:rsidTr="00337A6D">
        <w:trPr>
          <w:cantSplit/>
          <w:trHeight w:val="60"/>
        </w:trPr>
        <w:tc>
          <w:tcPr>
            <w:tcW w:w="1871" w:type="dxa"/>
          </w:tcPr>
          <w:p w14:paraId="0ADF359B" w14:textId="77777777" w:rsidR="00436A04" w:rsidRPr="004F21CA" w:rsidRDefault="00436A04" w:rsidP="00436A04">
            <w:pPr>
              <w:pStyle w:val="TableSideHeading"/>
              <w:rPr>
                <w:rFonts w:ascii="David" w:hAnsi="David"/>
                <w:sz w:val="26"/>
              </w:rPr>
            </w:pPr>
          </w:p>
        </w:tc>
        <w:tc>
          <w:tcPr>
            <w:tcW w:w="624" w:type="dxa"/>
          </w:tcPr>
          <w:p w14:paraId="301842F1" w14:textId="77777777" w:rsidR="00436A04" w:rsidRPr="004F21CA" w:rsidRDefault="00436A04" w:rsidP="00436A04">
            <w:pPr>
              <w:pStyle w:val="TableText"/>
              <w:rPr>
                <w:rFonts w:ascii="David" w:hAnsi="David"/>
                <w:sz w:val="26"/>
              </w:rPr>
            </w:pPr>
          </w:p>
        </w:tc>
        <w:tc>
          <w:tcPr>
            <w:tcW w:w="624" w:type="dxa"/>
          </w:tcPr>
          <w:p w14:paraId="2DCCE3E7" w14:textId="77777777" w:rsidR="00436A04" w:rsidRPr="004F21CA" w:rsidRDefault="00436A04" w:rsidP="00436A04">
            <w:pPr>
              <w:pStyle w:val="TableText"/>
              <w:rPr>
                <w:rFonts w:ascii="David" w:hAnsi="David"/>
                <w:sz w:val="26"/>
              </w:rPr>
            </w:pPr>
          </w:p>
        </w:tc>
        <w:tc>
          <w:tcPr>
            <w:tcW w:w="624" w:type="dxa"/>
          </w:tcPr>
          <w:p w14:paraId="284FF248" w14:textId="77777777" w:rsidR="00436A04" w:rsidRPr="004F21CA" w:rsidRDefault="00436A04" w:rsidP="00436A04">
            <w:pPr>
              <w:pStyle w:val="TableText"/>
              <w:numPr>
                <w:ilvl w:val="0"/>
                <w:numId w:val="22"/>
              </w:numPr>
              <w:tabs>
                <w:tab w:val="left" w:pos="624"/>
              </w:tabs>
              <w:jc w:val="both"/>
              <w:rPr>
                <w:rFonts w:ascii="David" w:hAnsi="David"/>
                <w:sz w:val="26"/>
              </w:rPr>
            </w:pPr>
          </w:p>
        </w:tc>
        <w:tc>
          <w:tcPr>
            <w:tcW w:w="5898" w:type="dxa"/>
            <w:gridSpan w:val="2"/>
          </w:tcPr>
          <w:p w14:paraId="1E0E7413" w14:textId="56E96877" w:rsidR="00436A04" w:rsidRPr="004F21CA" w:rsidRDefault="00436A04" w:rsidP="00436A04">
            <w:pPr>
              <w:pStyle w:val="TableBlock"/>
              <w:rPr>
                <w:rFonts w:ascii="David" w:hAnsi="David"/>
                <w:sz w:val="26"/>
                <w:rtl/>
              </w:rPr>
            </w:pPr>
            <w:r w:rsidRPr="004F21CA">
              <w:rPr>
                <w:rFonts w:ascii="David" w:hAnsi="David"/>
                <w:sz w:val="26"/>
                <w:rtl/>
              </w:rPr>
              <w:t>מפר הוראה למניעת יבוא שניתנה לפי תקנה 2א(א);</w:t>
            </w:r>
          </w:p>
        </w:tc>
      </w:tr>
      <w:tr w:rsidR="00436A04" w:rsidRPr="004F21CA" w14:paraId="31C23707" w14:textId="77777777" w:rsidTr="00337A6D">
        <w:trPr>
          <w:cantSplit/>
          <w:trHeight w:val="60"/>
        </w:trPr>
        <w:tc>
          <w:tcPr>
            <w:tcW w:w="1871" w:type="dxa"/>
          </w:tcPr>
          <w:p w14:paraId="08D90B82" w14:textId="77777777" w:rsidR="00436A04" w:rsidRPr="004F21CA" w:rsidRDefault="00436A04" w:rsidP="00436A04">
            <w:pPr>
              <w:pStyle w:val="TableSideHeading"/>
              <w:rPr>
                <w:rFonts w:ascii="David" w:hAnsi="David"/>
                <w:sz w:val="26"/>
              </w:rPr>
            </w:pPr>
          </w:p>
        </w:tc>
        <w:tc>
          <w:tcPr>
            <w:tcW w:w="624" w:type="dxa"/>
          </w:tcPr>
          <w:p w14:paraId="099B277D" w14:textId="77777777" w:rsidR="00436A04" w:rsidRPr="004F21CA" w:rsidRDefault="00436A04" w:rsidP="00436A04">
            <w:pPr>
              <w:pStyle w:val="TableText"/>
              <w:rPr>
                <w:rFonts w:ascii="David" w:hAnsi="David"/>
                <w:sz w:val="26"/>
              </w:rPr>
            </w:pPr>
          </w:p>
        </w:tc>
        <w:tc>
          <w:tcPr>
            <w:tcW w:w="624" w:type="dxa"/>
          </w:tcPr>
          <w:p w14:paraId="20468ECC" w14:textId="77777777" w:rsidR="00436A04" w:rsidRPr="004F21CA" w:rsidRDefault="00436A04" w:rsidP="00436A04">
            <w:pPr>
              <w:pStyle w:val="TableText"/>
              <w:rPr>
                <w:rFonts w:ascii="David" w:hAnsi="David"/>
                <w:sz w:val="26"/>
              </w:rPr>
            </w:pPr>
          </w:p>
        </w:tc>
        <w:tc>
          <w:tcPr>
            <w:tcW w:w="624" w:type="dxa"/>
          </w:tcPr>
          <w:p w14:paraId="4DE0FE47" w14:textId="77777777" w:rsidR="00436A04" w:rsidRPr="004F21CA" w:rsidRDefault="00436A04" w:rsidP="00436A04">
            <w:pPr>
              <w:pStyle w:val="TableText"/>
              <w:numPr>
                <w:ilvl w:val="0"/>
                <w:numId w:val="22"/>
              </w:numPr>
              <w:tabs>
                <w:tab w:val="left" w:pos="624"/>
              </w:tabs>
              <w:jc w:val="both"/>
              <w:rPr>
                <w:rFonts w:ascii="David" w:hAnsi="David"/>
                <w:sz w:val="26"/>
              </w:rPr>
            </w:pPr>
          </w:p>
        </w:tc>
        <w:tc>
          <w:tcPr>
            <w:tcW w:w="5898" w:type="dxa"/>
            <w:gridSpan w:val="2"/>
          </w:tcPr>
          <w:p w14:paraId="4B87BF49" w14:textId="492AD760" w:rsidR="00436A04" w:rsidRPr="004F21CA" w:rsidRDefault="00436A04" w:rsidP="00436A04">
            <w:pPr>
              <w:pStyle w:val="TableBlock"/>
              <w:rPr>
                <w:rFonts w:ascii="David" w:hAnsi="David"/>
                <w:sz w:val="26"/>
                <w:rtl/>
              </w:rPr>
            </w:pPr>
            <w:r w:rsidRPr="004F21CA">
              <w:rPr>
                <w:rFonts w:ascii="David" w:hAnsi="David"/>
                <w:sz w:val="26"/>
                <w:rtl/>
              </w:rPr>
              <w:t xml:space="preserve">מייבא מוצר בניגוד לתנאים שנקבעו לפי תקנה 2א(ז). </w:t>
            </w:r>
          </w:p>
        </w:tc>
      </w:tr>
      <w:tr w:rsidR="00436A04" w:rsidRPr="004F21CA" w14:paraId="0E0D60B6" w14:textId="77777777" w:rsidTr="00337A6D">
        <w:trPr>
          <w:cantSplit/>
          <w:trHeight w:val="60"/>
        </w:trPr>
        <w:tc>
          <w:tcPr>
            <w:tcW w:w="1871" w:type="dxa"/>
          </w:tcPr>
          <w:p w14:paraId="0F2D2EEC" w14:textId="77777777" w:rsidR="00436A04" w:rsidRPr="004F21CA" w:rsidRDefault="00436A04" w:rsidP="00436A04">
            <w:pPr>
              <w:pStyle w:val="TableSideHeading"/>
              <w:rPr>
                <w:rFonts w:ascii="David" w:hAnsi="David"/>
                <w:sz w:val="26"/>
              </w:rPr>
            </w:pPr>
          </w:p>
        </w:tc>
        <w:tc>
          <w:tcPr>
            <w:tcW w:w="624" w:type="dxa"/>
          </w:tcPr>
          <w:p w14:paraId="536DD36C" w14:textId="77777777" w:rsidR="00436A04" w:rsidRPr="004F21CA" w:rsidRDefault="00436A04" w:rsidP="00436A04">
            <w:pPr>
              <w:pStyle w:val="TableText"/>
              <w:rPr>
                <w:rFonts w:ascii="David" w:hAnsi="David"/>
                <w:sz w:val="26"/>
              </w:rPr>
            </w:pPr>
          </w:p>
        </w:tc>
        <w:tc>
          <w:tcPr>
            <w:tcW w:w="624" w:type="dxa"/>
          </w:tcPr>
          <w:p w14:paraId="3754BF36" w14:textId="41E166E1" w:rsidR="00436A04" w:rsidRPr="004F21CA" w:rsidRDefault="00436A04" w:rsidP="00436A04">
            <w:pPr>
              <w:pStyle w:val="TableText"/>
              <w:rPr>
                <w:rFonts w:ascii="David" w:hAnsi="David"/>
                <w:sz w:val="26"/>
              </w:rPr>
            </w:pPr>
            <w:r w:rsidRPr="004F21CA">
              <w:rPr>
                <w:rFonts w:ascii="David" w:hAnsi="David"/>
                <w:sz w:val="26"/>
                <w:rtl/>
              </w:rPr>
              <w:t>(ב)</w:t>
            </w:r>
          </w:p>
        </w:tc>
        <w:tc>
          <w:tcPr>
            <w:tcW w:w="6522" w:type="dxa"/>
            <w:gridSpan w:val="3"/>
          </w:tcPr>
          <w:p w14:paraId="49384073" w14:textId="29DAE37B" w:rsidR="00436A04" w:rsidRPr="004F21CA" w:rsidRDefault="00436A04" w:rsidP="00436A04">
            <w:pPr>
              <w:pStyle w:val="TableBlock"/>
              <w:rPr>
                <w:rFonts w:ascii="David" w:hAnsi="David"/>
                <w:sz w:val="26"/>
              </w:rPr>
            </w:pPr>
            <w:r w:rsidRPr="004F21CA">
              <w:rPr>
                <w:rFonts w:ascii="David" w:hAnsi="David"/>
                <w:sz w:val="26"/>
                <w:rtl/>
              </w:rPr>
              <w:t xml:space="preserve">המייבא פירות וירקות טריים מבלי שדיווח על כך 90 ימים לפני הוצאת המשלוח מארץ המקור בניגוד לתקנה 2(ב2) – דינו קנס".  </w:t>
            </w:r>
          </w:p>
        </w:tc>
      </w:tr>
      <w:tr w:rsidR="00D06D62" w14:paraId="6CF7135C" w14:textId="77777777">
        <w:trPr>
          <w:cantSplit/>
          <w:trHeight w:val="60"/>
        </w:trPr>
        <w:tc>
          <w:tcPr>
            <w:tcW w:w="1871" w:type="dxa"/>
          </w:tcPr>
          <w:p w14:paraId="6CD158B9" w14:textId="5B3AF522" w:rsidR="00D06D62" w:rsidRDefault="00D06D62">
            <w:pPr>
              <w:pStyle w:val="TableSideHeading"/>
            </w:pPr>
            <w:r>
              <w:rPr>
                <w:rFonts w:hint="cs"/>
                <w:rtl/>
              </w:rPr>
              <w:t>תיקון התוספת הראשונה</w:t>
            </w:r>
          </w:p>
        </w:tc>
        <w:tc>
          <w:tcPr>
            <w:tcW w:w="624" w:type="dxa"/>
          </w:tcPr>
          <w:p w14:paraId="36459CBB" w14:textId="77777777" w:rsidR="00D06D62" w:rsidRPr="00D06D62" w:rsidRDefault="00D06D62" w:rsidP="00D06D62">
            <w:pPr>
              <w:pStyle w:val="TableText"/>
              <w:numPr>
                <w:ilvl w:val="0"/>
                <w:numId w:val="2"/>
              </w:numPr>
              <w:rPr>
                <w:rFonts w:ascii="David" w:hAnsi="David"/>
                <w:sz w:val="26"/>
              </w:rPr>
            </w:pPr>
          </w:p>
        </w:tc>
        <w:tc>
          <w:tcPr>
            <w:tcW w:w="7146" w:type="dxa"/>
            <w:gridSpan w:val="4"/>
          </w:tcPr>
          <w:p w14:paraId="279A7E96" w14:textId="3FED7678" w:rsidR="00D06D62" w:rsidRPr="00C34DE2" w:rsidRDefault="00D06D62">
            <w:pPr>
              <w:pStyle w:val="TableBlock"/>
            </w:pPr>
            <w:r>
              <w:rPr>
                <w:rFonts w:hint="cs"/>
                <w:rtl/>
              </w:rPr>
              <w:t xml:space="preserve">בתוספת הראשונה, במקום סעיף (2) יבוא - </w:t>
            </w:r>
          </w:p>
        </w:tc>
      </w:tr>
      <w:tr w:rsidR="00D06D62" w14:paraId="55EEA133" w14:textId="77777777">
        <w:trPr>
          <w:cantSplit/>
          <w:trHeight w:val="60"/>
        </w:trPr>
        <w:tc>
          <w:tcPr>
            <w:tcW w:w="1871" w:type="dxa"/>
          </w:tcPr>
          <w:p w14:paraId="13E6A3C7" w14:textId="77777777" w:rsidR="00D06D62" w:rsidRDefault="00D06D62">
            <w:pPr>
              <w:pStyle w:val="TableSideHeading"/>
            </w:pPr>
          </w:p>
        </w:tc>
        <w:tc>
          <w:tcPr>
            <w:tcW w:w="624" w:type="dxa"/>
          </w:tcPr>
          <w:p w14:paraId="1225B607" w14:textId="77777777" w:rsidR="00D06D62" w:rsidRDefault="00D06D62">
            <w:pPr>
              <w:pStyle w:val="TableText"/>
            </w:pPr>
          </w:p>
        </w:tc>
        <w:tc>
          <w:tcPr>
            <w:tcW w:w="624" w:type="dxa"/>
          </w:tcPr>
          <w:p w14:paraId="4BC4EEE1" w14:textId="4BBC8500" w:rsidR="00D06D62" w:rsidRPr="00D06D62" w:rsidRDefault="00D06D62">
            <w:pPr>
              <w:pStyle w:val="TableText"/>
              <w:rPr>
                <w:rFonts w:ascii="David" w:hAnsi="David"/>
                <w:sz w:val="26"/>
              </w:rPr>
            </w:pPr>
            <w:r w:rsidRPr="00D06D62">
              <w:rPr>
                <w:rFonts w:ascii="David" w:hAnsi="David"/>
                <w:sz w:val="26"/>
                <w:rtl/>
              </w:rPr>
              <w:t>"(2)</w:t>
            </w:r>
          </w:p>
        </w:tc>
        <w:tc>
          <w:tcPr>
            <w:tcW w:w="6522" w:type="dxa"/>
            <w:gridSpan w:val="3"/>
          </w:tcPr>
          <w:p w14:paraId="5D0CFA63" w14:textId="2A9264A3" w:rsidR="00D06D62" w:rsidRPr="00D06D62" w:rsidRDefault="00D06D62">
            <w:pPr>
              <w:pStyle w:val="TableBlock"/>
              <w:rPr>
                <w:rFonts w:ascii="David" w:hAnsi="David"/>
                <w:sz w:val="26"/>
              </w:rPr>
            </w:pPr>
            <w:r w:rsidRPr="00D06D62">
              <w:rPr>
                <w:rFonts w:ascii="David" w:hAnsi="David"/>
                <w:sz w:val="26"/>
                <w:rtl/>
              </w:rPr>
              <w:t>טיפול בחום (</w:t>
            </w:r>
            <w:r w:rsidRPr="00D06D62">
              <w:rPr>
                <w:rFonts w:ascii="David" w:hAnsi="David"/>
                <w:sz w:val="26"/>
              </w:rPr>
              <w:t>Heat treatment</w:t>
            </w:r>
            <w:r w:rsidRPr="00D06D62">
              <w:rPr>
                <w:rFonts w:ascii="David" w:hAnsi="David"/>
                <w:sz w:val="26"/>
                <w:rtl/>
              </w:rPr>
              <w:t xml:space="preserve">) - </w:t>
            </w:r>
          </w:p>
        </w:tc>
      </w:tr>
      <w:tr w:rsidR="00D06D62" w14:paraId="5659CA21" w14:textId="77777777">
        <w:trPr>
          <w:cantSplit/>
          <w:trHeight w:val="60"/>
        </w:trPr>
        <w:tc>
          <w:tcPr>
            <w:tcW w:w="1871" w:type="dxa"/>
          </w:tcPr>
          <w:p w14:paraId="4D2B7A16" w14:textId="77777777" w:rsidR="00D06D62" w:rsidRDefault="00D06D62">
            <w:pPr>
              <w:pStyle w:val="TableSideHeading"/>
            </w:pPr>
          </w:p>
        </w:tc>
        <w:tc>
          <w:tcPr>
            <w:tcW w:w="624" w:type="dxa"/>
          </w:tcPr>
          <w:p w14:paraId="17F772AA" w14:textId="77777777" w:rsidR="00D06D62" w:rsidRDefault="00D06D62">
            <w:pPr>
              <w:pStyle w:val="TableText"/>
            </w:pPr>
          </w:p>
        </w:tc>
        <w:tc>
          <w:tcPr>
            <w:tcW w:w="624" w:type="dxa"/>
          </w:tcPr>
          <w:p w14:paraId="0AF6A0FA" w14:textId="77777777" w:rsidR="00D06D62" w:rsidRPr="00D06D62" w:rsidRDefault="00D06D62">
            <w:pPr>
              <w:pStyle w:val="TableText"/>
              <w:rPr>
                <w:rFonts w:ascii="David" w:hAnsi="David"/>
                <w:sz w:val="26"/>
              </w:rPr>
            </w:pPr>
          </w:p>
        </w:tc>
        <w:tc>
          <w:tcPr>
            <w:tcW w:w="624" w:type="dxa"/>
          </w:tcPr>
          <w:p w14:paraId="328A59A8" w14:textId="77777777" w:rsidR="00D06D62" w:rsidRPr="00D06D62" w:rsidRDefault="00D06D62" w:rsidP="00D06D62">
            <w:pPr>
              <w:pStyle w:val="TableText"/>
              <w:numPr>
                <w:ilvl w:val="0"/>
                <w:numId w:val="38"/>
              </w:numPr>
              <w:tabs>
                <w:tab w:val="left" w:pos="624"/>
              </w:tabs>
              <w:jc w:val="both"/>
              <w:rPr>
                <w:rFonts w:ascii="David" w:hAnsi="David"/>
                <w:sz w:val="26"/>
              </w:rPr>
            </w:pPr>
          </w:p>
        </w:tc>
        <w:tc>
          <w:tcPr>
            <w:tcW w:w="5898" w:type="dxa"/>
            <w:gridSpan w:val="2"/>
          </w:tcPr>
          <w:p w14:paraId="009E5CC6" w14:textId="5C682DC1" w:rsidR="00D06D62" w:rsidRPr="00D06D62" w:rsidRDefault="00D06D62" w:rsidP="00D06D62">
            <w:pPr>
              <w:pStyle w:val="P00"/>
              <w:spacing w:before="72"/>
              <w:ind w:left="0" w:right="1134"/>
              <w:rPr>
                <w:rFonts w:ascii="David" w:eastAsia="Arial Unicode MS" w:hAnsi="David" w:cs="David"/>
                <w:noProof w:val="0"/>
                <w:snapToGrid w:val="0"/>
                <w:sz w:val="26"/>
                <w:lang w:eastAsia="en-US"/>
              </w:rPr>
            </w:pPr>
            <w:r w:rsidRPr="00D06D62">
              <w:rPr>
                <w:rFonts w:ascii="David" w:eastAsia="Arial Unicode MS" w:hAnsi="David" w:cs="David"/>
                <w:noProof w:val="0"/>
                <w:snapToGrid w:val="0"/>
                <w:sz w:val="26"/>
                <w:rtl/>
                <w:lang w:eastAsia="en-US"/>
              </w:rPr>
              <w:t>טיפול חום יבש (</w:t>
            </w:r>
            <w:r w:rsidRPr="00D06D62">
              <w:rPr>
                <w:rFonts w:ascii="David" w:eastAsia="Arial Unicode MS" w:hAnsi="David" w:cs="David"/>
                <w:noProof w:val="0"/>
                <w:snapToGrid w:val="0"/>
                <w:sz w:val="26"/>
                <w:lang w:eastAsia="en-US"/>
              </w:rPr>
              <w:t>Dry heat treatment</w:t>
            </w:r>
            <w:r w:rsidRPr="00D06D62">
              <w:rPr>
                <w:rFonts w:ascii="David" w:eastAsia="Arial Unicode MS" w:hAnsi="David" w:cs="David"/>
                <w:noProof w:val="0"/>
                <w:snapToGrid w:val="0"/>
                <w:sz w:val="26"/>
                <w:rtl/>
                <w:lang w:eastAsia="en-US"/>
              </w:rPr>
              <w:t>);</w:t>
            </w:r>
          </w:p>
        </w:tc>
      </w:tr>
      <w:tr w:rsidR="00D06D62" w14:paraId="78643444" w14:textId="77777777">
        <w:trPr>
          <w:cantSplit/>
          <w:trHeight w:val="60"/>
        </w:trPr>
        <w:tc>
          <w:tcPr>
            <w:tcW w:w="1871" w:type="dxa"/>
          </w:tcPr>
          <w:p w14:paraId="4FE9FABB" w14:textId="77777777" w:rsidR="00D06D62" w:rsidRDefault="00D06D62">
            <w:pPr>
              <w:pStyle w:val="TableSideHeading"/>
            </w:pPr>
          </w:p>
        </w:tc>
        <w:tc>
          <w:tcPr>
            <w:tcW w:w="624" w:type="dxa"/>
          </w:tcPr>
          <w:p w14:paraId="5E44BC1C" w14:textId="77777777" w:rsidR="00D06D62" w:rsidRDefault="00D06D62" w:rsidP="00D06D62">
            <w:pPr>
              <w:pStyle w:val="TableText"/>
            </w:pPr>
          </w:p>
        </w:tc>
        <w:tc>
          <w:tcPr>
            <w:tcW w:w="624" w:type="dxa"/>
          </w:tcPr>
          <w:p w14:paraId="0DF178C2" w14:textId="77777777" w:rsidR="00D06D62" w:rsidRPr="00D06D62" w:rsidRDefault="00D06D62">
            <w:pPr>
              <w:pStyle w:val="TableText"/>
              <w:rPr>
                <w:rFonts w:ascii="David" w:hAnsi="David"/>
                <w:sz w:val="26"/>
              </w:rPr>
            </w:pPr>
          </w:p>
        </w:tc>
        <w:tc>
          <w:tcPr>
            <w:tcW w:w="624" w:type="dxa"/>
          </w:tcPr>
          <w:p w14:paraId="03B26440" w14:textId="77777777" w:rsidR="00D06D62" w:rsidRPr="00D06D62" w:rsidRDefault="00D06D62" w:rsidP="00D06D62">
            <w:pPr>
              <w:pStyle w:val="TableText"/>
              <w:numPr>
                <w:ilvl w:val="0"/>
                <w:numId w:val="38"/>
              </w:numPr>
              <w:tabs>
                <w:tab w:val="left" w:pos="624"/>
              </w:tabs>
              <w:jc w:val="both"/>
              <w:rPr>
                <w:rFonts w:ascii="David" w:hAnsi="David"/>
                <w:sz w:val="26"/>
              </w:rPr>
            </w:pPr>
          </w:p>
        </w:tc>
        <w:tc>
          <w:tcPr>
            <w:tcW w:w="5898" w:type="dxa"/>
            <w:gridSpan w:val="2"/>
          </w:tcPr>
          <w:p w14:paraId="6DBCA072" w14:textId="1EA1695B" w:rsidR="00D06D62" w:rsidRPr="00D06D62" w:rsidRDefault="00D06D62" w:rsidP="00D06D62">
            <w:pPr>
              <w:pStyle w:val="P00"/>
              <w:spacing w:before="72"/>
              <w:ind w:left="0" w:right="1134"/>
              <w:rPr>
                <w:rFonts w:ascii="David" w:eastAsia="Arial Unicode MS" w:hAnsi="David" w:cs="David"/>
                <w:noProof w:val="0"/>
                <w:snapToGrid w:val="0"/>
                <w:sz w:val="26"/>
                <w:rtl/>
                <w:lang w:eastAsia="en-US"/>
              </w:rPr>
            </w:pPr>
            <w:r w:rsidRPr="00D06D62">
              <w:rPr>
                <w:rFonts w:ascii="David" w:eastAsia="Arial Unicode MS" w:hAnsi="David" w:cs="David"/>
                <w:noProof w:val="0"/>
                <w:snapToGrid w:val="0"/>
                <w:sz w:val="26"/>
                <w:rtl/>
                <w:lang w:eastAsia="en-US"/>
              </w:rPr>
              <w:t>טיפול חום קיטור (</w:t>
            </w:r>
            <w:r w:rsidRPr="00D06D62">
              <w:rPr>
                <w:rFonts w:ascii="David" w:eastAsia="Arial Unicode MS" w:hAnsi="David" w:cs="David"/>
                <w:noProof w:val="0"/>
                <w:snapToGrid w:val="0"/>
                <w:sz w:val="26"/>
                <w:lang w:eastAsia="en-US"/>
              </w:rPr>
              <w:t>Steam heat treatment</w:t>
            </w:r>
            <w:r w:rsidRPr="00D06D62">
              <w:rPr>
                <w:rFonts w:ascii="David" w:eastAsia="Arial Unicode MS" w:hAnsi="David" w:cs="David"/>
                <w:noProof w:val="0"/>
                <w:snapToGrid w:val="0"/>
                <w:sz w:val="26"/>
                <w:rtl/>
                <w:lang w:eastAsia="en-US"/>
              </w:rPr>
              <w:t>);</w:t>
            </w:r>
          </w:p>
        </w:tc>
      </w:tr>
      <w:tr w:rsidR="00D06D62" w14:paraId="188F327B" w14:textId="77777777">
        <w:trPr>
          <w:cantSplit/>
          <w:trHeight w:val="60"/>
        </w:trPr>
        <w:tc>
          <w:tcPr>
            <w:tcW w:w="1871" w:type="dxa"/>
          </w:tcPr>
          <w:p w14:paraId="43D43C2C" w14:textId="77777777" w:rsidR="00D06D62" w:rsidRDefault="00D06D62">
            <w:pPr>
              <w:pStyle w:val="TableSideHeading"/>
            </w:pPr>
          </w:p>
        </w:tc>
        <w:tc>
          <w:tcPr>
            <w:tcW w:w="624" w:type="dxa"/>
          </w:tcPr>
          <w:p w14:paraId="40152FE3" w14:textId="77777777" w:rsidR="00D06D62" w:rsidRDefault="00D06D62" w:rsidP="00D06D62">
            <w:pPr>
              <w:pStyle w:val="TableText"/>
            </w:pPr>
          </w:p>
        </w:tc>
        <w:tc>
          <w:tcPr>
            <w:tcW w:w="624" w:type="dxa"/>
          </w:tcPr>
          <w:p w14:paraId="07DAF162" w14:textId="77777777" w:rsidR="00D06D62" w:rsidRPr="00D06D62" w:rsidRDefault="00D06D62">
            <w:pPr>
              <w:pStyle w:val="TableText"/>
              <w:rPr>
                <w:rFonts w:ascii="David" w:hAnsi="David"/>
                <w:sz w:val="26"/>
              </w:rPr>
            </w:pPr>
          </w:p>
        </w:tc>
        <w:tc>
          <w:tcPr>
            <w:tcW w:w="624" w:type="dxa"/>
          </w:tcPr>
          <w:p w14:paraId="756AEEE0" w14:textId="77777777" w:rsidR="00D06D62" w:rsidRPr="00D06D62" w:rsidRDefault="00D06D62" w:rsidP="00D06D62">
            <w:pPr>
              <w:pStyle w:val="TableText"/>
              <w:numPr>
                <w:ilvl w:val="0"/>
                <w:numId w:val="38"/>
              </w:numPr>
              <w:tabs>
                <w:tab w:val="left" w:pos="624"/>
              </w:tabs>
              <w:jc w:val="both"/>
              <w:rPr>
                <w:rFonts w:ascii="David" w:hAnsi="David"/>
                <w:sz w:val="26"/>
              </w:rPr>
            </w:pPr>
          </w:p>
        </w:tc>
        <w:tc>
          <w:tcPr>
            <w:tcW w:w="5898" w:type="dxa"/>
            <w:gridSpan w:val="2"/>
          </w:tcPr>
          <w:p w14:paraId="225B0302" w14:textId="74F9B606" w:rsidR="00D06D62" w:rsidRPr="00D06D62" w:rsidRDefault="00D06D62" w:rsidP="00D06D62">
            <w:pPr>
              <w:pStyle w:val="P00"/>
              <w:spacing w:before="72"/>
              <w:ind w:left="0" w:right="1134"/>
              <w:rPr>
                <w:rFonts w:ascii="David" w:eastAsia="Arial Unicode MS" w:hAnsi="David" w:cs="David"/>
                <w:noProof w:val="0"/>
                <w:snapToGrid w:val="0"/>
                <w:sz w:val="26"/>
                <w:rtl/>
                <w:lang w:eastAsia="en-US"/>
              </w:rPr>
            </w:pPr>
            <w:r w:rsidRPr="00D06D62">
              <w:rPr>
                <w:rFonts w:ascii="David" w:eastAsia="Arial Unicode MS" w:hAnsi="David" w:cs="David"/>
                <w:noProof w:val="0"/>
                <w:snapToGrid w:val="0"/>
                <w:sz w:val="26"/>
                <w:rtl/>
                <w:lang w:eastAsia="en-US"/>
              </w:rPr>
              <w:t>טיפול במים חמים (</w:t>
            </w:r>
            <w:r w:rsidRPr="00D06D62">
              <w:rPr>
                <w:rFonts w:ascii="David" w:eastAsia="Arial Unicode MS" w:hAnsi="David" w:cs="David"/>
                <w:noProof w:val="0"/>
                <w:snapToGrid w:val="0"/>
                <w:sz w:val="26"/>
                <w:lang w:eastAsia="en-US"/>
              </w:rPr>
              <w:t>Hot water treatment</w:t>
            </w:r>
            <w:r w:rsidRPr="00D06D62">
              <w:rPr>
                <w:rFonts w:ascii="David" w:eastAsia="Arial Unicode MS" w:hAnsi="David" w:cs="David"/>
                <w:noProof w:val="0"/>
                <w:snapToGrid w:val="0"/>
                <w:sz w:val="26"/>
                <w:rtl/>
                <w:lang w:eastAsia="en-US"/>
              </w:rPr>
              <w:t>);</w:t>
            </w:r>
            <w:r w:rsidR="00C26B33">
              <w:rPr>
                <w:rFonts w:ascii="David" w:eastAsia="Arial Unicode MS" w:hAnsi="David" w:cs="David"/>
                <w:noProof w:val="0"/>
                <w:snapToGrid w:val="0"/>
                <w:sz w:val="26"/>
                <w:rtl/>
                <w:lang w:eastAsia="en-US"/>
              </w:rPr>
              <w:pgNum/>
            </w:r>
            <w:r w:rsidR="00C26B33">
              <w:rPr>
                <w:rFonts w:ascii="David" w:eastAsia="Arial Unicode MS" w:hAnsi="David" w:cs="David" w:hint="cs"/>
                <w:noProof w:val="0"/>
                <w:snapToGrid w:val="0"/>
                <w:sz w:val="26"/>
                <w:rtl/>
                <w:lang w:eastAsia="en-US"/>
              </w:rPr>
              <w:t xml:space="preserve">". </w:t>
            </w:r>
          </w:p>
        </w:tc>
      </w:tr>
      <w:tr w:rsidR="00436A04" w:rsidRPr="004F21CA" w14:paraId="1708399B" w14:textId="77777777" w:rsidTr="00337A6D">
        <w:trPr>
          <w:cantSplit/>
          <w:trHeight w:val="60"/>
        </w:trPr>
        <w:tc>
          <w:tcPr>
            <w:tcW w:w="1871" w:type="dxa"/>
          </w:tcPr>
          <w:p w14:paraId="64304436" w14:textId="50C62E81" w:rsidR="00436A04" w:rsidRPr="004F21CA" w:rsidRDefault="00436A04" w:rsidP="00436A04">
            <w:pPr>
              <w:pStyle w:val="TableSideHeading"/>
              <w:rPr>
                <w:rFonts w:ascii="David" w:hAnsi="David"/>
                <w:sz w:val="26"/>
                <w:rtl/>
              </w:rPr>
            </w:pPr>
            <w:r w:rsidRPr="004F21CA">
              <w:rPr>
                <w:rFonts w:ascii="David" w:hAnsi="David"/>
                <w:sz w:val="26"/>
                <w:rtl/>
              </w:rPr>
              <w:t xml:space="preserve">החלפת התוספת </w:t>
            </w:r>
            <w:proofErr w:type="spellStart"/>
            <w:r w:rsidRPr="004F21CA">
              <w:rPr>
                <w:rFonts w:ascii="David" w:hAnsi="David"/>
                <w:sz w:val="26"/>
                <w:rtl/>
              </w:rPr>
              <w:t>השניה</w:t>
            </w:r>
            <w:proofErr w:type="spellEnd"/>
          </w:p>
        </w:tc>
        <w:tc>
          <w:tcPr>
            <w:tcW w:w="624" w:type="dxa"/>
          </w:tcPr>
          <w:p w14:paraId="2AB5B292" w14:textId="77777777" w:rsidR="00436A04" w:rsidRPr="004F21CA" w:rsidRDefault="00436A04" w:rsidP="00436A04">
            <w:pPr>
              <w:pStyle w:val="TableText"/>
              <w:numPr>
                <w:ilvl w:val="0"/>
                <w:numId w:val="2"/>
              </w:numPr>
              <w:rPr>
                <w:rFonts w:ascii="David" w:hAnsi="David"/>
                <w:sz w:val="26"/>
              </w:rPr>
            </w:pPr>
          </w:p>
        </w:tc>
        <w:tc>
          <w:tcPr>
            <w:tcW w:w="7146" w:type="dxa"/>
            <w:gridSpan w:val="4"/>
          </w:tcPr>
          <w:p w14:paraId="49CEEEE6" w14:textId="77777777" w:rsidR="00436A04" w:rsidRPr="004F21CA" w:rsidRDefault="00436A04" w:rsidP="00436A04">
            <w:pPr>
              <w:pStyle w:val="TableBlock"/>
              <w:rPr>
                <w:rFonts w:ascii="David" w:hAnsi="David"/>
                <w:sz w:val="26"/>
                <w:rtl/>
              </w:rPr>
            </w:pPr>
            <w:r w:rsidRPr="004F21CA">
              <w:rPr>
                <w:rFonts w:ascii="David" w:hAnsi="David"/>
                <w:sz w:val="26"/>
                <w:rtl/>
              </w:rPr>
              <w:t xml:space="preserve">במקום התוספת </w:t>
            </w:r>
            <w:proofErr w:type="spellStart"/>
            <w:r w:rsidRPr="004F21CA">
              <w:rPr>
                <w:rFonts w:ascii="David" w:hAnsi="David"/>
                <w:sz w:val="26"/>
                <w:rtl/>
              </w:rPr>
              <w:t>השניה</w:t>
            </w:r>
            <w:proofErr w:type="spellEnd"/>
            <w:r w:rsidRPr="004F21CA">
              <w:rPr>
                <w:rFonts w:ascii="David" w:hAnsi="David"/>
                <w:sz w:val="26"/>
                <w:rtl/>
              </w:rPr>
              <w:t xml:space="preserve"> לתקנות העיקריות, יבוא: </w:t>
            </w:r>
          </w:p>
          <w:p w14:paraId="1790548C" w14:textId="00A1F8A6" w:rsidR="00436A04" w:rsidRPr="004F21CA" w:rsidRDefault="00436A04" w:rsidP="00436A04">
            <w:pPr>
              <w:pStyle w:val="TableBlock"/>
              <w:rPr>
                <w:rFonts w:ascii="David" w:hAnsi="David"/>
                <w:sz w:val="26"/>
                <w:rtl/>
              </w:rPr>
            </w:pPr>
            <w:r w:rsidRPr="004F21CA">
              <w:rPr>
                <w:rFonts w:ascii="David" w:hAnsi="David"/>
                <w:sz w:val="26"/>
                <w:rtl/>
              </w:rPr>
              <w:t>(הושמטה – מצורף במסמך נפרד)</w:t>
            </w:r>
          </w:p>
        </w:tc>
      </w:tr>
      <w:tr w:rsidR="00436A04" w:rsidRPr="004F21CA" w14:paraId="15AB5ED6" w14:textId="77777777" w:rsidTr="00337A6D">
        <w:trPr>
          <w:cantSplit/>
          <w:trHeight w:val="60"/>
        </w:trPr>
        <w:tc>
          <w:tcPr>
            <w:tcW w:w="1871" w:type="dxa"/>
          </w:tcPr>
          <w:p w14:paraId="3FB43128" w14:textId="4990AEDB" w:rsidR="00436A04" w:rsidRPr="004F21CA" w:rsidRDefault="00436A04" w:rsidP="00436A04">
            <w:pPr>
              <w:pStyle w:val="TableSideHeading"/>
              <w:rPr>
                <w:rFonts w:ascii="David" w:hAnsi="David"/>
                <w:sz w:val="26"/>
                <w:rtl/>
              </w:rPr>
            </w:pPr>
            <w:r w:rsidRPr="004F21CA">
              <w:rPr>
                <w:rFonts w:ascii="David" w:hAnsi="David"/>
                <w:sz w:val="26"/>
                <w:rtl/>
              </w:rPr>
              <w:t>החלפת התוספת השלישית</w:t>
            </w:r>
          </w:p>
        </w:tc>
        <w:tc>
          <w:tcPr>
            <w:tcW w:w="624" w:type="dxa"/>
          </w:tcPr>
          <w:p w14:paraId="7ECE9EFF" w14:textId="77777777" w:rsidR="00436A04" w:rsidRPr="004F21CA" w:rsidRDefault="00436A04" w:rsidP="00436A04">
            <w:pPr>
              <w:pStyle w:val="TableText"/>
              <w:numPr>
                <w:ilvl w:val="0"/>
                <w:numId w:val="2"/>
              </w:numPr>
              <w:rPr>
                <w:rFonts w:ascii="David" w:hAnsi="David"/>
                <w:sz w:val="26"/>
              </w:rPr>
            </w:pPr>
          </w:p>
        </w:tc>
        <w:tc>
          <w:tcPr>
            <w:tcW w:w="7146" w:type="dxa"/>
            <w:gridSpan w:val="4"/>
          </w:tcPr>
          <w:p w14:paraId="0F77ED2F" w14:textId="77777777" w:rsidR="00436A04" w:rsidRPr="004F21CA" w:rsidRDefault="00436A04" w:rsidP="00436A04">
            <w:pPr>
              <w:pStyle w:val="TableBlock"/>
              <w:rPr>
                <w:rFonts w:ascii="David" w:hAnsi="David"/>
                <w:sz w:val="26"/>
                <w:rtl/>
              </w:rPr>
            </w:pPr>
            <w:r w:rsidRPr="004F21CA">
              <w:rPr>
                <w:rFonts w:ascii="David" w:hAnsi="David"/>
                <w:sz w:val="26"/>
                <w:rtl/>
              </w:rPr>
              <w:t>במקום התוספת השלישית לתקנות העיקריות, יבוא:</w:t>
            </w:r>
            <w:r w:rsidRPr="004F21CA">
              <w:rPr>
                <w:rFonts w:ascii="David" w:hAnsi="David"/>
                <w:sz w:val="26"/>
                <w:highlight w:val="lightGray"/>
                <w:rtl/>
              </w:rPr>
              <w:t xml:space="preserve"> </w:t>
            </w:r>
          </w:p>
          <w:p w14:paraId="57B6AA2D" w14:textId="0A8C5234" w:rsidR="00436A04" w:rsidRPr="004F21CA" w:rsidRDefault="00436A04" w:rsidP="00436A04">
            <w:pPr>
              <w:pStyle w:val="TableBlock"/>
              <w:rPr>
                <w:rFonts w:ascii="David" w:hAnsi="David"/>
                <w:sz w:val="26"/>
                <w:rtl/>
              </w:rPr>
            </w:pPr>
            <w:r w:rsidRPr="004F21CA">
              <w:rPr>
                <w:rFonts w:ascii="David" w:hAnsi="David"/>
                <w:sz w:val="26"/>
                <w:rtl/>
              </w:rPr>
              <w:t>(הושמטה – מצורף במסמך נפרד)</w:t>
            </w:r>
          </w:p>
        </w:tc>
      </w:tr>
      <w:tr w:rsidR="00436A04" w:rsidRPr="004F21CA" w14:paraId="4366496F" w14:textId="77777777" w:rsidTr="00337A6D">
        <w:trPr>
          <w:cantSplit/>
          <w:trHeight w:val="60"/>
        </w:trPr>
        <w:tc>
          <w:tcPr>
            <w:tcW w:w="1871" w:type="dxa"/>
          </w:tcPr>
          <w:p w14:paraId="499B6EC0" w14:textId="291D852B" w:rsidR="00436A04" w:rsidRPr="004F21CA" w:rsidRDefault="003A0D40" w:rsidP="003A0D40">
            <w:pPr>
              <w:pStyle w:val="TableSideHeading"/>
              <w:rPr>
                <w:rFonts w:ascii="David" w:hAnsi="David"/>
                <w:sz w:val="26"/>
                <w:rtl/>
              </w:rPr>
            </w:pPr>
            <w:r>
              <w:rPr>
                <w:rFonts w:ascii="David" w:hAnsi="David" w:hint="cs"/>
                <w:sz w:val="26"/>
                <w:rtl/>
              </w:rPr>
              <w:t>תיקון</w:t>
            </w:r>
            <w:r w:rsidR="00436A04" w:rsidRPr="004F21CA">
              <w:rPr>
                <w:rFonts w:ascii="David" w:hAnsi="David"/>
                <w:sz w:val="26"/>
                <w:rtl/>
              </w:rPr>
              <w:t xml:space="preserve"> התוספת השביעית</w:t>
            </w:r>
          </w:p>
        </w:tc>
        <w:tc>
          <w:tcPr>
            <w:tcW w:w="624" w:type="dxa"/>
          </w:tcPr>
          <w:p w14:paraId="6AF4A09A" w14:textId="77777777" w:rsidR="00436A04" w:rsidRPr="004F21CA" w:rsidRDefault="00436A04" w:rsidP="00436A04">
            <w:pPr>
              <w:pStyle w:val="TableText"/>
              <w:numPr>
                <w:ilvl w:val="0"/>
                <w:numId w:val="2"/>
              </w:numPr>
              <w:rPr>
                <w:rFonts w:ascii="David" w:hAnsi="David"/>
                <w:sz w:val="26"/>
              </w:rPr>
            </w:pPr>
          </w:p>
        </w:tc>
        <w:tc>
          <w:tcPr>
            <w:tcW w:w="7146" w:type="dxa"/>
            <w:gridSpan w:val="4"/>
          </w:tcPr>
          <w:p w14:paraId="3859A689" w14:textId="61DF5892" w:rsidR="00436A04" w:rsidRPr="004F21CA" w:rsidRDefault="003A0D40" w:rsidP="003A0D40">
            <w:pPr>
              <w:pStyle w:val="TableHead"/>
              <w:jc w:val="both"/>
              <w:rPr>
                <w:rFonts w:ascii="David" w:hAnsi="David"/>
                <w:b w:val="0"/>
                <w:bCs w:val="0"/>
                <w:sz w:val="26"/>
                <w:rtl/>
              </w:rPr>
            </w:pPr>
            <w:r>
              <w:rPr>
                <w:rFonts w:ascii="David" w:hAnsi="David" w:hint="cs"/>
                <w:b w:val="0"/>
                <w:bCs w:val="0"/>
                <w:sz w:val="26"/>
                <w:rtl/>
              </w:rPr>
              <w:t xml:space="preserve">בתוספת </w:t>
            </w:r>
            <w:r w:rsidR="00436A04" w:rsidRPr="004F21CA">
              <w:rPr>
                <w:rFonts w:ascii="David" w:hAnsi="David"/>
                <w:b w:val="0"/>
                <w:bCs w:val="0"/>
                <w:sz w:val="26"/>
                <w:rtl/>
              </w:rPr>
              <w:t>השביעית לתקנות העיקריות,</w:t>
            </w:r>
            <w:r>
              <w:rPr>
                <w:rFonts w:ascii="David" w:hAnsi="David" w:hint="cs"/>
                <w:b w:val="0"/>
                <w:bCs w:val="0"/>
                <w:sz w:val="26"/>
                <w:rtl/>
              </w:rPr>
              <w:t xml:space="preserve"> בחלק (3),</w:t>
            </w:r>
            <w:r w:rsidR="00436A04" w:rsidRPr="004F21CA">
              <w:rPr>
                <w:rFonts w:ascii="David" w:hAnsi="David"/>
                <w:b w:val="0"/>
                <w:bCs w:val="0"/>
                <w:sz w:val="26"/>
                <w:rtl/>
              </w:rPr>
              <w:t xml:space="preserve"> יבוא: </w:t>
            </w:r>
          </w:p>
          <w:p w14:paraId="45C22084" w14:textId="77348191" w:rsidR="00436A04" w:rsidRPr="004F21CA" w:rsidRDefault="00436A04" w:rsidP="00436A04">
            <w:pPr>
              <w:pStyle w:val="TableHead"/>
              <w:jc w:val="both"/>
              <w:rPr>
                <w:rFonts w:ascii="David" w:hAnsi="David"/>
                <w:b w:val="0"/>
                <w:bCs w:val="0"/>
                <w:sz w:val="26"/>
                <w:highlight w:val="lightGray"/>
                <w:rtl/>
              </w:rPr>
            </w:pPr>
          </w:p>
        </w:tc>
      </w:tr>
      <w:tr w:rsidR="00B353FE" w14:paraId="6AAC8438" w14:textId="77777777">
        <w:trPr>
          <w:cantSplit/>
          <w:trHeight w:val="60"/>
        </w:trPr>
        <w:tc>
          <w:tcPr>
            <w:tcW w:w="1871" w:type="dxa"/>
          </w:tcPr>
          <w:p w14:paraId="07352FAF" w14:textId="77777777" w:rsidR="00B353FE" w:rsidRDefault="00B353FE">
            <w:pPr>
              <w:pStyle w:val="TableSideHeading"/>
            </w:pPr>
          </w:p>
        </w:tc>
        <w:tc>
          <w:tcPr>
            <w:tcW w:w="624" w:type="dxa"/>
          </w:tcPr>
          <w:p w14:paraId="1E72F45D" w14:textId="77777777" w:rsidR="00B353FE" w:rsidRDefault="00B353FE">
            <w:pPr>
              <w:pStyle w:val="TableText"/>
            </w:pPr>
          </w:p>
        </w:tc>
        <w:tc>
          <w:tcPr>
            <w:tcW w:w="624" w:type="dxa"/>
          </w:tcPr>
          <w:p w14:paraId="3B155892" w14:textId="77777777" w:rsidR="00B353FE" w:rsidRPr="00B353FE" w:rsidRDefault="00B353FE" w:rsidP="003A0D40">
            <w:pPr>
              <w:pStyle w:val="TableText"/>
              <w:numPr>
                <w:ilvl w:val="0"/>
                <w:numId w:val="39"/>
              </w:numPr>
              <w:tabs>
                <w:tab w:val="left" w:pos="624"/>
              </w:tabs>
              <w:jc w:val="both"/>
            </w:pPr>
          </w:p>
        </w:tc>
        <w:tc>
          <w:tcPr>
            <w:tcW w:w="6522" w:type="dxa"/>
            <w:gridSpan w:val="3"/>
          </w:tcPr>
          <w:p w14:paraId="3CF3A923" w14:textId="6E7E053E" w:rsidR="00B353FE" w:rsidRPr="00B353FE" w:rsidRDefault="00B353FE" w:rsidP="003A0D40">
            <w:pPr>
              <w:pStyle w:val="TableBlock"/>
            </w:pPr>
            <w:r w:rsidRPr="00B353FE">
              <w:rPr>
                <w:rFonts w:ascii="David" w:hAnsi="David"/>
                <w:sz w:val="26"/>
                <w:rtl/>
              </w:rPr>
              <w:t xml:space="preserve"> </w:t>
            </w:r>
            <w:r w:rsidR="003A0D40">
              <w:rPr>
                <w:rFonts w:hint="cs"/>
                <w:rtl/>
              </w:rPr>
              <w:t>בסעיף קטן 1, אחרי המילה "</w:t>
            </w:r>
            <w:proofErr w:type="spellStart"/>
            <w:r w:rsidR="003A0D40">
              <w:rPr>
                <w:rFonts w:hint="cs"/>
                <w:rtl/>
              </w:rPr>
              <w:t>וקומפוסט</w:t>
            </w:r>
            <w:proofErr w:type="spellEnd"/>
            <w:r w:rsidR="003A0D40">
              <w:rPr>
                <w:rFonts w:hint="cs"/>
                <w:rtl/>
              </w:rPr>
              <w:t xml:space="preserve">" יבוא - </w:t>
            </w:r>
          </w:p>
        </w:tc>
      </w:tr>
      <w:tr w:rsidR="003A0D40" w14:paraId="4D898071" w14:textId="77777777">
        <w:trPr>
          <w:cantSplit/>
          <w:trHeight w:val="60"/>
        </w:trPr>
        <w:tc>
          <w:tcPr>
            <w:tcW w:w="1871" w:type="dxa"/>
          </w:tcPr>
          <w:p w14:paraId="739C0B77" w14:textId="77777777" w:rsidR="003A0D40" w:rsidRDefault="003A0D40">
            <w:pPr>
              <w:pStyle w:val="TableSideHeading"/>
            </w:pPr>
          </w:p>
        </w:tc>
        <w:tc>
          <w:tcPr>
            <w:tcW w:w="624" w:type="dxa"/>
          </w:tcPr>
          <w:p w14:paraId="4470BC75" w14:textId="77777777" w:rsidR="003A0D40" w:rsidRDefault="003A0D40">
            <w:pPr>
              <w:pStyle w:val="TableText"/>
            </w:pPr>
          </w:p>
        </w:tc>
        <w:tc>
          <w:tcPr>
            <w:tcW w:w="624" w:type="dxa"/>
          </w:tcPr>
          <w:p w14:paraId="33FAA175" w14:textId="77777777" w:rsidR="003A0D40" w:rsidRDefault="003A0D40">
            <w:pPr>
              <w:pStyle w:val="TableText"/>
            </w:pPr>
          </w:p>
        </w:tc>
        <w:tc>
          <w:tcPr>
            <w:tcW w:w="624" w:type="dxa"/>
          </w:tcPr>
          <w:p w14:paraId="3110CDE3" w14:textId="77777777" w:rsidR="003A0D40" w:rsidRDefault="003A0D40">
            <w:pPr>
              <w:pStyle w:val="TableText"/>
            </w:pPr>
          </w:p>
        </w:tc>
        <w:tc>
          <w:tcPr>
            <w:tcW w:w="5898" w:type="dxa"/>
            <w:gridSpan w:val="2"/>
          </w:tcPr>
          <w:p w14:paraId="6CB742C5" w14:textId="30FF26E3" w:rsidR="003A0D40" w:rsidRDefault="003A0D40">
            <w:pPr>
              <w:pStyle w:val="TableBlock"/>
            </w:pPr>
            <w:r>
              <w:rPr>
                <w:rFonts w:hint="cs"/>
                <w:rtl/>
              </w:rPr>
              <w:t xml:space="preserve">"למעט חול סיליקה"; </w:t>
            </w:r>
          </w:p>
        </w:tc>
      </w:tr>
      <w:tr w:rsidR="003A0D40" w14:paraId="0B051619" w14:textId="77777777">
        <w:trPr>
          <w:cantSplit/>
          <w:trHeight w:val="60"/>
        </w:trPr>
        <w:tc>
          <w:tcPr>
            <w:tcW w:w="1871" w:type="dxa"/>
          </w:tcPr>
          <w:p w14:paraId="4783954D" w14:textId="77777777" w:rsidR="003A0D40" w:rsidRDefault="003A0D40">
            <w:pPr>
              <w:pStyle w:val="TableSideHeading"/>
            </w:pPr>
          </w:p>
        </w:tc>
        <w:tc>
          <w:tcPr>
            <w:tcW w:w="624" w:type="dxa"/>
          </w:tcPr>
          <w:p w14:paraId="1E0385B7" w14:textId="77777777" w:rsidR="003A0D40" w:rsidRDefault="003A0D40">
            <w:pPr>
              <w:pStyle w:val="TableText"/>
            </w:pPr>
          </w:p>
        </w:tc>
        <w:tc>
          <w:tcPr>
            <w:tcW w:w="624" w:type="dxa"/>
          </w:tcPr>
          <w:p w14:paraId="082D6FB0" w14:textId="77777777" w:rsidR="003A0D40" w:rsidRDefault="003A0D40" w:rsidP="003A0D40">
            <w:pPr>
              <w:pStyle w:val="TableText"/>
              <w:numPr>
                <w:ilvl w:val="0"/>
                <w:numId w:val="39"/>
              </w:numPr>
              <w:tabs>
                <w:tab w:val="left" w:pos="624"/>
              </w:tabs>
              <w:jc w:val="both"/>
            </w:pPr>
          </w:p>
        </w:tc>
        <w:tc>
          <w:tcPr>
            <w:tcW w:w="6522" w:type="dxa"/>
            <w:gridSpan w:val="3"/>
          </w:tcPr>
          <w:p w14:paraId="52225AE0" w14:textId="5A19408A" w:rsidR="003A0D40" w:rsidRDefault="003A0D40">
            <w:pPr>
              <w:pStyle w:val="TableBlock"/>
            </w:pPr>
            <w:r>
              <w:rPr>
                <w:rFonts w:hint="cs"/>
                <w:rtl/>
              </w:rPr>
              <w:t xml:space="preserve">במקום האמור בסעיף קטן 3, יבוא - </w:t>
            </w:r>
          </w:p>
        </w:tc>
      </w:tr>
      <w:tr w:rsidR="003A0D40" w14:paraId="32F1945A" w14:textId="77777777">
        <w:trPr>
          <w:cantSplit/>
          <w:trHeight w:val="60"/>
        </w:trPr>
        <w:tc>
          <w:tcPr>
            <w:tcW w:w="1871" w:type="dxa"/>
          </w:tcPr>
          <w:p w14:paraId="15CDE68C" w14:textId="77777777" w:rsidR="003A0D40" w:rsidRDefault="003A0D40">
            <w:pPr>
              <w:pStyle w:val="TableSideHeading"/>
            </w:pPr>
          </w:p>
        </w:tc>
        <w:tc>
          <w:tcPr>
            <w:tcW w:w="624" w:type="dxa"/>
          </w:tcPr>
          <w:p w14:paraId="1712385E" w14:textId="77777777" w:rsidR="003A0D40" w:rsidRDefault="003A0D40">
            <w:pPr>
              <w:pStyle w:val="TableText"/>
            </w:pPr>
          </w:p>
        </w:tc>
        <w:tc>
          <w:tcPr>
            <w:tcW w:w="624" w:type="dxa"/>
          </w:tcPr>
          <w:p w14:paraId="310927C5" w14:textId="77777777" w:rsidR="003A0D40" w:rsidRDefault="003A0D40">
            <w:pPr>
              <w:pStyle w:val="TableText"/>
            </w:pPr>
          </w:p>
        </w:tc>
        <w:tc>
          <w:tcPr>
            <w:tcW w:w="624" w:type="dxa"/>
          </w:tcPr>
          <w:p w14:paraId="47477E31" w14:textId="77777777" w:rsidR="003A0D40" w:rsidRDefault="003A0D40">
            <w:pPr>
              <w:pStyle w:val="TableText"/>
            </w:pPr>
          </w:p>
        </w:tc>
        <w:tc>
          <w:tcPr>
            <w:tcW w:w="5898" w:type="dxa"/>
            <w:gridSpan w:val="2"/>
          </w:tcPr>
          <w:p w14:paraId="1CC0FE89" w14:textId="02E45FDA" w:rsidR="003A0D40" w:rsidRDefault="003A0D40">
            <w:pPr>
              <w:pStyle w:val="TableBlock"/>
            </w:pPr>
            <w:r w:rsidRPr="003A0D40">
              <w:rPr>
                <w:rFonts w:hint="cs"/>
                <w:rtl/>
              </w:rPr>
              <w:t>"</w:t>
            </w:r>
            <w:r w:rsidRPr="003A0D40">
              <w:rPr>
                <w:rtl/>
              </w:rPr>
              <w:t>אורגניזמים</w:t>
            </w:r>
            <w:r w:rsidRPr="003A0D40">
              <w:rPr>
                <w:rFonts w:hint="cs"/>
                <w:rtl/>
              </w:rPr>
              <w:t xml:space="preserve"> חיים</w:t>
            </w:r>
            <w:r w:rsidRPr="003A0D40">
              <w:rPr>
                <w:rtl/>
              </w:rPr>
              <w:t xml:space="preserve"> המהווים נגעים </w:t>
            </w:r>
            <w:r w:rsidRPr="003A0D40">
              <w:rPr>
                <w:rFonts w:hint="cs"/>
                <w:rtl/>
              </w:rPr>
              <w:t xml:space="preserve">לרבות </w:t>
            </w:r>
            <w:r w:rsidRPr="003A0D40">
              <w:rPr>
                <w:rtl/>
              </w:rPr>
              <w:t>חסרי חוליות בכל דרגות התפתחותם</w:t>
            </w:r>
            <w:r w:rsidRPr="003A0D40">
              <w:rPr>
                <w:rFonts w:hint="cs"/>
                <w:rtl/>
              </w:rPr>
              <w:t>;</w:t>
            </w:r>
            <w:r w:rsidRPr="003A0D40">
              <w:rPr>
                <w:rtl/>
              </w:rPr>
              <w:t xml:space="preserve"> חרקים, חלזונות, תולעים</w:t>
            </w:r>
            <w:r w:rsidRPr="003A0D40">
              <w:rPr>
                <w:rFonts w:hint="cs"/>
                <w:rtl/>
              </w:rPr>
              <w:t>,</w:t>
            </w:r>
            <w:r w:rsidR="00B317E0">
              <w:rPr>
                <w:rtl/>
              </w:rPr>
              <w:t xml:space="preserve"> </w:t>
            </w:r>
            <w:proofErr w:type="spellStart"/>
            <w:r w:rsidR="00B317E0">
              <w:rPr>
                <w:rtl/>
              </w:rPr>
              <w:t>אקריות</w:t>
            </w:r>
            <w:proofErr w:type="spellEnd"/>
            <w:r w:rsidRPr="003A0D40">
              <w:rPr>
                <w:rtl/>
              </w:rPr>
              <w:t xml:space="preserve">, חיידקים, </w:t>
            </w:r>
            <w:r w:rsidRPr="003A0D40">
              <w:rPr>
                <w:rFonts w:hint="cs"/>
                <w:rtl/>
              </w:rPr>
              <w:t>ו</w:t>
            </w:r>
            <w:r w:rsidRPr="003A0D40">
              <w:rPr>
                <w:rtl/>
              </w:rPr>
              <w:t>ירוסים</w:t>
            </w:r>
            <w:r w:rsidRPr="003A0D40">
              <w:rPr>
                <w:rFonts w:hint="cs"/>
                <w:rtl/>
              </w:rPr>
              <w:t xml:space="preserve">, </w:t>
            </w:r>
            <w:proofErr w:type="spellStart"/>
            <w:r w:rsidRPr="003A0D40">
              <w:rPr>
                <w:rFonts w:hint="cs"/>
                <w:rtl/>
              </w:rPr>
              <w:t>וירואידים</w:t>
            </w:r>
            <w:proofErr w:type="spellEnd"/>
            <w:r w:rsidRPr="003A0D40">
              <w:rPr>
                <w:rFonts w:hint="cs"/>
                <w:rtl/>
              </w:rPr>
              <w:t xml:space="preserve"> ו</w:t>
            </w:r>
            <w:r w:rsidRPr="003A0D40">
              <w:rPr>
                <w:rtl/>
              </w:rPr>
              <w:t>תרבית של פטריות למעט תפטיר של פטריות למאכל</w:t>
            </w:r>
            <w:r>
              <w:rPr>
                <w:rFonts w:hint="cs"/>
                <w:rtl/>
              </w:rPr>
              <w:t xml:space="preserve">". </w:t>
            </w:r>
          </w:p>
        </w:tc>
      </w:tr>
      <w:tr w:rsidR="00436A04" w:rsidRPr="004F21CA" w14:paraId="275B9209" w14:textId="77777777" w:rsidTr="00337A6D">
        <w:trPr>
          <w:cantSplit/>
          <w:trHeight w:val="60"/>
        </w:trPr>
        <w:tc>
          <w:tcPr>
            <w:tcW w:w="1871" w:type="dxa"/>
          </w:tcPr>
          <w:p w14:paraId="2B23A3B1" w14:textId="06B3B145" w:rsidR="00436A04" w:rsidRPr="004F21CA" w:rsidRDefault="00436A04" w:rsidP="00436A04">
            <w:pPr>
              <w:pStyle w:val="TableSideHeading"/>
              <w:rPr>
                <w:rFonts w:ascii="David" w:hAnsi="David"/>
                <w:sz w:val="26"/>
                <w:rtl/>
              </w:rPr>
            </w:pPr>
            <w:r w:rsidRPr="004F21CA">
              <w:rPr>
                <w:rFonts w:ascii="David" w:hAnsi="David"/>
                <w:sz w:val="26"/>
                <w:rtl/>
              </w:rPr>
              <w:t>הוספת התוספת העשירית</w:t>
            </w:r>
          </w:p>
        </w:tc>
        <w:tc>
          <w:tcPr>
            <w:tcW w:w="624" w:type="dxa"/>
          </w:tcPr>
          <w:p w14:paraId="114B7FEA" w14:textId="77777777" w:rsidR="00436A04" w:rsidRPr="004F21CA" w:rsidRDefault="00436A04" w:rsidP="00436A04">
            <w:pPr>
              <w:pStyle w:val="TableText"/>
              <w:numPr>
                <w:ilvl w:val="0"/>
                <w:numId w:val="2"/>
              </w:numPr>
              <w:rPr>
                <w:rFonts w:ascii="David" w:hAnsi="David"/>
                <w:sz w:val="26"/>
              </w:rPr>
            </w:pPr>
          </w:p>
        </w:tc>
        <w:tc>
          <w:tcPr>
            <w:tcW w:w="7146" w:type="dxa"/>
            <w:gridSpan w:val="4"/>
          </w:tcPr>
          <w:p w14:paraId="4A7DA167" w14:textId="6A576368" w:rsidR="00436A04" w:rsidRPr="004F21CA" w:rsidRDefault="00436A04" w:rsidP="00436A04">
            <w:pPr>
              <w:pStyle w:val="TableHead"/>
              <w:rPr>
                <w:rFonts w:ascii="David" w:hAnsi="David"/>
                <w:sz w:val="26"/>
                <w:rtl/>
              </w:rPr>
            </w:pPr>
            <w:r w:rsidRPr="004F21CA">
              <w:rPr>
                <w:rFonts w:ascii="David" w:hAnsi="David"/>
                <w:sz w:val="26"/>
                <w:rtl/>
              </w:rPr>
              <w:t>"תוספת עשירית</w:t>
            </w:r>
          </w:p>
          <w:p w14:paraId="50A5BC4A" w14:textId="102D8EF8" w:rsidR="00436A04" w:rsidRPr="004F21CA" w:rsidRDefault="00436A04" w:rsidP="00436A04">
            <w:pPr>
              <w:pStyle w:val="TableHead"/>
              <w:rPr>
                <w:rFonts w:ascii="David" w:hAnsi="David"/>
                <w:b w:val="0"/>
                <w:bCs w:val="0"/>
                <w:sz w:val="26"/>
                <w:rtl/>
              </w:rPr>
            </w:pPr>
            <w:r w:rsidRPr="004F21CA">
              <w:rPr>
                <w:rFonts w:ascii="David" w:hAnsi="David"/>
                <w:b w:val="0"/>
                <w:bCs w:val="0"/>
                <w:sz w:val="26"/>
                <w:rtl/>
              </w:rPr>
              <w:t>תקנה 2א(ו)</w:t>
            </w:r>
          </w:p>
          <w:p w14:paraId="1876F9D8" w14:textId="6225D810" w:rsidR="00436A04" w:rsidRPr="004F21CA" w:rsidRDefault="00436A04" w:rsidP="004F21CA">
            <w:pPr>
              <w:pStyle w:val="TableBlock"/>
              <w:jc w:val="center"/>
              <w:rPr>
                <w:rFonts w:ascii="David" w:hAnsi="David"/>
                <w:b/>
                <w:bCs/>
                <w:sz w:val="26"/>
                <w:highlight w:val="lightGray"/>
                <w:rtl/>
              </w:rPr>
            </w:pPr>
            <w:r w:rsidRPr="004F21CA">
              <w:rPr>
                <w:rFonts w:ascii="David" w:hAnsi="David"/>
                <w:b/>
                <w:bCs/>
                <w:sz w:val="26"/>
                <w:rtl/>
              </w:rPr>
              <w:t>תנאים להתרת יבוא של מוצר שניתנה לגביו הוראת מניעת יבוא</w:t>
            </w:r>
            <w:r w:rsidRPr="004F21CA">
              <w:rPr>
                <w:rFonts w:ascii="David" w:hAnsi="David"/>
                <w:b/>
                <w:bCs/>
                <w:sz w:val="26"/>
                <w:highlight w:val="lightGray"/>
                <w:rtl/>
              </w:rPr>
              <w:t xml:space="preserve"> </w:t>
            </w:r>
          </w:p>
        </w:tc>
      </w:tr>
      <w:tr w:rsidR="00436A04" w:rsidRPr="004F21CA" w14:paraId="775A53F1" w14:textId="77777777" w:rsidTr="00337A6D">
        <w:trPr>
          <w:cantSplit/>
          <w:trHeight w:val="60"/>
        </w:trPr>
        <w:tc>
          <w:tcPr>
            <w:tcW w:w="1871" w:type="dxa"/>
          </w:tcPr>
          <w:p w14:paraId="0812824E" w14:textId="77777777" w:rsidR="00436A04" w:rsidRPr="004F21CA" w:rsidRDefault="00436A04" w:rsidP="00436A04">
            <w:pPr>
              <w:pStyle w:val="TableSideHeading"/>
              <w:rPr>
                <w:rFonts w:ascii="David" w:hAnsi="David"/>
                <w:sz w:val="26"/>
              </w:rPr>
            </w:pPr>
          </w:p>
        </w:tc>
        <w:tc>
          <w:tcPr>
            <w:tcW w:w="624" w:type="dxa"/>
          </w:tcPr>
          <w:p w14:paraId="491DAAD9" w14:textId="77777777" w:rsidR="00436A04" w:rsidRPr="004F21CA" w:rsidRDefault="00436A04" w:rsidP="00436A04">
            <w:pPr>
              <w:pStyle w:val="TableText"/>
              <w:rPr>
                <w:rFonts w:ascii="David" w:hAnsi="David"/>
                <w:sz w:val="26"/>
              </w:rPr>
            </w:pPr>
          </w:p>
        </w:tc>
        <w:tc>
          <w:tcPr>
            <w:tcW w:w="624" w:type="dxa"/>
          </w:tcPr>
          <w:p w14:paraId="12302FBC" w14:textId="77777777" w:rsidR="00436A04" w:rsidRPr="004F21CA" w:rsidRDefault="00436A04" w:rsidP="00436A04">
            <w:pPr>
              <w:pStyle w:val="TableText"/>
              <w:numPr>
                <w:ilvl w:val="0"/>
                <w:numId w:val="30"/>
              </w:numPr>
              <w:tabs>
                <w:tab w:val="left" w:pos="624"/>
              </w:tabs>
              <w:jc w:val="both"/>
              <w:rPr>
                <w:rStyle w:val="default"/>
                <w:rFonts w:ascii="David" w:hAnsi="David" w:cs="David"/>
                <w:sz w:val="26"/>
              </w:rPr>
            </w:pPr>
          </w:p>
        </w:tc>
        <w:tc>
          <w:tcPr>
            <w:tcW w:w="6522" w:type="dxa"/>
            <w:gridSpan w:val="3"/>
          </w:tcPr>
          <w:p w14:paraId="5DA3FE29" w14:textId="6BCAFF37" w:rsidR="00436A04" w:rsidRPr="004F21CA" w:rsidRDefault="00436A04" w:rsidP="00436A04">
            <w:pPr>
              <w:pStyle w:val="TableBlock"/>
              <w:rPr>
                <w:rStyle w:val="default"/>
                <w:rFonts w:ascii="David" w:hAnsi="David" w:cs="David"/>
                <w:sz w:val="26"/>
              </w:rPr>
            </w:pPr>
            <w:r w:rsidRPr="004F21CA">
              <w:rPr>
                <w:rStyle w:val="default"/>
                <w:rFonts w:ascii="David" w:hAnsi="David" w:cs="David"/>
                <w:sz w:val="26"/>
                <w:rtl/>
              </w:rPr>
              <w:t>גידול הצמחים המיובאים בתנאי הסגר בפיקוח הרשויות המוסמכות במדינת המקור;</w:t>
            </w:r>
          </w:p>
        </w:tc>
      </w:tr>
      <w:tr w:rsidR="00436A04" w:rsidRPr="004F21CA" w14:paraId="04F7E9A4" w14:textId="77777777" w:rsidTr="00337A6D">
        <w:trPr>
          <w:cantSplit/>
          <w:trHeight w:val="60"/>
        </w:trPr>
        <w:tc>
          <w:tcPr>
            <w:tcW w:w="1871" w:type="dxa"/>
          </w:tcPr>
          <w:p w14:paraId="2B0E6BF2" w14:textId="77777777" w:rsidR="00436A04" w:rsidRPr="004F21CA" w:rsidRDefault="00436A04" w:rsidP="00436A04">
            <w:pPr>
              <w:pStyle w:val="TableSideHeading"/>
              <w:rPr>
                <w:rFonts w:ascii="David" w:hAnsi="David"/>
                <w:sz w:val="26"/>
              </w:rPr>
            </w:pPr>
          </w:p>
        </w:tc>
        <w:tc>
          <w:tcPr>
            <w:tcW w:w="624" w:type="dxa"/>
          </w:tcPr>
          <w:p w14:paraId="634FF928" w14:textId="77777777" w:rsidR="00436A04" w:rsidRPr="004F21CA" w:rsidRDefault="00436A04" w:rsidP="00436A04">
            <w:pPr>
              <w:pStyle w:val="TableText"/>
              <w:rPr>
                <w:rFonts w:ascii="David" w:hAnsi="David"/>
                <w:sz w:val="26"/>
              </w:rPr>
            </w:pPr>
          </w:p>
        </w:tc>
        <w:tc>
          <w:tcPr>
            <w:tcW w:w="624" w:type="dxa"/>
          </w:tcPr>
          <w:p w14:paraId="0E164FFF" w14:textId="77777777" w:rsidR="00436A04" w:rsidRPr="004F21CA" w:rsidRDefault="00436A04" w:rsidP="00436A04">
            <w:pPr>
              <w:pStyle w:val="TableText"/>
              <w:numPr>
                <w:ilvl w:val="0"/>
                <w:numId w:val="30"/>
              </w:numPr>
              <w:tabs>
                <w:tab w:val="left" w:pos="624"/>
              </w:tabs>
              <w:jc w:val="both"/>
              <w:rPr>
                <w:rStyle w:val="default"/>
                <w:rFonts w:ascii="David" w:hAnsi="David" w:cs="David"/>
                <w:sz w:val="26"/>
              </w:rPr>
            </w:pPr>
          </w:p>
        </w:tc>
        <w:tc>
          <w:tcPr>
            <w:tcW w:w="6522" w:type="dxa"/>
            <w:gridSpan w:val="3"/>
          </w:tcPr>
          <w:p w14:paraId="0907A2A9" w14:textId="5DFECBB7" w:rsidR="00436A04" w:rsidRPr="004F21CA" w:rsidRDefault="00436A04" w:rsidP="00436A04">
            <w:pPr>
              <w:pStyle w:val="TableBlock"/>
              <w:rPr>
                <w:rStyle w:val="default"/>
                <w:rFonts w:ascii="David" w:hAnsi="David" w:cs="David"/>
                <w:sz w:val="26"/>
              </w:rPr>
            </w:pPr>
            <w:r w:rsidRPr="004F21CA">
              <w:rPr>
                <w:rStyle w:val="default"/>
                <w:rFonts w:ascii="David" w:hAnsi="David" w:cs="David"/>
                <w:sz w:val="26"/>
                <w:rtl/>
              </w:rPr>
              <w:t>ביצוע טיפול באחד מהטיפולים למניעת נגעים המנויים בתוספת הראשונה טרם ביצוע היבוא;</w:t>
            </w:r>
          </w:p>
        </w:tc>
      </w:tr>
      <w:tr w:rsidR="00436A04" w:rsidRPr="004F21CA" w14:paraId="23F4FD30" w14:textId="77777777" w:rsidTr="00337A6D">
        <w:trPr>
          <w:cantSplit/>
          <w:trHeight w:val="60"/>
        </w:trPr>
        <w:tc>
          <w:tcPr>
            <w:tcW w:w="1871" w:type="dxa"/>
          </w:tcPr>
          <w:p w14:paraId="0D497B83" w14:textId="77777777" w:rsidR="00436A04" w:rsidRPr="004F21CA" w:rsidRDefault="00436A04" w:rsidP="00436A04">
            <w:pPr>
              <w:pStyle w:val="TableSideHeading"/>
              <w:rPr>
                <w:rFonts w:ascii="David" w:hAnsi="David"/>
                <w:sz w:val="26"/>
              </w:rPr>
            </w:pPr>
          </w:p>
        </w:tc>
        <w:tc>
          <w:tcPr>
            <w:tcW w:w="624" w:type="dxa"/>
          </w:tcPr>
          <w:p w14:paraId="57140018" w14:textId="77777777" w:rsidR="00436A04" w:rsidRPr="004F21CA" w:rsidRDefault="00436A04" w:rsidP="00436A04">
            <w:pPr>
              <w:pStyle w:val="TableText"/>
              <w:rPr>
                <w:rFonts w:ascii="David" w:hAnsi="David"/>
                <w:sz w:val="26"/>
              </w:rPr>
            </w:pPr>
          </w:p>
        </w:tc>
        <w:tc>
          <w:tcPr>
            <w:tcW w:w="624" w:type="dxa"/>
          </w:tcPr>
          <w:p w14:paraId="355478B4" w14:textId="77777777" w:rsidR="00436A04" w:rsidRPr="004F21CA" w:rsidRDefault="00436A04" w:rsidP="00436A04">
            <w:pPr>
              <w:pStyle w:val="TableText"/>
              <w:numPr>
                <w:ilvl w:val="0"/>
                <w:numId w:val="30"/>
              </w:numPr>
              <w:tabs>
                <w:tab w:val="left" w:pos="624"/>
              </w:tabs>
              <w:jc w:val="both"/>
              <w:rPr>
                <w:rStyle w:val="default"/>
                <w:rFonts w:ascii="David" w:hAnsi="David" w:cs="David"/>
                <w:sz w:val="26"/>
              </w:rPr>
            </w:pPr>
          </w:p>
        </w:tc>
        <w:tc>
          <w:tcPr>
            <w:tcW w:w="6522" w:type="dxa"/>
            <w:gridSpan w:val="3"/>
          </w:tcPr>
          <w:p w14:paraId="04A75F05" w14:textId="545246B2" w:rsidR="00436A04" w:rsidRPr="004F21CA" w:rsidRDefault="00436A04" w:rsidP="00436A04">
            <w:pPr>
              <w:pStyle w:val="TableBlock"/>
              <w:rPr>
                <w:rStyle w:val="default"/>
                <w:rFonts w:ascii="David" w:hAnsi="David" w:cs="David"/>
                <w:sz w:val="26"/>
              </w:rPr>
            </w:pPr>
            <w:r w:rsidRPr="004F21CA">
              <w:rPr>
                <w:rStyle w:val="default"/>
                <w:rFonts w:ascii="David" w:hAnsi="David" w:cs="David"/>
                <w:sz w:val="26"/>
                <w:rtl/>
              </w:rPr>
              <w:t>ייצור או גידול המוצרים תחת הגנה פיזית המונעת חדירת נגעים כגון: רשתות או חממות, במבנים או בכל ממשק אחר;</w:t>
            </w:r>
          </w:p>
        </w:tc>
      </w:tr>
      <w:tr w:rsidR="00436A04" w:rsidRPr="004F21CA" w14:paraId="15E01356" w14:textId="77777777" w:rsidTr="00337A6D">
        <w:trPr>
          <w:cantSplit/>
          <w:trHeight w:val="60"/>
        </w:trPr>
        <w:tc>
          <w:tcPr>
            <w:tcW w:w="1871" w:type="dxa"/>
          </w:tcPr>
          <w:p w14:paraId="02BD17D6" w14:textId="77777777" w:rsidR="00436A04" w:rsidRPr="004F21CA" w:rsidRDefault="00436A04" w:rsidP="00436A04">
            <w:pPr>
              <w:pStyle w:val="TableSideHeading"/>
              <w:rPr>
                <w:rFonts w:ascii="David" w:hAnsi="David"/>
                <w:sz w:val="26"/>
              </w:rPr>
            </w:pPr>
          </w:p>
        </w:tc>
        <w:tc>
          <w:tcPr>
            <w:tcW w:w="624" w:type="dxa"/>
          </w:tcPr>
          <w:p w14:paraId="2B4813C8" w14:textId="77777777" w:rsidR="00436A04" w:rsidRPr="004F21CA" w:rsidRDefault="00436A04" w:rsidP="00436A04">
            <w:pPr>
              <w:pStyle w:val="TableText"/>
              <w:rPr>
                <w:rFonts w:ascii="David" w:hAnsi="David"/>
                <w:sz w:val="26"/>
              </w:rPr>
            </w:pPr>
          </w:p>
        </w:tc>
        <w:tc>
          <w:tcPr>
            <w:tcW w:w="624" w:type="dxa"/>
          </w:tcPr>
          <w:p w14:paraId="072BAB7D" w14:textId="77777777" w:rsidR="00436A04" w:rsidRPr="004F21CA" w:rsidRDefault="00436A04" w:rsidP="00436A04">
            <w:pPr>
              <w:pStyle w:val="TableText"/>
              <w:numPr>
                <w:ilvl w:val="0"/>
                <w:numId w:val="30"/>
              </w:numPr>
              <w:tabs>
                <w:tab w:val="left" w:pos="624"/>
              </w:tabs>
              <w:jc w:val="both"/>
              <w:rPr>
                <w:rStyle w:val="default"/>
                <w:rFonts w:ascii="David" w:hAnsi="David" w:cs="David"/>
                <w:sz w:val="26"/>
              </w:rPr>
            </w:pPr>
          </w:p>
        </w:tc>
        <w:tc>
          <w:tcPr>
            <w:tcW w:w="6522" w:type="dxa"/>
            <w:gridSpan w:val="3"/>
          </w:tcPr>
          <w:p w14:paraId="315E9DFF" w14:textId="165828C2" w:rsidR="00436A04" w:rsidRPr="004F21CA" w:rsidRDefault="00436A04" w:rsidP="00436A04">
            <w:pPr>
              <w:pStyle w:val="TableBlock"/>
              <w:rPr>
                <w:rStyle w:val="default"/>
                <w:rFonts w:ascii="David" w:hAnsi="David" w:cs="David"/>
                <w:sz w:val="26"/>
              </w:rPr>
            </w:pPr>
            <w:r w:rsidRPr="004F21CA">
              <w:rPr>
                <w:rStyle w:val="default"/>
                <w:rFonts w:ascii="David" w:hAnsi="David" w:cs="David"/>
                <w:sz w:val="26"/>
                <w:rtl/>
              </w:rPr>
              <w:t xml:space="preserve">אריזת המוצרים והובלתם באופן המגן עליהם מפני חדירת נגעים; </w:t>
            </w:r>
          </w:p>
        </w:tc>
      </w:tr>
      <w:tr w:rsidR="00436A04" w:rsidRPr="004F21CA" w14:paraId="45A08528" w14:textId="77777777" w:rsidTr="00337A6D">
        <w:trPr>
          <w:cantSplit/>
          <w:trHeight w:val="60"/>
        </w:trPr>
        <w:tc>
          <w:tcPr>
            <w:tcW w:w="1871" w:type="dxa"/>
          </w:tcPr>
          <w:p w14:paraId="4AB3B49F" w14:textId="77777777" w:rsidR="00436A04" w:rsidRPr="004F21CA" w:rsidRDefault="00436A04" w:rsidP="00436A04">
            <w:pPr>
              <w:pStyle w:val="TableSideHeading"/>
              <w:rPr>
                <w:rFonts w:ascii="David" w:hAnsi="David"/>
                <w:sz w:val="26"/>
              </w:rPr>
            </w:pPr>
          </w:p>
        </w:tc>
        <w:tc>
          <w:tcPr>
            <w:tcW w:w="624" w:type="dxa"/>
          </w:tcPr>
          <w:p w14:paraId="6B2523F5" w14:textId="77777777" w:rsidR="00436A04" w:rsidRPr="004F21CA" w:rsidRDefault="00436A04" w:rsidP="00436A04">
            <w:pPr>
              <w:pStyle w:val="TableText"/>
              <w:rPr>
                <w:rFonts w:ascii="David" w:hAnsi="David"/>
                <w:sz w:val="26"/>
              </w:rPr>
            </w:pPr>
          </w:p>
        </w:tc>
        <w:tc>
          <w:tcPr>
            <w:tcW w:w="624" w:type="dxa"/>
          </w:tcPr>
          <w:p w14:paraId="0AE152F0" w14:textId="77777777" w:rsidR="00436A04" w:rsidRPr="004F21CA" w:rsidRDefault="00436A04" w:rsidP="00436A04">
            <w:pPr>
              <w:pStyle w:val="TableText"/>
              <w:numPr>
                <w:ilvl w:val="0"/>
                <w:numId w:val="30"/>
              </w:numPr>
              <w:tabs>
                <w:tab w:val="left" w:pos="624"/>
              </w:tabs>
              <w:jc w:val="both"/>
              <w:rPr>
                <w:rStyle w:val="default"/>
                <w:rFonts w:ascii="David" w:hAnsi="David" w:cs="David"/>
                <w:sz w:val="26"/>
              </w:rPr>
            </w:pPr>
          </w:p>
        </w:tc>
        <w:tc>
          <w:tcPr>
            <w:tcW w:w="6522" w:type="dxa"/>
            <w:gridSpan w:val="3"/>
          </w:tcPr>
          <w:p w14:paraId="01376814" w14:textId="196C2637" w:rsidR="00436A04" w:rsidRPr="004F21CA" w:rsidRDefault="00436A04" w:rsidP="00436A04">
            <w:pPr>
              <w:pStyle w:val="TableBlock"/>
              <w:rPr>
                <w:rStyle w:val="default"/>
                <w:rFonts w:ascii="David" w:hAnsi="David" w:cs="David"/>
                <w:sz w:val="26"/>
              </w:rPr>
            </w:pPr>
            <w:r w:rsidRPr="004F21CA">
              <w:rPr>
                <w:rStyle w:val="default"/>
                <w:rFonts w:ascii="David" w:hAnsi="David" w:cs="David"/>
                <w:sz w:val="26"/>
                <w:rtl/>
              </w:rPr>
              <w:t xml:space="preserve">ייצור או גידול המוצרים בתנאי קרקע, מזג אוויר, </w:t>
            </w:r>
            <w:proofErr w:type="spellStart"/>
            <w:r w:rsidRPr="004F21CA">
              <w:rPr>
                <w:rStyle w:val="default"/>
                <w:rFonts w:ascii="David" w:hAnsi="David" w:cs="David"/>
                <w:sz w:val="26"/>
                <w:rtl/>
              </w:rPr>
              <w:t>השקייה</w:t>
            </w:r>
            <w:proofErr w:type="spellEnd"/>
            <w:r w:rsidRPr="004F21CA">
              <w:rPr>
                <w:rStyle w:val="default"/>
                <w:rFonts w:ascii="David" w:hAnsi="David" w:cs="David"/>
                <w:sz w:val="26"/>
                <w:rtl/>
              </w:rPr>
              <w:t>, דישון, הדברה המונעים התפתחות של נגעים;</w:t>
            </w:r>
          </w:p>
        </w:tc>
      </w:tr>
      <w:tr w:rsidR="00436A04" w:rsidRPr="004F21CA" w14:paraId="745C4A22" w14:textId="77777777" w:rsidTr="00337A6D">
        <w:trPr>
          <w:cantSplit/>
          <w:trHeight w:val="60"/>
        </w:trPr>
        <w:tc>
          <w:tcPr>
            <w:tcW w:w="1871" w:type="dxa"/>
          </w:tcPr>
          <w:p w14:paraId="20576200" w14:textId="77777777" w:rsidR="00436A04" w:rsidRPr="004F21CA" w:rsidRDefault="00436A04" w:rsidP="00436A04">
            <w:pPr>
              <w:pStyle w:val="TableSideHeading"/>
              <w:rPr>
                <w:rFonts w:ascii="David" w:hAnsi="David"/>
                <w:sz w:val="26"/>
              </w:rPr>
            </w:pPr>
          </w:p>
        </w:tc>
        <w:tc>
          <w:tcPr>
            <w:tcW w:w="624" w:type="dxa"/>
          </w:tcPr>
          <w:p w14:paraId="53575199" w14:textId="77777777" w:rsidR="00436A04" w:rsidRPr="004F21CA" w:rsidRDefault="00436A04" w:rsidP="00436A04">
            <w:pPr>
              <w:pStyle w:val="TableText"/>
              <w:rPr>
                <w:rFonts w:ascii="David" w:hAnsi="David"/>
                <w:sz w:val="26"/>
              </w:rPr>
            </w:pPr>
          </w:p>
        </w:tc>
        <w:tc>
          <w:tcPr>
            <w:tcW w:w="624" w:type="dxa"/>
          </w:tcPr>
          <w:p w14:paraId="57E22BE1" w14:textId="77777777" w:rsidR="00436A04" w:rsidRPr="004F21CA" w:rsidRDefault="00436A04" w:rsidP="00436A04">
            <w:pPr>
              <w:pStyle w:val="TableText"/>
              <w:numPr>
                <w:ilvl w:val="0"/>
                <w:numId w:val="30"/>
              </w:numPr>
              <w:tabs>
                <w:tab w:val="left" w:pos="624"/>
              </w:tabs>
              <w:jc w:val="both"/>
              <w:rPr>
                <w:rStyle w:val="default"/>
                <w:rFonts w:ascii="David" w:hAnsi="David" w:cs="David"/>
                <w:sz w:val="26"/>
              </w:rPr>
            </w:pPr>
          </w:p>
        </w:tc>
        <w:tc>
          <w:tcPr>
            <w:tcW w:w="6522" w:type="dxa"/>
            <w:gridSpan w:val="3"/>
          </w:tcPr>
          <w:p w14:paraId="1ABA33A7" w14:textId="3D46B7A7" w:rsidR="00436A04" w:rsidRPr="004F21CA" w:rsidRDefault="00436A04" w:rsidP="00436A04">
            <w:pPr>
              <w:pStyle w:val="TableBlock"/>
              <w:rPr>
                <w:rStyle w:val="default"/>
                <w:rFonts w:ascii="David" w:hAnsi="David" w:cs="David"/>
                <w:sz w:val="26"/>
              </w:rPr>
            </w:pPr>
            <w:r w:rsidRPr="004F21CA">
              <w:rPr>
                <w:rStyle w:val="default"/>
                <w:rFonts w:ascii="David" w:hAnsi="David" w:cs="David"/>
                <w:sz w:val="26"/>
                <w:rtl/>
              </w:rPr>
              <w:t>ייצור, גידול או החזקה של המוצרים במרחק מינימלי מגידולים בהם יש חשש להמצאות נגעים או מאזורים בהם יש חשש להמצאות נגעים;</w:t>
            </w:r>
          </w:p>
        </w:tc>
      </w:tr>
      <w:tr w:rsidR="00436A04" w:rsidRPr="004F21CA" w14:paraId="7E9CB886" w14:textId="77777777" w:rsidTr="00337A6D">
        <w:trPr>
          <w:cantSplit/>
          <w:trHeight w:val="60"/>
        </w:trPr>
        <w:tc>
          <w:tcPr>
            <w:tcW w:w="1871" w:type="dxa"/>
          </w:tcPr>
          <w:p w14:paraId="79496D6F" w14:textId="77777777" w:rsidR="00436A04" w:rsidRPr="004F21CA" w:rsidRDefault="00436A04" w:rsidP="00436A04">
            <w:pPr>
              <w:pStyle w:val="TableSideHeading"/>
              <w:rPr>
                <w:rFonts w:ascii="David" w:hAnsi="David"/>
                <w:sz w:val="26"/>
              </w:rPr>
            </w:pPr>
          </w:p>
        </w:tc>
        <w:tc>
          <w:tcPr>
            <w:tcW w:w="624" w:type="dxa"/>
          </w:tcPr>
          <w:p w14:paraId="10F83623" w14:textId="77777777" w:rsidR="00436A04" w:rsidRPr="004F21CA" w:rsidRDefault="00436A04" w:rsidP="00436A04">
            <w:pPr>
              <w:pStyle w:val="TableText"/>
              <w:rPr>
                <w:rFonts w:ascii="David" w:hAnsi="David"/>
                <w:sz w:val="26"/>
              </w:rPr>
            </w:pPr>
          </w:p>
        </w:tc>
        <w:tc>
          <w:tcPr>
            <w:tcW w:w="624" w:type="dxa"/>
          </w:tcPr>
          <w:p w14:paraId="1D41851B" w14:textId="77777777" w:rsidR="00436A04" w:rsidRPr="004F21CA" w:rsidRDefault="00436A04" w:rsidP="00436A04">
            <w:pPr>
              <w:pStyle w:val="TableText"/>
              <w:numPr>
                <w:ilvl w:val="0"/>
                <w:numId w:val="30"/>
              </w:numPr>
              <w:tabs>
                <w:tab w:val="left" w:pos="624"/>
              </w:tabs>
              <w:jc w:val="both"/>
              <w:rPr>
                <w:rStyle w:val="default"/>
                <w:rFonts w:ascii="David" w:hAnsi="David" w:cs="David"/>
                <w:sz w:val="26"/>
              </w:rPr>
            </w:pPr>
          </w:p>
        </w:tc>
        <w:tc>
          <w:tcPr>
            <w:tcW w:w="6522" w:type="dxa"/>
            <w:gridSpan w:val="3"/>
          </w:tcPr>
          <w:p w14:paraId="759C0C9C" w14:textId="481DBB51" w:rsidR="00436A04" w:rsidRPr="004F21CA" w:rsidRDefault="00436A04" w:rsidP="00436A04">
            <w:pPr>
              <w:pStyle w:val="TableBlock"/>
              <w:rPr>
                <w:rStyle w:val="default"/>
                <w:rFonts w:ascii="David" w:hAnsi="David" w:cs="David"/>
                <w:sz w:val="26"/>
              </w:rPr>
            </w:pPr>
            <w:r w:rsidRPr="004F21CA">
              <w:rPr>
                <w:rStyle w:val="default"/>
                <w:rFonts w:ascii="David" w:hAnsi="David" w:cs="David"/>
                <w:sz w:val="26"/>
                <w:rtl/>
              </w:rPr>
              <w:t>עריכת ביקורות שדה בשטחי הייצור או הגידול של המוצרים באמצעות הרשויות המוסמכות בארץ המקור;</w:t>
            </w:r>
          </w:p>
        </w:tc>
      </w:tr>
      <w:tr w:rsidR="00436A04" w:rsidRPr="004F21CA" w14:paraId="7A0BCD32" w14:textId="77777777" w:rsidTr="00337A6D">
        <w:trPr>
          <w:cantSplit/>
          <w:trHeight w:val="60"/>
        </w:trPr>
        <w:tc>
          <w:tcPr>
            <w:tcW w:w="1871" w:type="dxa"/>
          </w:tcPr>
          <w:p w14:paraId="122D4F62" w14:textId="77777777" w:rsidR="00436A04" w:rsidRPr="004F21CA" w:rsidRDefault="00436A04" w:rsidP="00436A04">
            <w:pPr>
              <w:pStyle w:val="TableSideHeading"/>
              <w:rPr>
                <w:rFonts w:ascii="David" w:hAnsi="David"/>
                <w:sz w:val="26"/>
              </w:rPr>
            </w:pPr>
          </w:p>
        </w:tc>
        <w:tc>
          <w:tcPr>
            <w:tcW w:w="624" w:type="dxa"/>
          </w:tcPr>
          <w:p w14:paraId="6F4B0B6F" w14:textId="77777777" w:rsidR="00436A04" w:rsidRPr="004F21CA" w:rsidRDefault="00436A04" w:rsidP="00436A04">
            <w:pPr>
              <w:pStyle w:val="TableText"/>
              <w:rPr>
                <w:rFonts w:ascii="David" w:hAnsi="David"/>
                <w:sz w:val="26"/>
              </w:rPr>
            </w:pPr>
          </w:p>
        </w:tc>
        <w:tc>
          <w:tcPr>
            <w:tcW w:w="624" w:type="dxa"/>
          </w:tcPr>
          <w:p w14:paraId="2D02A14E" w14:textId="77777777" w:rsidR="00436A04" w:rsidRPr="004F21CA" w:rsidRDefault="00436A04" w:rsidP="00436A04">
            <w:pPr>
              <w:pStyle w:val="TableText"/>
              <w:numPr>
                <w:ilvl w:val="0"/>
                <w:numId w:val="30"/>
              </w:numPr>
              <w:tabs>
                <w:tab w:val="left" w:pos="624"/>
              </w:tabs>
              <w:jc w:val="both"/>
              <w:rPr>
                <w:rStyle w:val="default"/>
                <w:rFonts w:ascii="David" w:hAnsi="David" w:cs="David"/>
                <w:sz w:val="26"/>
              </w:rPr>
            </w:pPr>
          </w:p>
        </w:tc>
        <w:tc>
          <w:tcPr>
            <w:tcW w:w="6522" w:type="dxa"/>
            <w:gridSpan w:val="3"/>
          </w:tcPr>
          <w:p w14:paraId="58F2EA1A" w14:textId="7F6F9ABA" w:rsidR="00436A04" w:rsidRPr="004F21CA" w:rsidRDefault="00436A04" w:rsidP="00436A04">
            <w:pPr>
              <w:pStyle w:val="TableBlock"/>
              <w:rPr>
                <w:rStyle w:val="default"/>
                <w:rFonts w:ascii="David" w:hAnsi="David" w:cs="David"/>
                <w:sz w:val="26"/>
              </w:rPr>
            </w:pPr>
            <w:r w:rsidRPr="004F21CA">
              <w:rPr>
                <w:rStyle w:val="default"/>
                <w:rFonts w:ascii="David" w:hAnsi="David" w:cs="David"/>
                <w:sz w:val="26"/>
                <w:rtl/>
              </w:rPr>
              <w:t>עריכת בדיקות להמצאות נגעים במהלך גידול או ייצור המוצרים, או בשלבי האריזה, ההובלה או המשלוח של המוצרים, וטרם היבוא;</w:t>
            </w:r>
          </w:p>
        </w:tc>
      </w:tr>
      <w:tr w:rsidR="00436A04" w:rsidRPr="004F21CA" w14:paraId="01A111B9" w14:textId="77777777" w:rsidTr="00337A6D">
        <w:trPr>
          <w:cantSplit/>
          <w:trHeight w:val="60"/>
        </w:trPr>
        <w:tc>
          <w:tcPr>
            <w:tcW w:w="1871" w:type="dxa"/>
          </w:tcPr>
          <w:p w14:paraId="4C2A84DB" w14:textId="77777777" w:rsidR="00436A04" w:rsidRPr="004F21CA" w:rsidRDefault="00436A04" w:rsidP="00436A04">
            <w:pPr>
              <w:pStyle w:val="TableSideHeading"/>
              <w:rPr>
                <w:rFonts w:ascii="David" w:hAnsi="David"/>
                <w:sz w:val="26"/>
              </w:rPr>
            </w:pPr>
          </w:p>
        </w:tc>
        <w:tc>
          <w:tcPr>
            <w:tcW w:w="624" w:type="dxa"/>
          </w:tcPr>
          <w:p w14:paraId="1637B475" w14:textId="77777777" w:rsidR="00436A04" w:rsidRPr="004F21CA" w:rsidRDefault="00436A04" w:rsidP="00436A04">
            <w:pPr>
              <w:pStyle w:val="TableText"/>
              <w:rPr>
                <w:rFonts w:ascii="David" w:hAnsi="David"/>
                <w:sz w:val="26"/>
              </w:rPr>
            </w:pPr>
          </w:p>
        </w:tc>
        <w:tc>
          <w:tcPr>
            <w:tcW w:w="624" w:type="dxa"/>
          </w:tcPr>
          <w:p w14:paraId="72129962" w14:textId="77777777" w:rsidR="00436A04" w:rsidRPr="004F21CA" w:rsidRDefault="00436A04" w:rsidP="00436A04">
            <w:pPr>
              <w:pStyle w:val="TableText"/>
              <w:numPr>
                <w:ilvl w:val="0"/>
                <w:numId w:val="30"/>
              </w:numPr>
              <w:tabs>
                <w:tab w:val="left" w:pos="624"/>
              </w:tabs>
              <w:jc w:val="both"/>
              <w:rPr>
                <w:rStyle w:val="default"/>
                <w:rFonts w:ascii="David" w:hAnsi="David" w:cs="David"/>
                <w:sz w:val="26"/>
              </w:rPr>
            </w:pPr>
          </w:p>
        </w:tc>
        <w:tc>
          <w:tcPr>
            <w:tcW w:w="6522" w:type="dxa"/>
            <w:gridSpan w:val="3"/>
          </w:tcPr>
          <w:p w14:paraId="4E933D3C" w14:textId="69C926B5" w:rsidR="00436A04" w:rsidRPr="004F21CA" w:rsidRDefault="00436A04" w:rsidP="00436A04">
            <w:pPr>
              <w:pStyle w:val="TableBlock"/>
              <w:rPr>
                <w:rStyle w:val="default"/>
                <w:rFonts w:ascii="David" w:hAnsi="David" w:cs="David"/>
                <w:sz w:val="26"/>
              </w:rPr>
            </w:pPr>
            <w:r w:rsidRPr="004F21CA">
              <w:rPr>
                <w:rStyle w:val="default"/>
                <w:rFonts w:ascii="David" w:hAnsi="David" w:cs="David"/>
                <w:sz w:val="26"/>
                <w:rtl/>
              </w:rPr>
              <w:t>תנאים לעניין היות מדינת המקור, אזור הייצור במדינת המקור או אתר הגידול של המוצרים כחופשיים מנגעים מסוימים;</w:t>
            </w:r>
          </w:p>
        </w:tc>
      </w:tr>
      <w:tr w:rsidR="00436A04" w:rsidRPr="004F21CA" w14:paraId="6A95CB9E" w14:textId="77777777" w:rsidTr="00337A6D">
        <w:trPr>
          <w:cantSplit/>
          <w:trHeight w:val="60"/>
        </w:trPr>
        <w:tc>
          <w:tcPr>
            <w:tcW w:w="1871" w:type="dxa"/>
          </w:tcPr>
          <w:p w14:paraId="3775844C" w14:textId="77777777" w:rsidR="00436A04" w:rsidRPr="004F21CA" w:rsidRDefault="00436A04" w:rsidP="00436A04">
            <w:pPr>
              <w:pStyle w:val="TableSideHeading"/>
              <w:rPr>
                <w:rFonts w:ascii="David" w:hAnsi="David"/>
                <w:sz w:val="26"/>
              </w:rPr>
            </w:pPr>
          </w:p>
        </w:tc>
        <w:tc>
          <w:tcPr>
            <w:tcW w:w="624" w:type="dxa"/>
          </w:tcPr>
          <w:p w14:paraId="326125E9" w14:textId="77777777" w:rsidR="00436A04" w:rsidRPr="004F21CA" w:rsidRDefault="00436A04" w:rsidP="00436A04">
            <w:pPr>
              <w:pStyle w:val="TableText"/>
              <w:rPr>
                <w:rFonts w:ascii="David" w:hAnsi="David"/>
                <w:sz w:val="26"/>
              </w:rPr>
            </w:pPr>
          </w:p>
        </w:tc>
        <w:tc>
          <w:tcPr>
            <w:tcW w:w="624" w:type="dxa"/>
          </w:tcPr>
          <w:p w14:paraId="53F82E5D" w14:textId="77777777" w:rsidR="00436A04" w:rsidRPr="004F21CA" w:rsidRDefault="00436A04" w:rsidP="00436A04">
            <w:pPr>
              <w:pStyle w:val="TableText"/>
              <w:numPr>
                <w:ilvl w:val="0"/>
                <w:numId w:val="30"/>
              </w:numPr>
              <w:tabs>
                <w:tab w:val="left" w:pos="624"/>
              </w:tabs>
              <w:jc w:val="both"/>
              <w:rPr>
                <w:rStyle w:val="default"/>
                <w:rFonts w:ascii="David" w:hAnsi="David" w:cs="David"/>
                <w:sz w:val="26"/>
              </w:rPr>
            </w:pPr>
          </w:p>
        </w:tc>
        <w:tc>
          <w:tcPr>
            <w:tcW w:w="6522" w:type="dxa"/>
            <w:gridSpan w:val="3"/>
          </w:tcPr>
          <w:p w14:paraId="73179400" w14:textId="6FB696DF" w:rsidR="00436A04" w:rsidRPr="004F21CA" w:rsidRDefault="00436A04" w:rsidP="00436A04">
            <w:pPr>
              <w:pStyle w:val="TableBlock"/>
              <w:rPr>
                <w:rStyle w:val="default"/>
                <w:rFonts w:ascii="David" w:hAnsi="David" w:cs="David"/>
                <w:sz w:val="26"/>
                <w:rtl/>
              </w:rPr>
            </w:pPr>
            <w:r w:rsidRPr="004F21CA">
              <w:rPr>
                <w:rStyle w:val="default"/>
                <w:rFonts w:ascii="David" w:hAnsi="David" w:cs="David"/>
                <w:sz w:val="26"/>
                <w:rtl/>
              </w:rPr>
              <w:t>תנאים לעניין אופן הוכחת התקיימותם של התנאים לעיל, כולם או מקצתם</w:t>
            </w:r>
            <w:r w:rsidR="00496268">
              <w:rPr>
                <w:rStyle w:val="default"/>
                <w:rFonts w:ascii="David" w:hAnsi="David" w:cs="David" w:hint="cs"/>
                <w:sz w:val="26"/>
                <w:rtl/>
              </w:rPr>
              <w:t>"</w:t>
            </w:r>
            <w:r w:rsidRPr="004F21CA">
              <w:rPr>
                <w:rStyle w:val="default"/>
                <w:rFonts w:ascii="David" w:hAnsi="David" w:cs="David"/>
                <w:sz w:val="26"/>
                <w:rtl/>
              </w:rPr>
              <w:t>.</w:t>
            </w:r>
          </w:p>
        </w:tc>
      </w:tr>
    </w:tbl>
    <w:p w14:paraId="449DF0C1" w14:textId="77777777" w:rsidR="00AA276C" w:rsidRDefault="00AA276C" w:rsidP="002963C3">
      <w:pPr>
        <w:rPr>
          <w:rFonts w:eastAsia="Calibri"/>
          <w:sz w:val="26"/>
          <w:szCs w:val="26"/>
          <w:rtl/>
        </w:rPr>
      </w:pPr>
    </w:p>
    <w:p w14:paraId="34328151" w14:textId="77777777" w:rsidR="00AA276C" w:rsidRDefault="00AA276C" w:rsidP="002963C3">
      <w:pPr>
        <w:rPr>
          <w:rFonts w:eastAsia="Calibri"/>
          <w:sz w:val="26"/>
          <w:szCs w:val="26"/>
          <w:rtl/>
        </w:rPr>
      </w:pPr>
    </w:p>
    <w:p w14:paraId="3802C332" w14:textId="7A29E491" w:rsidR="002C2052" w:rsidRPr="004F21CA" w:rsidRDefault="002C2052" w:rsidP="002963C3">
      <w:pPr>
        <w:rPr>
          <w:rFonts w:eastAsia="Calibri"/>
          <w:sz w:val="26"/>
          <w:szCs w:val="26"/>
          <w:rtl/>
        </w:rPr>
      </w:pPr>
      <w:r w:rsidRPr="004F21CA">
        <w:rPr>
          <w:rFonts w:eastAsia="Calibri"/>
          <w:sz w:val="26"/>
          <w:szCs w:val="26"/>
          <w:rtl/>
        </w:rPr>
        <w:t xml:space="preserve">___ ב________ </w:t>
      </w:r>
      <w:proofErr w:type="spellStart"/>
      <w:r w:rsidRPr="004F21CA">
        <w:rPr>
          <w:rFonts w:eastAsia="Calibri"/>
          <w:sz w:val="26"/>
          <w:szCs w:val="26"/>
          <w:rtl/>
        </w:rPr>
        <w:t>התש</w:t>
      </w:r>
      <w:r w:rsidR="00E308D7" w:rsidRPr="004F21CA">
        <w:rPr>
          <w:rFonts w:eastAsia="Calibri"/>
          <w:sz w:val="26"/>
          <w:szCs w:val="26"/>
          <w:rtl/>
        </w:rPr>
        <w:t>פ"ב</w:t>
      </w:r>
      <w:proofErr w:type="spellEnd"/>
      <w:r w:rsidRPr="004F21CA">
        <w:rPr>
          <w:rFonts w:eastAsia="Calibri"/>
          <w:sz w:val="26"/>
          <w:szCs w:val="26"/>
          <w:rtl/>
        </w:rPr>
        <w:t xml:space="preserve">_______ (___ ב________ </w:t>
      </w:r>
      <w:r w:rsidR="00E308D7" w:rsidRPr="004F21CA">
        <w:rPr>
          <w:rFonts w:eastAsia="Calibri"/>
          <w:sz w:val="26"/>
          <w:szCs w:val="26"/>
          <w:rtl/>
        </w:rPr>
        <w:t>202</w:t>
      </w:r>
      <w:r w:rsidR="002963C3" w:rsidRPr="004F21CA">
        <w:rPr>
          <w:rFonts w:eastAsia="Calibri"/>
          <w:sz w:val="26"/>
          <w:szCs w:val="26"/>
          <w:rtl/>
        </w:rPr>
        <w:t>2</w:t>
      </w:r>
      <w:r w:rsidRPr="004F21CA">
        <w:rPr>
          <w:rFonts w:eastAsia="Calibri"/>
          <w:sz w:val="26"/>
          <w:szCs w:val="26"/>
          <w:rtl/>
        </w:rPr>
        <w:t>)</w:t>
      </w:r>
    </w:p>
    <w:p w14:paraId="5D073047" w14:textId="1CDDE35C" w:rsidR="002C2052" w:rsidRPr="004F21CA" w:rsidRDefault="00E308D7" w:rsidP="00722C14">
      <w:pPr>
        <w:rPr>
          <w:sz w:val="26"/>
          <w:szCs w:val="26"/>
          <w:rtl/>
        </w:rPr>
      </w:pPr>
      <w:r w:rsidRPr="004F21CA">
        <w:rPr>
          <w:sz w:val="26"/>
          <w:szCs w:val="26"/>
          <w:rtl/>
        </w:rPr>
        <w:t xml:space="preserve"> </w:t>
      </w:r>
      <w:r w:rsidR="002C2052" w:rsidRPr="004F21CA">
        <w:rPr>
          <w:sz w:val="26"/>
          <w:szCs w:val="26"/>
          <w:rtl/>
        </w:rPr>
        <w:t>(</w:t>
      </w:r>
      <w:proofErr w:type="spellStart"/>
      <w:r w:rsidR="002C2052" w:rsidRPr="004F21CA">
        <w:rPr>
          <w:sz w:val="26"/>
          <w:szCs w:val="26"/>
          <w:rtl/>
        </w:rPr>
        <w:t>חמ</w:t>
      </w:r>
      <w:proofErr w:type="spellEnd"/>
      <w:r w:rsidR="002C2052" w:rsidRPr="004F21CA">
        <w:rPr>
          <w:sz w:val="26"/>
          <w:szCs w:val="26"/>
          <w:rtl/>
        </w:rPr>
        <w:t xml:space="preserve"> _____-3)</w:t>
      </w:r>
    </w:p>
    <w:p w14:paraId="0767F061" w14:textId="397D764E" w:rsidR="0026291F" w:rsidRPr="004F21CA" w:rsidRDefault="0026291F" w:rsidP="00722C14">
      <w:pPr>
        <w:rPr>
          <w:sz w:val="26"/>
          <w:szCs w:val="26"/>
          <w:rtl/>
        </w:rPr>
      </w:pPr>
    </w:p>
    <w:p w14:paraId="77D3E8D5" w14:textId="77777777" w:rsidR="002C2052" w:rsidRPr="004F21CA" w:rsidRDefault="002C2052" w:rsidP="00722C14">
      <w:pPr>
        <w:rPr>
          <w:sz w:val="26"/>
          <w:szCs w:val="26"/>
          <w:rtl/>
        </w:rPr>
      </w:pPr>
    </w:p>
    <w:p w14:paraId="179839CE" w14:textId="77777777" w:rsidR="008E70BB" w:rsidRPr="004F21CA" w:rsidRDefault="002C2052" w:rsidP="008E70BB">
      <w:pPr>
        <w:ind w:left="5760"/>
        <w:jc w:val="center"/>
        <w:rPr>
          <w:sz w:val="26"/>
          <w:szCs w:val="26"/>
          <w:rtl/>
        </w:rPr>
      </w:pPr>
      <w:r w:rsidRPr="004F21CA">
        <w:rPr>
          <w:sz w:val="26"/>
          <w:szCs w:val="26"/>
          <w:rtl/>
        </w:rPr>
        <w:lastRenderedPageBreak/>
        <w:t>__________________</w:t>
      </w:r>
    </w:p>
    <w:p w14:paraId="45EE4237" w14:textId="77777777" w:rsidR="002C2052" w:rsidRPr="004F21CA" w:rsidRDefault="008E70BB" w:rsidP="008E70BB">
      <w:pPr>
        <w:ind w:left="5760"/>
        <w:jc w:val="center"/>
        <w:rPr>
          <w:sz w:val="26"/>
          <w:szCs w:val="26"/>
          <w:rtl/>
        </w:rPr>
      </w:pPr>
      <w:r w:rsidRPr="004F21CA">
        <w:rPr>
          <w:sz w:val="26"/>
          <w:szCs w:val="26"/>
          <w:rtl/>
        </w:rPr>
        <w:t>עודד פורר</w:t>
      </w:r>
    </w:p>
    <w:p w14:paraId="606F2287" w14:textId="77777777" w:rsidR="002C2052" w:rsidRPr="004F21CA" w:rsidRDefault="008E70BB" w:rsidP="008E70BB">
      <w:pPr>
        <w:ind w:left="5760"/>
        <w:jc w:val="center"/>
        <w:rPr>
          <w:sz w:val="26"/>
          <w:szCs w:val="26"/>
          <w:rtl/>
        </w:rPr>
      </w:pPr>
      <w:r w:rsidRPr="004F21CA">
        <w:rPr>
          <w:sz w:val="26"/>
          <w:szCs w:val="26"/>
          <w:rtl/>
        </w:rPr>
        <w:t xml:space="preserve">שר החקלאות ופיתוח הכפר </w:t>
      </w:r>
    </w:p>
    <w:p w14:paraId="228C7A20" w14:textId="77777777" w:rsidR="002C2052" w:rsidRPr="004F21CA" w:rsidRDefault="002C2052" w:rsidP="00722C14">
      <w:pPr>
        <w:rPr>
          <w:sz w:val="26"/>
          <w:szCs w:val="26"/>
          <w:rtl/>
        </w:rPr>
      </w:pPr>
    </w:p>
    <w:p w14:paraId="49CE1C83" w14:textId="42FBFD7C" w:rsidR="000D0029" w:rsidRDefault="000D0029" w:rsidP="000D0029">
      <w:pPr>
        <w:rPr>
          <w:sz w:val="26"/>
          <w:szCs w:val="26"/>
          <w:rtl/>
        </w:rPr>
      </w:pPr>
    </w:p>
    <w:p w14:paraId="5838465A" w14:textId="5C938388" w:rsidR="00273F99" w:rsidRDefault="00273F99" w:rsidP="000D0029">
      <w:pPr>
        <w:rPr>
          <w:sz w:val="26"/>
          <w:szCs w:val="26"/>
          <w:rtl/>
        </w:rPr>
      </w:pPr>
    </w:p>
    <w:p w14:paraId="2229DC4A" w14:textId="3AF4BB3B" w:rsidR="00175EBE" w:rsidRDefault="00175EBE" w:rsidP="000D0029">
      <w:pPr>
        <w:rPr>
          <w:sz w:val="26"/>
          <w:szCs w:val="26"/>
          <w:rtl/>
        </w:rPr>
      </w:pPr>
    </w:p>
    <w:p w14:paraId="59BF90B0" w14:textId="251E8A01" w:rsidR="00175EBE" w:rsidRDefault="00175EBE" w:rsidP="000D0029">
      <w:pPr>
        <w:rPr>
          <w:sz w:val="26"/>
          <w:szCs w:val="26"/>
          <w:rtl/>
        </w:rPr>
      </w:pPr>
    </w:p>
    <w:p w14:paraId="1FA10894" w14:textId="7FD2E2CA" w:rsidR="00175EBE" w:rsidRDefault="00175EBE" w:rsidP="000D0029">
      <w:pPr>
        <w:rPr>
          <w:sz w:val="26"/>
          <w:szCs w:val="26"/>
          <w:rtl/>
        </w:rPr>
      </w:pPr>
    </w:p>
    <w:p w14:paraId="58535518" w14:textId="0FF46159" w:rsidR="00175EBE" w:rsidRDefault="00175EBE" w:rsidP="000D0029">
      <w:pPr>
        <w:rPr>
          <w:sz w:val="26"/>
          <w:szCs w:val="26"/>
          <w:rtl/>
        </w:rPr>
      </w:pPr>
    </w:p>
    <w:p w14:paraId="2D474ED4" w14:textId="23A7D709" w:rsidR="00175EBE" w:rsidRDefault="00175EBE" w:rsidP="000D0029">
      <w:pPr>
        <w:rPr>
          <w:sz w:val="26"/>
          <w:szCs w:val="26"/>
          <w:rtl/>
        </w:rPr>
      </w:pPr>
    </w:p>
    <w:p w14:paraId="78F13AB3" w14:textId="5965DB57" w:rsidR="00175EBE" w:rsidRDefault="00175EBE" w:rsidP="000D0029">
      <w:pPr>
        <w:rPr>
          <w:sz w:val="26"/>
          <w:szCs w:val="26"/>
          <w:rtl/>
        </w:rPr>
      </w:pPr>
    </w:p>
    <w:p w14:paraId="339C6B41" w14:textId="12CB5D81" w:rsidR="00175EBE" w:rsidRDefault="00175EBE" w:rsidP="000D0029">
      <w:pPr>
        <w:rPr>
          <w:sz w:val="26"/>
          <w:szCs w:val="26"/>
          <w:rtl/>
        </w:rPr>
      </w:pPr>
    </w:p>
    <w:p w14:paraId="1ECEDCE1" w14:textId="00FC745E" w:rsidR="00175EBE" w:rsidRDefault="00175EBE" w:rsidP="000D0029">
      <w:pPr>
        <w:rPr>
          <w:sz w:val="26"/>
          <w:szCs w:val="26"/>
          <w:rtl/>
        </w:rPr>
      </w:pPr>
    </w:p>
    <w:p w14:paraId="7008D858" w14:textId="1E608987" w:rsidR="00175EBE" w:rsidRDefault="00175EBE" w:rsidP="000D0029">
      <w:pPr>
        <w:rPr>
          <w:sz w:val="26"/>
          <w:szCs w:val="26"/>
          <w:rtl/>
        </w:rPr>
      </w:pPr>
    </w:p>
    <w:p w14:paraId="7888D216" w14:textId="33F09239" w:rsidR="00175EBE" w:rsidRDefault="00175EBE" w:rsidP="000D0029">
      <w:pPr>
        <w:rPr>
          <w:sz w:val="26"/>
          <w:szCs w:val="26"/>
          <w:rtl/>
        </w:rPr>
      </w:pPr>
    </w:p>
    <w:p w14:paraId="2F2674D7" w14:textId="715D37AA" w:rsidR="00175EBE" w:rsidRDefault="00175EBE" w:rsidP="000D0029">
      <w:pPr>
        <w:rPr>
          <w:sz w:val="26"/>
          <w:szCs w:val="26"/>
          <w:rtl/>
        </w:rPr>
      </w:pPr>
    </w:p>
    <w:p w14:paraId="202D739D" w14:textId="0AB91572" w:rsidR="00175EBE" w:rsidRDefault="00175EBE" w:rsidP="000D0029">
      <w:pPr>
        <w:rPr>
          <w:sz w:val="26"/>
          <w:szCs w:val="26"/>
          <w:rtl/>
        </w:rPr>
      </w:pPr>
    </w:p>
    <w:p w14:paraId="79786DDC" w14:textId="1C1B7AA6" w:rsidR="00175EBE" w:rsidRDefault="00175EBE" w:rsidP="000D0029">
      <w:pPr>
        <w:rPr>
          <w:sz w:val="26"/>
          <w:szCs w:val="26"/>
          <w:rtl/>
        </w:rPr>
      </w:pPr>
    </w:p>
    <w:p w14:paraId="653CF12B" w14:textId="6DFCE7AB" w:rsidR="00175EBE" w:rsidRDefault="00175EBE" w:rsidP="000D0029">
      <w:pPr>
        <w:rPr>
          <w:sz w:val="26"/>
          <w:szCs w:val="26"/>
          <w:rtl/>
        </w:rPr>
      </w:pPr>
    </w:p>
    <w:p w14:paraId="1A507E4A" w14:textId="1D099767" w:rsidR="00175EBE" w:rsidRDefault="00175EBE" w:rsidP="000D0029">
      <w:pPr>
        <w:rPr>
          <w:sz w:val="26"/>
          <w:szCs w:val="26"/>
          <w:rtl/>
        </w:rPr>
      </w:pPr>
    </w:p>
    <w:p w14:paraId="14021EF1" w14:textId="3069B2D5" w:rsidR="00175EBE" w:rsidRDefault="00175EBE" w:rsidP="000D0029">
      <w:pPr>
        <w:rPr>
          <w:sz w:val="26"/>
          <w:szCs w:val="26"/>
          <w:rtl/>
        </w:rPr>
      </w:pPr>
    </w:p>
    <w:p w14:paraId="61FE6075" w14:textId="76C7427D" w:rsidR="00175EBE" w:rsidRDefault="00175EBE" w:rsidP="000D0029">
      <w:pPr>
        <w:rPr>
          <w:sz w:val="26"/>
          <w:szCs w:val="26"/>
          <w:rtl/>
        </w:rPr>
      </w:pPr>
    </w:p>
    <w:p w14:paraId="554EBB62" w14:textId="48776FC0" w:rsidR="00175EBE" w:rsidRDefault="00175EBE" w:rsidP="000D0029">
      <w:pPr>
        <w:rPr>
          <w:sz w:val="26"/>
          <w:szCs w:val="26"/>
          <w:rtl/>
        </w:rPr>
      </w:pPr>
    </w:p>
    <w:p w14:paraId="2906E7BA" w14:textId="08F48F49" w:rsidR="00175EBE" w:rsidRDefault="00175EBE" w:rsidP="000D0029">
      <w:pPr>
        <w:rPr>
          <w:sz w:val="26"/>
          <w:szCs w:val="26"/>
          <w:rtl/>
        </w:rPr>
      </w:pPr>
    </w:p>
    <w:p w14:paraId="2929864A" w14:textId="39118326" w:rsidR="00175EBE" w:rsidRDefault="00175EBE" w:rsidP="000D0029">
      <w:pPr>
        <w:rPr>
          <w:sz w:val="26"/>
          <w:szCs w:val="26"/>
          <w:rtl/>
        </w:rPr>
      </w:pPr>
    </w:p>
    <w:p w14:paraId="6FE12078" w14:textId="2AA7895E" w:rsidR="00175EBE" w:rsidRDefault="00175EBE" w:rsidP="000D0029">
      <w:pPr>
        <w:rPr>
          <w:sz w:val="26"/>
          <w:szCs w:val="26"/>
          <w:rtl/>
        </w:rPr>
      </w:pPr>
    </w:p>
    <w:p w14:paraId="784D92AB" w14:textId="53009AD0" w:rsidR="00175EBE" w:rsidRDefault="00175EBE" w:rsidP="000D0029">
      <w:pPr>
        <w:rPr>
          <w:sz w:val="26"/>
          <w:szCs w:val="26"/>
          <w:rtl/>
        </w:rPr>
      </w:pPr>
    </w:p>
    <w:p w14:paraId="593FFE98" w14:textId="7A029BAC" w:rsidR="00175EBE" w:rsidRDefault="00175EBE" w:rsidP="000D0029">
      <w:pPr>
        <w:rPr>
          <w:sz w:val="26"/>
          <w:szCs w:val="26"/>
          <w:rtl/>
        </w:rPr>
      </w:pPr>
    </w:p>
    <w:p w14:paraId="511B1BAE" w14:textId="77777777" w:rsidR="009E3E94" w:rsidRDefault="009E3E94" w:rsidP="000D0029">
      <w:pPr>
        <w:rPr>
          <w:sz w:val="26"/>
          <w:szCs w:val="26"/>
          <w:rtl/>
        </w:rPr>
      </w:pPr>
    </w:p>
    <w:p w14:paraId="15F58D40" w14:textId="08389C15" w:rsidR="00175EBE" w:rsidRDefault="00175EBE" w:rsidP="000D0029">
      <w:pPr>
        <w:rPr>
          <w:sz w:val="26"/>
          <w:szCs w:val="26"/>
          <w:rtl/>
        </w:rPr>
      </w:pPr>
    </w:p>
    <w:p w14:paraId="57CB1099" w14:textId="4DBADD18" w:rsidR="00273F99" w:rsidRDefault="00273F99" w:rsidP="00273F99">
      <w:pPr>
        <w:pStyle w:val="HeadDivreiHesber"/>
        <w:rPr>
          <w:rFonts w:ascii="David" w:hAnsi="David"/>
          <w:sz w:val="26"/>
          <w:rtl/>
        </w:rPr>
      </w:pPr>
      <w:r w:rsidRPr="00F858E5">
        <w:rPr>
          <w:rFonts w:ascii="David" w:hAnsi="David"/>
          <w:sz w:val="26"/>
          <w:rtl/>
        </w:rPr>
        <w:t>דברי הסבר</w:t>
      </w:r>
    </w:p>
    <w:p w14:paraId="14C0B498" w14:textId="77777777" w:rsidR="00723165" w:rsidRPr="00F858E5" w:rsidRDefault="00723165" w:rsidP="00273F99">
      <w:pPr>
        <w:pStyle w:val="HeadDivreiHesber"/>
        <w:rPr>
          <w:rFonts w:ascii="David" w:hAnsi="David"/>
          <w:sz w:val="26"/>
          <w:rtl/>
        </w:rPr>
      </w:pPr>
    </w:p>
    <w:p w14:paraId="24489E9E" w14:textId="77777777" w:rsidR="00273F99" w:rsidRPr="00F858E5" w:rsidRDefault="00273F99" w:rsidP="00273F99">
      <w:pPr>
        <w:pStyle w:val="Hesber1st"/>
        <w:tabs>
          <w:tab w:val="clear" w:pos="680"/>
        </w:tabs>
        <w:rPr>
          <w:rFonts w:ascii="David" w:hAnsi="David"/>
          <w:sz w:val="26"/>
          <w:rtl/>
        </w:rPr>
      </w:pPr>
      <w:r w:rsidRPr="00F858E5">
        <w:rPr>
          <w:rFonts w:ascii="David" w:hAnsi="David"/>
          <w:b/>
          <w:bCs/>
          <w:sz w:val="26"/>
          <w:u w:val="single"/>
          <w:rtl/>
        </w:rPr>
        <w:t>רקע</w:t>
      </w:r>
      <w:r w:rsidRPr="00F858E5">
        <w:rPr>
          <w:rFonts w:ascii="David" w:hAnsi="David"/>
          <w:sz w:val="26"/>
          <w:rtl/>
        </w:rPr>
        <w:t xml:space="preserve"> </w:t>
      </w:r>
    </w:p>
    <w:p w14:paraId="10F9CF7E"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lastRenderedPageBreak/>
        <w:t xml:space="preserve">תכליתו של חוק הגנת הצומח, התשט"ז-1956 (להלן: </w:t>
      </w:r>
      <w:r w:rsidRPr="00F858E5">
        <w:rPr>
          <w:rFonts w:ascii="David" w:hAnsi="David"/>
          <w:b/>
          <w:bCs/>
          <w:sz w:val="26"/>
          <w:rtl/>
        </w:rPr>
        <w:t xml:space="preserve">"החוק" </w:t>
      </w:r>
      <w:r w:rsidRPr="00F858E5">
        <w:rPr>
          <w:rFonts w:ascii="David" w:hAnsi="David"/>
          <w:sz w:val="26"/>
          <w:rtl/>
        </w:rPr>
        <w:t>או</w:t>
      </w:r>
      <w:r w:rsidRPr="00F858E5">
        <w:rPr>
          <w:rFonts w:ascii="David" w:hAnsi="David"/>
          <w:b/>
          <w:bCs/>
          <w:sz w:val="26"/>
          <w:rtl/>
        </w:rPr>
        <w:t xml:space="preserve"> "חוק הגנת הצומח"</w:t>
      </w:r>
      <w:r w:rsidRPr="00F858E5">
        <w:rPr>
          <w:rFonts w:ascii="David" w:hAnsi="David"/>
          <w:sz w:val="26"/>
          <w:rtl/>
        </w:rPr>
        <w:t>), כמבואר בדברי ההסבר לחוק (</w:t>
      </w:r>
      <w:proofErr w:type="spellStart"/>
      <w:r w:rsidRPr="00F858E5">
        <w:rPr>
          <w:rFonts w:ascii="David" w:hAnsi="David"/>
          <w:sz w:val="26"/>
          <w:rtl/>
        </w:rPr>
        <w:t>ה"ח</w:t>
      </w:r>
      <w:proofErr w:type="spellEnd"/>
      <w:r w:rsidRPr="00F858E5">
        <w:rPr>
          <w:rFonts w:ascii="David" w:hAnsi="David"/>
          <w:sz w:val="26"/>
          <w:rtl/>
        </w:rPr>
        <w:t xml:space="preserve"> </w:t>
      </w:r>
      <w:proofErr w:type="spellStart"/>
      <w:r w:rsidRPr="00F858E5">
        <w:rPr>
          <w:rFonts w:ascii="David" w:hAnsi="David"/>
          <w:sz w:val="26"/>
          <w:rtl/>
        </w:rPr>
        <w:t>התשט"ז</w:t>
      </w:r>
      <w:proofErr w:type="spellEnd"/>
      <w:r w:rsidRPr="00F858E5">
        <w:rPr>
          <w:rFonts w:ascii="David" w:hAnsi="David"/>
          <w:sz w:val="26"/>
          <w:rtl/>
        </w:rPr>
        <w:t xml:space="preserve">, עמ' 118) היא למנוע התפשטות נגעים, שטבעם לעורר מחלות בצמחים או לגרום להם נזק בכל דרך אחרת. </w:t>
      </w:r>
    </w:p>
    <w:p w14:paraId="5A99E22C"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לצורך הגשמת תכלית זו, מסמיך החוק את שר החקלאות ופיתוח הכפר (להלן: </w:t>
      </w:r>
      <w:r w:rsidRPr="00F858E5">
        <w:rPr>
          <w:rFonts w:ascii="David" w:hAnsi="David"/>
          <w:b/>
          <w:bCs/>
          <w:sz w:val="26"/>
          <w:rtl/>
        </w:rPr>
        <w:t>"השר"</w:t>
      </w:r>
      <w:r w:rsidRPr="00F858E5">
        <w:rPr>
          <w:rFonts w:ascii="David" w:hAnsi="David"/>
          <w:sz w:val="26"/>
          <w:rtl/>
        </w:rPr>
        <w:t>) להתקין תקנות, במידה שראה בכך צורך כדי למנוע נגעים והתפשטותם. בין היתר, רשאי השר לקבוע תקנות בנוגע ליבואם של צמחים:</w:t>
      </w:r>
    </w:p>
    <w:p w14:paraId="5C86A42C" w14:textId="77777777" w:rsidR="00273F99" w:rsidRPr="00F858E5" w:rsidRDefault="00273F99" w:rsidP="00273F99">
      <w:pPr>
        <w:pStyle w:val="P22"/>
        <w:tabs>
          <w:tab w:val="left" w:pos="624"/>
          <w:tab w:val="left" w:pos="1021"/>
        </w:tabs>
        <w:spacing w:before="0" w:line="360" w:lineRule="auto"/>
        <w:ind w:left="1021" w:right="1134"/>
        <w:rPr>
          <w:rStyle w:val="default"/>
          <w:rFonts w:ascii="David" w:hAnsi="David" w:cs="David"/>
        </w:rPr>
      </w:pPr>
      <w:r w:rsidRPr="00F858E5">
        <w:rPr>
          <w:rStyle w:val="default"/>
          <w:rFonts w:ascii="David" w:hAnsi="David" w:cs="David"/>
          <w:rtl/>
        </w:rPr>
        <w:t>"2...(2)</w:t>
      </w:r>
      <w:r w:rsidRPr="00F858E5">
        <w:rPr>
          <w:rStyle w:val="default"/>
          <w:rFonts w:ascii="David" w:hAnsi="David" w:cs="David"/>
          <w:rtl/>
        </w:rPr>
        <w:tab/>
        <w:t>לאסור, להגביל או להסדיר את ייבואם ואת ייצואם של צמחים, של מוצרי צמחים, של נגעים ושל אמצעי לווי, ובכלל זה מתן תעודות בדבר בריאותם ומוצאם של צמחים ומוצרי צמחים המיועדים ליצוא;"</w:t>
      </w:r>
    </w:p>
    <w:p w14:paraId="3455254B"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מכוח סעיף זה הותקנו בשנת 2009 תקנות הגנת הצומח (יבוא צמחים, מוצרי צמחים, נגעים ואמצעי לוואי), תשס"ט-2009 (להלן: "</w:t>
      </w:r>
      <w:r w:rsidRPr="00F858E5">
        <w:rPr>
          <w:rFonts w:ascii="David" w:hAnsi="David"/>
          <w:b/>
          <w:bCs/>
          <w:sz w:val="26"/>
          <w:rtl/>
        </w:rPr>
        <w:t>תקנות היבוא</w:t>
      </w:r>
      <w:r w:rsidRPr="00F858E5">
        <w:rPr>
          <w:rFonts w:ascii="David" w:hAnsi="David"/>
          <w:sz w:val="26"/>
          <w:rtl/>
        </w:rPr>
        <w:t xml:space="preserve">" או </w:t>
      </w:r>
      <w:r w:rsidRPr="00F858E5">
        <w:rPr>
          <w:rFonts w:ascii="David" w:hAnsi="David"/>
          <w:b/>
          <w:bCs/>
          <w:sz w:val="26"/>
          <w:rtl/>
        </w:rPr>
        <w:t>"התקנות העיקריות"</w:t>
      </w:r>
      <w:r w:rsidRPr="00F858E5">
        <w:rPr>
          <w:rFonts w:ascii="David" w:hAnsi="David"/>
          <w:sz w:val="26"/>
          <w:rtl/>
        </w:rPr>
        <w:t xml:space="preserve">). </w:t>
      </w:r>
    </w:p>
    <w:p w14:paraId="41848B02"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בהתאם לתקנה 2 לתקנות, חל איסור על יבוא צמח, וכן מוצר-צמח, נגע או אמצעי לוואי,  אלא אם התקיימו בהם הוראות התקנות. בהמשך לכך, קבועה בתקנה 2(ב) לתקנות ברירת המחדל בנוגע ליבוא, ולפיה אין לייבא מוצרים אלה אלא ברישיון בכתב מאת מנהל השירותים להגנת הצומח ולביקורת (להלן: "</w:t>
      </w:r>
      <w:r w:rsidRPr="00F858E5">
        <w:rPr>
          <w:rFonts w:ascii="David" w:hAnsi="David"/>
          <w:b/>
          <w:bCs/>
          <w:sz w:val="26"/>
          <w:rtl/>
        </w:rPr>
        <w:t>המנהל"</w:t>
      </w:r>
      <w:r w:rsidRPr="00F858E5">
        <w:rPr>
          <w:rFonts w:ascii="David" w:hAnsi="David"/>
          <w:sz w:val="26"/>
          <w:rtl/>
        </w:rPr>
        <w:t xml:space="preserve">). עם זאת, קבועים במסגרת תקנה 2(ג) מסלולים נוספים, במסגרתם ייתכן יבוא אף שלא ברישיון, אלא בצירוף תעודת מקור או צירוף תעודת בריאות ובמסגרת תנאים הקבועים בתוספת הרביעית לתקנות. </w:t>
      </w:r>
    </w:p>
    <w:p w14:paraId="14D5A0A0" w14:textId="77777777" w:rsidR="00273F99" w:rsidRPr="00F858E5" w:rsidRDefault="00273F99" w:rsidP="00273F99">
      <w:pPr>
        <w:pStyle w:val="Hesber1st"/>
        <w:tabs>
          <w:tab w:val="clear" w:pos="680"/>
        </w:tabs>
        <w:rPr>
          <w:rFonts w:ascii="David" w:hAnsi="David"/>
          <w:sz w:val="26"/>
          <w:rtl/>
        </w:rPr>
      </w:pPr>
    </w:p>
    <w:p w14:paraId="627FC5E2" w14:textId="77777777" w:rsidR="00273F99" w:rsidRPr="00F858E5" w:rsidRDefault="00273F99" w:rsidP="00273F99">
      <w:pPr>
        <w:pStyle w:val="Hesber1st"/>
        <w:tabs>
          <w:tab w:val="clear" w:pos="680"/>
        </w:tabs>
        <w:rPr>
          <w:rFonts w:ascii="David" w:hAnsi="David"/>
          <w:sz w:val="26"/>
          <w:rtl/>
        </w:rPr>
      </w:pPr>
      <w:r w:rsidRPr="00F858E5">
        <w:rPr>
          <w:rFonts w:ascii="David" w:hAnsi="David"/>
          <w:b/>
          <w:bCs/>
          <w:sz w:val="26"/>
          <w:u w:val="single"/>
          <w:rtl/>
        </w:rPr>
        <w:t>הרפורמה בחקלאות</w:t>
      </w:r>
    </w:p>
    <w:p w14:paraId="5AD74BF0"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ביום 1.8.2022 התקבלה החלטת ממשלה מס' 213 שכותרתה "תכנית להגברת התחרות בחקלאות ותיקון החלטת ממשלה" (להלן: </w:t>
      </w:r>
      <w:r w:rsidRPr="00F858E5">
        <w:rPr>
          <w:rFonts w:ascii="David" w:hAnsi="David"/>
          <w:b/>
          <w:bCs/>
          <w:sz w:val="26"/>
          <w:rtl/>
        </w:rPr>
        <w:t>"החלטת הממשלה 213"</w:t>
      </w:r>
      <w:r w:rsidRPr="00F858E5">
        <w:rPr>
          <w:rFonts w:ascii="David" w:hAnsi="David"/>
          <w:sz w:val="26"/>
          <w:rtl/>
        </w:rPr>
        <w:t xml:space="preserve">). </w:t>
      </w:r>
    </w:p>
    <w:p w14:paraId="1089120E"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בהחלטה נ</w:t>
      </w:r>
      <w:r>
        <w:rPr>
          <w:rFonts w:ascii="David" w:hAnsi="David" w:hint="cs"/>
          <w:sz w:val="26"/>
          <w:rtl/>
        </w:rPr>
        <w:t>קבע</w:t>
      </w:r>
      <w:r w:rsidRPr="00F858E5">
        <w:rPr>
          <w:rFonts w:ascii="David" w:hAnsi="David"/>
          <w:sz w:val="26"/>
          <w:rtl/>
        </w:rPr>
        <w:t xml:space="preserve"> כי כחלק</w:t>
      </w:r>
      <w:r w:rsidRPr="00F858E5">
        <w:rPr>
          <w:rFonts w:ascii="David" w:hAnsi="David"/>
          <w:sz w:val="26"/>
        </w:rPr>
        <w:t xml:space="preserve"> </w:t>
      </w:r>
      <w:r w:rsidRPr="00F858E5">
        <w:rPr>
          <w:rFonts w:ascii="David" w:hAnsi="David"/>
          <w:sz w:val="26"/>
          <w:rtl/>
        </w:rPr>
        <w:t>ממדיניות</w:t>
      </w:r>
      <w:r w:rsidRPr="00F858E5">
        <w:rPr>
          <w:rFonts w:ascii="David" w:hAnsi="David"/>
          <w:sz w:val="26"/>
        </w:rPr>
        <w:t xml:space="preserve"> </w:t>
      </w:r>
      <w:r w:rsidRPr="00F858E5">
        <w:rPr>
          <w:rFonts w:ascii="David" w:hAnsi="David"/>
          <w:sz w:val="26"/>
          <w:rtl/>
        </w:rPr>
        <w:t>הממשלה</w:t>
      </w:r>
      <w:r w:rsidRPr="00F858E5">
        <w:rPr>
          <w:rFonts w:ascii="David" w:hAnsi="David"/>
          <w:sz w:val="26"/>
        </w:rPr>
        <w:t xml:space="preserve"> </w:t>
      </w:r>
      <w:r w:rsidRPr="00F858E5">
        <w:rPr>
          <w:rFonts w:ascii="David" w:hAnsi="David"/>
          <w:sz w:val="26"/>
          <w:rtl/>
        </w:rPr>
        <w:t>לפעול</w:t>
      </w:r>
      <w:r w:rsidRPr="00F858E5">
        <w:rPr>
          <w:rFonts w:ascii="David" w:hAnsi="David"/>
          <w:sz w:val="26"/>
        </w:rPr>
        <w:t xml:space="preserve"> </w:t>
      </w:r>
      <w:r w:rsidRPr="00F858E5">
        <w:rPr>
          <w:rFonts w:ascii="David" w:hAnsi="David"/>
          <w:sz w:val="26"/>
          <w:rtl/>
        </w:rPr>
        <w:t>להורדת</w:t>
      </w:r>
      <w:r w:rsidRPr="00F858E5">
        <w:rPr>
          <w:rFonts w:ascii="David" w:hAnsi="David"/>
          <w:sz w:val="26"/>
        </w:rPr>
        <w:t xml:space="preserve"> </w:t>
      </w:r>
      <w:r w:rsidRPr="00F858E5">
        <w:rPr>
          <w:rFonts w:ascii="David" w:hAnsi="David"/>
          <w:sz w:val="26"/>
          <w:rtl/>
        </w:rPr>
        <w:t>יוקר</w:t>
      </w:r>
      <w:r w:rsidRPr="00F858E5">
        <w:rPr>
          <w:rFonts w:ascii="David" w:hAnsi="David"/>
          <w:sz w:val="26"/>
        </w:rPr>
        <w:t xml:space="preserve"> </w:t>
      </w:r>
      <w:r w:rsidRPr="00F858E5">
        <w:rPr>
          <w:rFonts w:ascii="David" w:hAnsi="David"/>
          <w:sz w:val="26"/>
          <w:rtl/>
        </w:rPr>
        <w:t>המחיה</w:t>
      </w:r>
      <w:r w:rsidRPr="00F858E5">
        <w:rPr>
          <w:rFonts w:ascii="David" w:hAnsi="David"/>
          <w:sz w:val="26"/>
        </w:rPr>
        <w:t xml:space="preserve"> </w:t>
      </w:r>
      <w:r w:rsidRPr="00F858E5">
        <w:rPr>
          <w:rFonts w:ascii="David" w:hAnsi="David"/>
          <w:sz w:val="26"/>
          <w:rtl/>
        </w:rPr>
        <w:t>ולהפחתת</w:t>
      </w:r>
      <w:r w:rsidRPr="00F858E5">
        <w:rPr>
          <w:rFonts w:ascii="David" w:hAnsi="David"/>
          <w:sz w:val="26"/>
        </w:rPr>
        <w:t xml:space="preserve"> </w:t>
      </w:r>
      <w:r w:rsidRPr="00F858E5">
        <w:rPr>
          <w:rFonts w:ascii="David" w:hAnsi="David"/>
          <w:sz w:val="26"/>
          <w:rtl/>
        </w:rPr>
        <w:t>הנטל</w:t>
      </w:r>
      <w:r w:rsidRPr="00F858E5">
        <w:rPr>
          <w:rFonts w:ascii="David" w:hAnsi="David"/>
          <w:sz w:val="26"/>
        </w:rPr>
        <w:t xml:space="preserve"> </w:t>
      </w:r>
      <w:r w:rsidRPr="00F858E5">
        <w:rPr>
          <w:rFonts w:ascii="David" w:hAnsi="David"/>
          <w:sz w:val="26"/>
          <w:rtl/>
        </w:rPr>
        <w:t>הרגולטורי</w:t>
      </w:r>
      <w:r w:rsidRPr="00F858E5">
        <w:rPr>
          <w:rFonts w:ascii="David" w:hAnsi="David"/>
          <w:sz w:val="26"/>
        </w:rPr>
        <w:t xml:space="preserve"> </w:t>
      </w:r>
      <w:r w:rsidRPr="00F858E5">
        <w:rPr>
          <w:rFonts w:ascii="David" w:hAnsi="David"/>
          <w:sz w:val="26"/>
          <w:rtl/>
        </w:rPr>
        <w:t>בתחום</w:t>
      </w:r>
      <w:r w:rsidRPr="00F858E5">
        <w:rPr>
          <w:rFonts w:ascii="David" w:hAnsi="David"/>
          <w:sz w:val="26"/>
        </w:rPr>
        <w:t xml:space="preserve"> </w:t>
      </w:r>
      <w:r w:rsidRPr="00F858E5">
        <w:rPr>
          <w:rFonts w:ascii="David" w:hAnsi="David"/>
          <w:sz w:val="26"/>
          <w:rtl/>
        </w:rPr>
        <w:t>מוצרי</w:t>
      </w:r>
      <w:r w:rsidRPr="00F858E5">
        <w:rPr>
          <w:rFonts w:ascii="David" w:hAnsi="David"/>
          <w:sz w:val="26"/>
        </w:rPr>
        <w:t xml:space="preserve"> </w:t>
      </w:r>
      <w:r w:rsidRPr="00F858E5">
        <w:rPr>
          <w:rFonts w:ascii="David" w:hAnsi="David"/>
          <w:sz w:val="26"/>
          <w:rtl/>
        </w:rPr>
        <w:t>המזון,</w:t>
      </w:r>
      <w:r w:rsidRPr="00F858E5">
        <w:rPr>
          <w:rFonts w:ascii="David" w:hAnsi="David"/>
          <w:sz w:val="26"/>
        </w:rPr>
        <w:t xml:space="preserve"> </w:t>
      </w:r>
      <w:r w:rsidRPr="00F858E5">
        <w:rPr>
          <w:rFonts w:ascii="David" w:hAnsi="David"/>
          <w:sz w:val="26"/>
          <w:rtl/>
        </w:rPr>
        <w:t>תוך</w:t>
      </w:r>
      <w:r w:rsidRPr="00F858E5">
        <w:rPr>
          <w:rFonts w:ascii="David" w:hAnsi="David"/>
          <w:sz w:val="26"/>
        </w:rPr>
        <w:t xml:space="preserve"> </w:t>
      </w:r>
      <w:r w:rsidRPr="00F858E5">
        <w:rPr>
          <w:rFonts w:ascii="David" w:hAnsi="David"/>
          <w:sz w:val="26"/>
          <w:rtl/>
        </w:rPr>
        <w:t>מניעת</w:t>
      </w:r>
      <w:r w:rsidRPr="00F858E5">
        <w:rPr>
          <w:rFonts w:ascii="David" w:hAnsi="David"/>
          <w:sz w:val="26"/>
        </w:rPr>
        <w:t xml:space="preserve"> </w:t>
      </w:r>
      <w:r w:rsidRPr="00F858E5">
        <w:rPr>
          <w:rFonts w:ascii="David" w:hAnsi="David"/>
          <w:sz w:val="26"/>
          <w:rtl/>
        </w:rPr>
        <w:t>חדירה</w:t>
      </w:r>
      <w:r w:rsidRPr="00F858E5">
        <w:rPr>
          <w:rFonts w:ascii="David" w:hAnsi="David"/>
          <w:sz w:val="26"/>
        </w:rPr>
        <w:t xml:space="preserve"> </w:t>
      </w:r>
      <w:r w:rsidRPr="00F858E5">
        <w:rPr>
          <w:rFonts w:ascii="David" w:hAnsi="David"/>
          <w:sz w:val="26"/>
          <w:rtl/>
        </w:rPr>
        <w:t>של</w:t>
      </w:r>
      <w:r w:rsidRPr="00F858E5">
        <w:rPr>
          <w:rFonts w:ascii="David" w:hAnsi="David"/>
          <w:sz w:val="26"/>
        </w:rPr>
        <w:t xml:space="preserve"> </w:t>
      </w:r>
      <w:r w:rsidRPr="00F858E5">
        <w:rPr>
          <w:rFonts w:ascii="David" w:hAnsi="David"/>
          <w:sz w:val="26"/>
          <w:rtl/>
        </w:rPr>
        <w:t>נגעים</w:t>
      </w:r>
      <w:r w:rsidRPr="00F858E5">
        <w:rPr>
          <w:rFonts w:ascii="David" w:hAnsi="David"/>
          <w:sz w:val="26"/>
        </w:rPr>
        <w:t xml:space="preserve"> </w:t>
      </w:r>
      <w:r w:rsidRPr="00F858E5">
        <w:rPr>
          <w:rFonts w:ascii="David" w:hAnsi="David"/>
          <w:sz w:val="26"/>
          <w:rtl/>
        </w:rPr>
        <w:t>ומינים</w:t>
      </w:r>
      <w:r w:rsidRPr="00F858E5">
        <w:rPr>
          <w:rFonts w:ascii="David" w:hAnsi="David"/>
          <w:sz w:val="26"/>
        </w:rPr>
        <w:t xml:space="preserve"> </w:t>
      </w:r>
      <w:r w:rsidRPr="00F858E5">
        <w:rPr>
          <w:rFonts w:ascii="David" w:hAnsi="David"/>
          <w:sz w:val="26"/>
          <w:rtl/>
        </w:rPr>
        <w:t>פולשים</w:t>
      </w:r>
      <w:r w:rsidRPr="00F858E5">
        <w:rPr>
          <w:rFonts w:ascii="David" w:hAnsi="David"/>
          <w:sz w:val="26"/>
        </w:rPr>
        <w:t xml:space="preserve"> </w:t>
      </w:r>
      <w:r w:rsidRPr="00F858E5">
        <w:rPr>
          <w:rFonts w:ascii="David" w:hAnsi="David"/>
          <w:sz w:val="26"/>
          <w:rtl/>
        </w:rPr>
        <w:t>שעלולים</w:t>
      </w:r>
      <w:r w:rsidRPr="00F858E5">
        <w:rPr>
          <w:rFonts w:ascii="David" w:hAnsi="David"/>
          <w:sz w:val="26"/>
        </w:rPr>
        <w:t xml:space="preserve"> </w:t>
      </w:r>
      <w:r w:rsidRPr="00F858E5">
        <w:rPr>
          <w:rFonts w:ascii="David" w:hAnsi="David"/>
          <w:sz w:val="26"/>
          <w:rtl/>
        </w:rPr>
        <w:t>לפגוע בתוצרת</w:t>
      </w:r>
      <w:r w:rsidRPr="00F858E5">
        <w:rPr>
          <w:rFonts w:ascii="David" w:hAnsi="David"/>
          <w:sz w:val="26"/>
        </w:rPr>
        <w:t xml:space="preserve"> </w:t>
      </w:r>
      <w:r w:rsidRPr="00F858E5">
        <w:rPr>
          <w:rFonts w:ascii="David" w:hAnsi="David"/>
          <w:sz w:val="26"/>
          <w:rtl/>
        </w:rPr>
        <w:t>החקלאית</w:t>
      </w:r>
      <w:r w:rsidRPr="00F858E5">
        <w:rPr>
          <w:rFonts w:ascii="David" w:hAnsi="David"/>
          <w:sz w:val="26"/>
        </w:rPr>
        <w:t xml:space="preserve"> </w:t>
      </w:r>
      <w:r w:rsidRPr="00F858E5">
        <w:rPr>
          <w:rFonts w:ascii="David" w:hAnsi="David"/>
          <w:sz w:val="26"/>
          <w:rtl/>
        </w:rPr>
        <w:t xml:space="preserve">ובסביבה, </w:t>
      </w:r>
      <w:r>
        <w:rPr>
          <w:rFonts w:ascii="David" w:hAnsi="David" w:hint="cs"/>
          <w:sz w:val="26"/>
          <w:rtl/>
        </w:rPr>
        <w:t>יבוצעו</w:t>
      </w:r>
      <w:r w:rsidRPr="00F858E5">
        <w:rPr>
          <w:rFonts w:ascii="David" w:hAnsi="David"/>
          <w:sz w:val="26"/>
          <w:rtl/>
        </w:rPr>
        <w:t xml:space="preserve"> תיקוני חקיקה בתחום הגנת הצומח, כמפורט להלן:</w:t>
      </w:r>
    </w:p>
    <w:p w14:paraId="75864AB8" w14:textId="77777777" w:rsidR="00273F99" w:rsidRPr="00F858E5" w:rsidRDefault="00273F99" w:rsidP="00273F99">
      <w:pPr>
        <w:widowControl/>
        <w:numPr>
          <w:ilvl w:val="0"/>
          <w:numId w:val="40"/>
        </w:numPr>
        <w:contextualSpacing w:val="0"/>
        <w:rPr>
          <w:rFonts w:eastAsia="Arial Unicode MS"/>
          <w:snapToGrid w:val="0"/>
          <w:sz w:val="26"/>
          <w:szCs w:val="26"/>
        </w:rPr>
      </w:pPr>
      <w:r w:rsidRPr="00F858E5">
        <w:rPr>
          <w:rFonts w:eastAsia="Arial Unicode MS"/>
          <w:snapToGrid w:val="0"/>
          <w:sz w:val="26"/>
          <w:szCs w:val="26"/>
          <w:rtl/>
        </w:rPr>
        <w:t xml:space="preserve">השר </w:t>
      </w:r>
      <w:r>
        <w:rPr>
          <w:rFonts w:eastAsia="Arial Unicode MS" w:hint="cs"/>
          <w:snapToGrid w:val="0"/>
          <w:sz w:val="26"/>
          <w:szCs w:val="26"/>
          <w:rtl/>
        </w:rPr>
        <w:t>י</w:t>
      </w:r>
      <w:r w:rsidRPr="00F858E5">
        <w:rPr>
          <w:rFonts w:eastAsia="Arial Unicode MS"/>
          <w:snapToGrid w:val="0"/>
          <w:sz w:val="26"/>
          <w:szCs w:val="26"/>
          <w:rtl/>
        </w:rPr>
        <w:t>תקן את תקנות היבוא</w:t>
      </w:r>
      <w:r>
        <w:rPr>
          <w:rFonts w:eastAsia="Arial Unicode MS" w:hint="cs"/>
          <w:snapToGrid w:val="0"/>
          <w:sz w:val="26"/>
          <w:szCs w:val="26"/>
          <w:rtl/>
        </w:rPr>
        <w:t xml:space="preserve"> בנושאים הבאים:</w:t>
      </w:r>
      <w:r w:rsidRPr="00F858E5">
        <w:rPr>
          <w:rFonts w:eastAsia="Arial Unicode MS"/>
          <w:snapToGrid w:val="0"/>
          <w:sz w:val="26"/>
          <w:szCs w:val="26"/>
          <w:rtl/>
        </w:rPr>
        <w:t xml:space="preserve">  </w:t>
      </w:r>
    </w:p>
    <w:p w14:paraId="3BED786B" w14:textId="77777777" w:rsidR="00273F99" w:rsidRPr="00F858E5" w:rsidRDefault="00273F99" w:rsidP="00273F99">
      <w:pPr>
        <w:widowControl/>
        <w:numPr>
          <w:ilvl w:val="1"/>
          <w:numId w:val="40"/>
        </w:numPr>
        <w:contextualSpacing w:val="0"/>
        <w:rPr>
          <w:rFonts w:eastAsia="Arial Unicode MS"/>
          <w:snapToGrid w:val="0"/>
          <w:sz w:val="26"/>
          <w:szCs w:val="26"/>
          <w:rtl/>
        </w:rPr>
      </w:pPr>
      <w:r w:rsidRPr="00F858E5">
        <w:rPr>
          <w:rFonts w:eastAsia="Arial Unicode MS"/>
          <w:snapToGrid w:val="0"/>
          <w:sz w:val="26"/>
          <w:szCs w:val="26"/>
          <w:rtl/>
        </w:rPr>
        <w:t xml:space="preserve">ברירת המחדל תהיה שניתן לייבא פירות וירקות למאכל (להלן – צומח)  בכפוף לצירוף תעודת בריאות כהגדרתה בתקנות והצהרת יבואן על עמידה בדרישות </w:t>
      </w:r>
      <w:proofErr w:type="spellStart"/>
      <w:r w:rsidRPr="00F858E5">
        <w:rPr>
          <w:rFonts w:eastAsia="Arial Unicode MS"/>
          <w:snapToGrid w:val="0"/>
          <w:sz w:val="26"/>
          <w:szCs w:val="26"/>
          <w:rtl/>
        </w:rPr>
        <w:t>הפיטוסניטריות</w:t>
      </w:r>
      <w:proofErr w:type="spellEnd"/>
      <w:r w:rsidRPr="00F858E5">
        <w:rPr>
          <w:rFonts w:eastAsia="Arial Unicode MS"/>
          <w:snapToGrid w:val="0"/>
          <w:sz w:val="26"/>
          <w:szCs w:val="26"/>
          <w:rtl/>
        </w:rPr>
        <w:t xml:space="preserve"> של ישראל, כנדרש בהסכמים הבין-לאומיים הנוגעים לעניין, </w:t>
      </w:r>
      <w:proofErr w:type="spellStart"/>
      <w:r w:rsidRPr="00F858E5">
        <w:rPr>
          <w:rFonts w:eastAsia="Arial Unicode MS"/>
          <w:snapToGrid w:val="0"/>
          <w:sz w:val="26"/>
          <w:szCs w:val="26"/>
          <w:rtl/>
        </w:rPr>
        <w:t>הכל</w:t>
      </w:r>
      <w:proofErr w:type="spellEnd"/>
      <w:r w:rsidRPr="00F858E5">
        <w:rPr>
          <w:rFonts w:eastAsia="Arial Unicode MS"/>
          <w:snapToGrid w:val="0"/>
          <w:sz w:val="26"/>
          <w:szCs w:val="26"/>
          <w:rtl/>
        </w:rPr>
        <w:t xml:space="preserve"> כפי שיקבע השר בתקנות; ברירת מחדל זו לא תחול על יבוא באמצעות כבודת יד אלא על יבוא מסחרי בלבד.</w:t>
      </w:r>
    </w:p>
    <w:p w14:paraId="20317937" w14:textId="1C025925" w:rsidR="00273F99" w:rsidRPr="00F858E5" w:rsidRDefault="00273F99" w:rsidP="00273F99">
      <w:pPr>
        <w:widowControl/>
        <w:numPr>
          <w:ilvl w:val="1"/>
          <w:numId w:val="40"/>
        </w:numPr>
        <w:contextualSpacing w:val="0"/>
        <w:rPr>
          <w:rFonts w:eastAsia="Arial Unicode MS"/>
          <w:snapToGrid w:val="0"/>
          <w:sz w:val="26"/>
          <w:szCs w:val="26"/>
        </w:rPr>
      </w:pPr>
      <w:r w:rsidRPr="00F858E5">
        <w:rPr>
          <w:rFonts w:eastAsia="Arial Unicode MS"/>
          <w:snapToGrid w:val="0"/>
          <w:sz w:val="26"/>
          <w:szCs w:val="26"/>
          <w:rtl/>
        </w:rPr>
        <w:t xml:space="preserve">תיקון התקנות כאמור בסעיף </w:t>
      </w:r>
      <w:r>
        <w:rPr>
          <w:rFonts w:eastAsia="Arial Unicode MS" w:hint="cs"/>
          <w:snapToGrid w:val="0"/>
          <w:sz w:val="26"/>
          <w:szCs w:val="26"/>
          <w:rtl/>
        </w:rPr>
        <w:t>א</w:t>
      </w:r>
      <w:r w:rsidRPr="00F858E5">
        <w:rPr>
          <w:rFonts w:eastAsia="Arial Unicode MS"/>
          <w:snapToGrid w:val="0"/>
          <w:sz w:val="26"/>
          <w:szCs w:val="26"/>
          <w:rtl/>
        </w:rPr>
        <w:t xml:space="preserve"> ייכנס לתוקף בתוך שישה חודשים ממועד קבלת החלט</w:t>
      </w:r>
      <w:r>
        <w:rPr>
          <w:rFonts w:eastAsia="Arial Unicode MS" w:hint="cs"/>
          <w:snapToGrid w:val="0"/>
          <w:sz w:val="26"/>
          <w:szCs w:val="26"/>
          <w:rtl/>
        </w:rPr>
        <w:t>ת הממשלה 213.</w:t>
      </w:r>
    </w:p>
    <w:p w14:paraId="2503EC61" w14:textId="77777777" w:rsidR="00273F99" w:rsidRPr="00F858E5" w:rsidRDefault="00273F99" w:rsidP="00273F99">
      <w:pPr>
        <w:widowControl/>
        <w:numPr>
          <w:ilvl w:val="0"/>
          <w:numId w:val="40"/>
        </w:numPr>
        <w:contextualSpacing w:val="0"/>
        <w:rPr>
          <w:rFonts w:eastAsia="Arial Unicode MS"/>
          <w:snapToGrid w:val="0"/>
          <w:sz w:val="26"/>
          <w:szCs w:val="26"/>
        </w:rPr>
      </w:pPr>
      <w:r w:rsidRPr="00F858E5">
        <w:rPr>
          <w:rFonts w:eastAsia="Arial Unicode MS"/>
          <w:snapToGrid w:val="0"/>
          <w:sz w:val="26"/>
          <w:szCs w:val="26"/>
          <w:rtl/>
        </w:rPr>
        <w:t xml:space="preserve">השר </w:t>
      </w:r>
      <w:r>
        <w:rPr>
          <w:rFonts w:eastAsia="Arial Unicode MS" w:hint="cs"/>
          <w:snapToGrid w:val="0"/>
          <w:sz w:val="26"/>
          <w:szCs w:val="26"/>
          <w:rtl/>
        </w:rPr>
        <w:t xml:space="preserve">יפעל כך </w:t>
      </w:r>
      <w:r w:rsidRPr="00F858E5">
        <w:rPr>
          <w:rFonts w:eastAsia="Arial Unicode MS"/>
          <w:snapToGrid w:val="0"/>
          <w:sz w:val="26"/>
          <w:szCs w:val="26"/>
          <w:rtl/>
        </w:rPr>
        <w:t xml:space="preserve">שתקנות שיקבע לעניין הדרישות </w:t>
      </w:r>
      <w:proofErr w:type="spellStart"/>
      <w:r w:rsidRPr="00F858E5">
        <w:rPr>
          <w:rFonts w:eastAsia="Arial Unicode MS"/>
          <w:snapToGrid w:val="0"/>
          <w:sz w:val="26"/>
          <w:szCs w:val="26"/>
          <w:rtl/>
        </w:rPr>
        <w:t>הפיטוסניטריות</w:t>
      </w:r>
      <w:proofErr w:type="spellEnd"/>
      <w:r w:rsidRPr="00F858E5">
        <w:rPr>
          <w:rFonts w:eastAsia="Arial Unicode MS"/>
          <w:snapToGrid w:val="0"/>
          <w:sz w:val="26"/>
          <w:szCs w:val="26"/>
          <w:rtl/>
        </w:rPr>
        <w:t xml:space="preserve"> כאמור בסעיף 1, למעט לעניין הוראת חירום, ייקבעו לאחר התייעצות עם נציג מארגון בינלאומי שתחום עיסוקו הינו הגנת הצומח;</w:t>
      </w:r>
    </w:p>
    <w:p w14:paraId="228FFDF6" w14:textId="77777777" w:rsidR="00273F99" w:rsidRPr="00F858E5" w:rsidRDefault="00273F99" w:rsidP="00273F99">
      <w:pPr>
        <w:widowControl/>
        <w:numPr>
          <w:ilvl w:val="0"/>
          <w:numId w:val="40"/>
        </w:numPr>
        <w:contextualSpacing w:val="0"/>
        <w:rPr>
          <w:rFonts w:eastAsia="Arial Unicode MS"/>
          <w:snapToGrid w:val="0"/>
          <w:sz w:val="26"/>
          <w:szCs w:val="26"/>
          <w:rtl/>
        </w:rPr>
      </w:pPr>
      <w:r w:rsidRPr="00F858E5">
        <w:rPr>
          <w:rFonts w:eastAsia="Arial Unicode MS"/>
          <w:snapToGrid w:val="0"/>
          <w:sz w:val="26"/>
          <w:szCs w:val="26"/>
          <w:rtl/>
        </w:rPr>
        <w:t xml:space="preserve">השר </w:t>
      </w:r>
      <w:r>
        <w:rPr>
          <w:rFonts w:eastAsia="Arial Unicode MS" w:hint="cs"/>
          <w:snapToGrid w:val="0"/>
          <w:sz w:val="26"/>
          <w:szCs w:val="26"/>
          <w:rtl/>
        </w:rPr>
        <w:t>יפעל</w:t>
      </w:r>
      <w:r w:rsidRPr="00F858E5">
        <w:rPr>
          <w:rFonts w:eastAsia="Arial Unicode MS"/>
          <w:snapToGrid w:val="0"/>
          <w:sz w:val="26"/>
          <w:szCs w:val="26"/>
          <w:rtl/>
        </w:rPr>
        <w:t xml:space="preserve"> כך שיוכל להוציא, אף ללא התייעצות עם נציג מארגון בינלאומי שתחום עיסוקו הינו הגנת הצומח, ועל יסוד המלצת מנהל השירותים להגנת הצומח ולביקורת, הוראת חירום מנהלית (להלן – הוראת חירום) למניעת יבוא של צמחים מסוגים מסוימים או ממדינות מסוימות, לתקופה שלא תעלה </w:t>
      </w:r>
      <w:r w:rsidRPr="00F858E5">
        <w:rPr>
          <w:rFonts w:eastAsia="Arial Unicode MS"/>
          <w:snapToGrid w:val="0"/>
          <w:sz w:val="26"/>
          <w:szCs w:val="26"/>
          <w:rtl/>
        </w:rPr>
        <w:lastRenderedPageBreak/>
        <w:t xml:space="preserve">על שלושה חודשים, במקרה שיש לו יסוד סביר להניח שקיימת סכנה </w:t>
      </w:r>
      <w:proofErr w:type="spellStart"/>
      <w:r w:rsidRPr="00F858E5">
        <w:rPr>
          <w:rFonts w:eastAsia="Arial Unicode MS"/>
          <w:snapToGrid w:val="0"/>
          <w:sz w:val="26"/>
          <w:szCs w:val="26"/>
          <w:rtl/>
        </w:rPr>
        <w:t>מיידית</w:t>
      </w:r>
      <w:proofErr w:type="spellEnd"/>
      <w:r w:rsidRPr="00F858E5">
        <w:rPr>
          <w:rFonts w:eastAsia="Arial Unicode MS"/>
          <w:snapToGrid w:val="0"/>
          <w:sz w:val="26"/>
          <w:szCs w:val="26"/>
          <w:rtl/>
        </w:rPr>
        <w:t xml:space="preserve"> לבריאות הצומח בישראל או שתיווצר בעתיד סכנה כזו, כתוצאה מייבוא של אותם צמחים או מייבוא צמחים מאותה מדינה. השר יוכל להתנות את הוראת החירום בתנאים, וכן </w:t>
      </w:r>
      <w:proofErr w:type="spellStart"/>
      <w:r w:rsidRPr="00F858E5">
        <w:rPr>
          <w:rFonts w:eastAsia="Arial Unicode MS"/>
          <w:snapToGrid w:val="0"/>
          <w:sz w:val="26"/>
          <w:szCs w:val="26"/>
          <w:rtl/>
        </w:rPr>
        <w:t>להאריכה</w:t>
      </w:r>
      <w:proofErr w:type="spellEnd"/>
      <w:r w:rsidRPr="00F858E5">
        <w:rPr>
          <w:rFonts w:eastAsia="Arial Unicode MS"/>
          <w:snapToGrid w:val="0"/>
          <w:sz w:val="26"/>
          <w:szCs w:val="26"/>
          <w:rtl/>
        </w:rPr>
        <w:t xml:space="preserve"> פעם אחת בתקופה שלא תעלה על שלושה חודשים, אם מתקיימת סכנה לבריאות הצומח כתוצאה מהייבוא. אם יהיה צורך בהארכת הוראת חירום מעבר לשישה חודשים, ניתן יהיה להאריך את תוקפה בשישה חודשים נוספים בלבד, בסך </w:t>
      </w:r>
      <w:proofErr w:type="spellStart"/>
      <w:r w:rsidRPr="00F858E5">
        <w:rPr>
          <w:rFonts w:eastAsia="Arial Unicode MS"/>
          <w:snapToGrid w:val="0"/>
          <w:sz w:val="26"/>
          <w:szCs w:val="26"/>
          <w:rtl/>
        </w:rPr>
        <w:t>הכל</w:t>
      </w:r>
      <w:proofErr w:type="spellEnd"/>
      <w:r w:rsidRPr="00F858E5">
        <w:rPr>
          <w:rFonts w:eastAsia="Arial Unicode MS"/>
          <w:snapToGrid w:val="0"/>
          <w:sz w:val="26"/>
          <w:szCs w:val="26"/>
          <w:rtl/>
        </w:rPr>
        <w:t xml:space="preserve">, ובכפוף להסכמת שר אוצר. אם יהיה צורך בהארכת הוראת החירום מעבר לשנים עשר החודשים האמורים, ניתן יהיה להאריך את תוקפה בשישה חודשים נוספים בלבד, בסך </w:t>
      </w:r>
      <w:proofErr w:type="spellStart"/>
      <w:r w:rsidRPr="00F858E5">
        <w:rPr>
          <w:rFonts w:eastAsia="Arial Unicode MS"/>
          <w:snapToGrid w:val="0"/>
          <w:sz w:val="26"/>
          <w:szCs w:val="26"/>
          <w:rtl/>
        </w:rPr>
        <w:t>הכל</w:t>
      </w:r>
      <w:proofErr w:type="spellEnd"/>
      <w:r w:rsidRPr="00F858E5">
        <w:rPr>
          <w:rFonts w:eastAsia="Arial Unicode MS"/>
          <w:snapToGrid w:val="0"/>
          <w:sz w:val="26"/>
          <w:szCs w:val="26"/>
          <w:rtl/>
        </w:rPr>
        <w:t xml:space="preserve">, ובכפוף להסכמת שר האוצר, ובלבד שסך התקופה כולה לא תעלה על שמונה עשר חודשים. </w:t>
      </w:r>
    </w:p>
    <w:p w14:paraId="090E8D1A" w14:textId="77777777" w:rsidR="00273F99" w:rsidRPr="00F858E5" w:rsidRDefault="00273F99" w:rsidP="00273F99">
      <w:pPr>
        <w:pStyle w:val="Hesber1st"/>
        <w:tabs>
          <w:tab w:val="clear" w:pos="680"/>
        </w:tabs>
        <w:rPr>
          <w:rFonts w:ascii="David" w:hAnsi="David"/>
          <w:sz w:val="26"/>
          <w:rtl/>
        </w:rPr>
      </w:pPr>
    </w:p>
    <w:p w14:paraId="0E47E3E8" w14:textId="77777777" w:rsidR="00273F99" w:rsidRPr="00F858E5" w:rsidRDefault="00273F99" w:rsidP="00273F99">
      <w:pPr>
        <w:pStyle w:val="Hesber1st"/>
        <w:tabs>
          <w:tab w:val="clear" w:pos="680"/>
        </w:tabs>
        <w:rPr>
          <w:rFonts w:ascii="David" w:hAnsi="David"/>
          <w:sz w:val="26"/>
          <w:rtl/>
        </w:rPr>
      </w:pPr>
      <w:r>
        <w:rPr>
          <w:rFonts w:ascii="David" w:hAnsi="David" w:hint="cs"/>
          <w:b/>
          <w:bCs/>
          <w:sz w:val="26"/>
          <w:u w:val="single"/>
          <w:rtl/>
        </w:rPr>
        <w:t>הערכת השפעות רגולציה (</w:t>
      </w:r>
      <w:r>
        <w:rPr>
          <w:rFonts w:ascii="David" w:hAnsi="David" w:hint="cs"/>
          <w:b/>
          <w:bCs/>
          <w:sz w:val="26"/>
          <w:u w:val="single"/>
        </w:rPr>
        <w:t>RIA</w:t>
      </w:r>
      <w:r>
        <w:rPr>
          <w:rFonts w:ascii="David" w:hAnsi="David" w:hint="cs"/>
          <w:b/>
          <w:bCs/>
          <w:sz w:val="26"/>
          <w:u w:val="single"/>
          <w:rtl/>
        </w:rPr>
        <w:t>).</w:t>
      </w:r>
    </w:p>
    <w:p w14:paraId="7C8BE37F" w14:textId="77777777" w:rsidR="00723165" w:rsidRDefault="00273F99" w:rsidP="00723165">
      <w:pPr>
        <w:rPr>
          <w:rFonts w:ascii="Arial" w:hAnsi="Arial" w:cs="Arial"/>
          <w:color w:val="1F497D"/>
          <w:sz w:val="22"/>
          <w:szCs w:val="22"/>
        </w:rPr>
      </w:pPr>
      <w:r w:rsidRPr="00F858E5">
        <w:rPr>
          <w:rFonts w:eastAsia="Arial Unicode MS"/>
          <w:snapToGrid w:val="0"/>
          <w:sz w:val="26"/>
          <w:szCs w:val="26"/>
          <w:rtl/>
        </w:rPr>
        <w:t>בהתאם להחלטת הממשלה מספר 2118 מיום 22.10.2014 בנושא הפחתת הנטל הרגולטורי, טיוטת התקנות גובשה במסגרת תהליך "חקיקה חכמה" (</w:t>
      </w:r>
      <w:r w:rsidRPr="00F858E5">
        <w:rPr>
          <w:rFonts w:eastAsia="Arial Unicode MS"/>
          <w:snapToGrid w:val="0"/>
          <w:sz w:val="26"/>
          <w:szCs w:val="26"/>
        </w:rPr>
        <w:t>RIA</w:t>
      </w:r>
      <w:r w:rsidRPr="00F858E5">
        <w:rPr>
          <w:rFonts w:eastAsia="Arial Unicode MS"/>
          <w:snapToGrid w:val="0"/>
          <w:sz w:val="26"/>
          <w:szCs w:val="26"/>
          <w:rtl/>
        </w:rPr>
        <w:t xml:space="preserve">, </w:t>
      </w:r>
      <w:proofErr w:type="spellStart"/>
      <w:r w:rsidRPr="00F858E5">
        <w:rPr>
          <w:rFonts w:eastAsia="Arial Unicode MS"/>
          <w:snapToGrid w:val="0"/>
          <w:sz w:val="26"/>
          <w:szCs w:val="26"/>
          <w:rtl/>
        </w:rPr>
        <w:t>רי"ה</w:t>
      </w:r>
      <w:proofErr w:type="spellEnd"/>
      <w:r w:rsidRPr="00F858E5">
        <w:rPr>
          <w:rFonts w:eastAsia="Arial Unicode MS"/>
          <w:snapToGrid w:val="0"/>
          <w:sz w:val="26"/>
          <w:szCs w:val="26"/>
          <w:rtl/>
        </w:rPr>
        <w:t>). ניתן לעיין בדוח בקישור:</w:t>
      </w:r>
      <w:r>
        <w:rPr>
          <w:rFonts w:eastAsia="Arial Unicode MS" w:hint="cs"/>
          <w:snapToGrid w:val="0"/>
          <w:sz w:val="26"/>
          <w:szCs w:val="26"/>
          <w:rtl/>
        </w:rPr>
        <w:t xml:space="preserve"> </w:t>
      </w:r>
      <w:hyperlink w:history="1">
        <w:r w:rsidR="00723165">
          <w:rPr>
            <w:rStyle w:val="Hyperlink"/>
            <w:rFonts w:hint="cs"/>
          </w:rPr>
          <w:t>https://www.gov.il/he/Departments/policies/ria_170222</w:t>
        </w:r>
      </w:hyperlink>
    </w:p>
    <w:p w14:paraId="76FEFD5D" w14:textId="0FEC6FDB" w:rsidR="00273F99" w:rsidRPr="00723165" w:rsidRDefault="00273F99" w:rsidP="00723165">
      <w:pPr>
        <w:rPr>
          <w:rFonts w:eastAsia="Arial Unicode MS"/>
          <w:snapToGrid w:val="0"/>
          <w:sz w:val="26"/>
          <w:szCs w:val="26"/>
          <w:rtl/>
        </w:rPr>
      </w:pPr>
    </w:p>
    <w:p w14:paraId="2F4AE0EE" w14:textId="77777777" w:rsidR="00273F99" w:rsidRPr="00F858E5" w:rsidRDefault="00273F99" w:rsidP="00273F99">
      <w:pPr>
        <w:rPr>
          <w:rFonts w:eastAsia="Arial Unicode MS"/>
          <w:snapToGrid w:val="0"/>
          <w:sz w:val="26"/>
          <w:szCs w:val="26"/>
          <w:rtl/>
        </w:rPr>
      </w:pPr>
      <w:r w:rsidRPr="00F858E5">
        <w:rPr>
          <w:rFonts w:eastAsia="Arial Unicode MS"/>
          <w:snapToGrid w:val="0"/>
          <w:sz w:val="26"/>
          <w:szCs w:val="26"/>
          <w:rtl/>
        </w:rPr>
        <w:t xml:space="preserve">כפי שמוסבר בהרחבה בדו"ח </w:t>
      </w:r>
      <w:proofErr w:type="spellStart"/>
      <w:r w:rsidRPr="00F858E5">
        <w:rPr>
          <w:rFonts w:eastAsia="Arial Unicode MS"/>
          <w:snapToGrid w:val="0"/>
          <w:sz w:val="26"/>
          <w:szCs w:val="26"/>
          <w:rtl/>
        </w:rPr>
        <w:t>הרי"ה</w:t>
      </w:r>
      <w:proofErr w:type="spellEnd"/>
      <w:r w:rsidRPr="00F858E5">
        <w:rPr>
          <w:rFonts w:eastAsia="Arial Unicode MS"/>
          <w:snapToGrid w:val="0"/>
          <w:sz w:val="26"/>
          <w:szCs w:val="26"/>
          <w:rtl/>
        </w:rPr>
        <w:t xml:space="preserve">, כיוון שהמדיניות שלפיה בוצע התיקון המוצע נקבעה בהחלטת הממשלה 213, תהליך </w:t>
      </w:r>
      <w:proofErr w:type="spellStart"/>
      <w:r w:rsidRPr="00F858E5">
        <w:rPr>
          <w:rFonts w:eastAsia="Arial Unicode MS"/>
          <w:snapToGrid w:val="0"/>
          <w:sz w:val="26"/>
          <w:szCs w:val="26"/>
          <w:rtl/>
        </w:rPr>
        <w:t>הרי"ה</w:t>
      </w:r>
      <w:proofErr w:type="spellEnd"/>
      <w:r w:rsidRPr="00F858E5">
        <w:rPr>
          <w:rFonts w:eastAsia="Arial Unicode MS"/>
          <w:snapToGrid w:val="0"/>
          <w:sz w:val="26"/>
          <w:szCs w:val="26"/>
          <w:rtl/>
        </w:rPr>
        <w:t xml:space="preserve"> שבוצע עסק באופן קביעת דרישות מקצועיות ספציפיות לפירות ולירקות לשם צמצום הסיכון לחדירת נגעים מיבוא. מפאת לוח הזמנים הקצר כפי שנקבע בהחלטת הממשלה 213, תהליך </w:t>
      </w:r>
      <w:proofErr w:type="spellStart"/>
      <w:r w:rsidRPr="00F858E5">
        <w:rPr>
          <w:rFonts w:eastAsia="Arial Unicode MS"/>
          <w:snapToGrid w:val="0"/>
          <w:sz w:val="26"/>
          <w:szCs w:val="26"/>
          <w:rtl/>
        </w:rPr>
        <w:t>הרי"ה</w:t>
      </w:r>
      <w:proofErr w:type="spellEnd"/>
      <w:r w:rsidRPr="00F858E5">
        <w:rPr>
          <w:rFonts w:eastAsia="Arial Unicode MS"/>
          <w:snapToGrid w:val="0"/>
          <w:sz w:val="26"/>
          <w:szCs w:val="26"/>
          <w:rtl/>
        </w:rPr>
        <w:t xml:space="preserve"> שבוצע התבסס בעיקרו על מקורות מידע בינלאומיים וכן על חוות דעת של גורמי מקצוע רלוונטיים בעלי ניסיון רב שנים בארגונים בינלאומיים העוסקים בנושאי הגנת הצומח וניירות עמדה שהועברו מגורמים שונים מתוך הממשלה ומחוצה לה. לוח הזמנים הקצר לא </w:t>
      </w:r>
      <w:proofErr w:type="spellStart"/>
      <w:r w:rsidRPr="00F858E5">
        <w:rPr>
          <w:rFonts w:eastAsia="Arial Unicode MS"/>
          <w:snapToGrid w:val="0"/>
          <w:sz w:val="26"/>
          <w:szCs w:val="26"/>
          <w:rtl/>
        </w:rPr>
        <w:t>איפשר</w:t>
      </w:r>
      <w:proofErr w:type="spellEnd"/>
      <w:r w:rsidRPr="00F858E5">
        <w:rPr>
          <w:rFonts w:eastAsia="Arial Unicode MS"/>
          <w:snapToGrid w:val="0"/>
          <w:sz w:val="26"/>
          <w:szCs w:val="26"/>
          <w:rtl/>
        </w:rPr>
        <w:t xml:space="preserve"> לבצע הליך מוסדר של שיתוף ציבור, אך עם זאת שיתוף כאמור יבוצע עם פרסום התקנות להערות ציבור. בנוסף, החלטת הממשלה קובעת חובת התייעצות עם יועץ בינלאומי וחוק הגנת הצומח קובע כי  תיקון התקנות ייעשה לאחר היוועצות עם ועדה מייעצת המונה בין חבריה גם נציגי ציבור.</w:t>
      </w:r>
    </w:p>
    <w:p w14:paraId="66A3E5F2" w14:textId="77777777" w:rsidR="00273F99" w:rsidRPr="00F858E5" w:rsidRDefault="00273F99" w:rsidP="00273F99">
      <w:pPr>
        <w:pStyle w:val="Hesber1st"/>
        <w:tabs>
          <w:tab w:val="clear" w:pos="680"/>
        </w:tabs>
        <w:rPr>
          <w:rFonts w:ascii="David" w:hAnsi="David"/>
          <w:b/>
          <w:bCs/>
          <w:sz w:val="26"/>
          <w:u w:val="single"/>
          <w:rtl/>
        </w:rPr>
      </w:pPr>
    </w:p>
    <w:p w14:paraId="38B96CCD" w14:textId="77777777" w:rsidR="00273F99" w:rsidRPr="00F858E5" w:rsidRDefault="00273F99" w:rsidP="00273F99">
      <w:pPr>
        <w:pStyle w:val="Hesber1st"/>
        <w:tabs>
          <w:tab w:val="clear" w:pos="680"/>
        </w:tabs>
        <w:rPr>
          <w:rFonts w:ascii="David" w:hAnsi="David"/>
          <w:sz w:val="26"/>
          <w:rtl/>
        </w:rPr>
      </w:pPr>
      <w:r w:rsidRPr="00F858E5">
        <w:rPr>
          <w:rFonts w:ascii="David" w:hAnsi="David"/>
          <w:b/>
          <w:bCs/>
          <w:sz w:val="26"/>
          <w:u w:val="single"/>
          <w:rtl/>
        </w:rPr>
        <w:t>התיקון המוצע</w:t>
      </w:r>
    </w:p>
    <w:p w14:paraId="3C8FBFED" w14:textId="77777777" w:rsidR="00273F99" w:rsidRPr="00F858E5" w:rsidRDefault="00273F99" w:rsidP="00273F99">
      <w:pPr>
        <w:pStyle w:val="Hesber1st"/>
        <w:tabs>
          <w:tab w:val="clear" w:pos="680"/>
        </w:tabs>
        <w:rPr>
          <w:rFonts w:ascii="David" w:hAnsi="David"/>
          <w:sz w:val="26"/>
          <w:rtl/>
        </w:rPr>
      </w:pPr>
    </w:p>
    <w:p w14:paraId="71C2BD90" w14:textId="77777777" w:rsidR="00273F99" w:rsidRPr="00F858E5" w:rsidRDefault="00273F99" w:rsidP="00273F99">
      <w:pPr>
        <w:pStyle w:val="Hesber1st"/>
        <w:tabs>
          <w:tab w:val="clear" w:pos="680"/>
        </w:tabs>
        <w:rPr>
          <w:rFonts w:ascii="David" w:hAnsi="David"/>
          <w:b/>
          <w:bCs/>
          <w:sz w:val="26"/>
          <w:rtl/>
        </w:rPr>
      </w:pPr>
      <w:r w:rsidRPr="00F858E5">
        <w:rPr>
          <w:rFonts w:ascii="David" w:hAnsi="David"/>
          <w:b/>
          <w:bCs/>
          <w:sz w:val="26"/>
          <w:rtl/>
        </w:rPr>
        <w:t xml:space="preserve">תקנה 1 – תיקון תקנה 1 לתקנות העיקריות – הוספת ותיקון הגדרות </w:t>
      </w:r>
    </w:p>
    <w:p w14:paraId="56EF2EAE" w14:textId="77777777" w:rsidR="00273F99" w:rsidRDefault="00273F99" w:rsidP="00273F99">
      <w:pPr>
        <w:pStyle w:val="Hesber1st"/>
        <w:tabs>
          <w:tab w:val="clear" w:pos="680"/>
        </w:tabs>
        <w:rPr>
          <w:rFonts w:ascii="David" w:hAnsi="David"/>
          <w:sz w:val="26"/>
          <w:rtl/>
        </w:rPr>
      </w:pPr>
      <w:r w:rsidRPr="00F858E5">
        <w:rPr>
          <w:rFonts w:ascii="David" w:hAnsi="David"/>
          <w:sz w:val="26"/>
          <w:rtl/>
        </w:rPr>
        <w:t>מוצע לתקן את תקנה 1 לתקנות העיקריות שעניינה הגדרות, ולהוסיף להגדרת "ארצות אירופה" את המדינות "הונגריה, יוון, קפריסין". קבוצת המדינות המוגדרת כיום תחת ארצות אירופה נועדה</w:t>
      </w:r>
      <w:r>
        <w:rPr>
          <w:rFonts w:ascii="David" w:hAnsi="David" w:hint="cs"/>
          <w:sz w:val="26"/>
          <w:rtl/>
        </w:rPr>
        <w:t xml:space="preserve"> במקור להימנע מהגדרת</w:t>
      </w:r>
      <w:r w:rsidRPr="00F858E5">
        <w:rPr>
          <w:rFonts w:ascii="David" w:hAnsi="David"/>
          <w:sz w:val="26"/>
          <w:rtl/>
        </w:rPr>
        <w:t xml:space="preserve"> דרישות יבוא עבור כל מדינה ממדינות אלה בנפרד. הסיבה המקצועית שעמדה בבסיס קביעת המדינות שבקבוצה (בהגדרה שאינה תואמת את המדינות החברות באיחוד האירופי) היא שיקולים </w:t>
      </w:r>
      <w:proofErr w:type="spellStart"/>
      <w:r w:rsidRPr="00F858E5">
        <w:rPr>
          <w:rFonts w:ascii="David" w:hAnsi="David"/>
          <w:sz w:val="26"/>
          <w:rtl/>
        </w:rPr>
        <w:t>פיטוסניטריים</w:t>
      </w:r>
      <w:proofErr w:type="spellEnd"/>
      <w:r w:rsidRPr="00F858E5">
        <w:rPr>
          <w:rFonts w:ascii="David" w:hAnsi="David"/>
          <w:sz w:val="26"/>
          <w:rtl/>
        </w:rPr>
        <w:t>, מידע על תפוצת נגעים בשטח המדינות</w:t>
      </w:r>
      <w:r>
        <w:rPr>
          <w:rFonts w:ascii="David" w:hAnsi="David" w:hint="cs"/>
          <w:sz w:val="26"/>
          <w:rtl/>
        </w:rPr>
        <w:t xml:space="preserve">, </w:t>
      </w:r>
      <w:r w:rsidRPr="00F858E5">
        <w:rPr>
          <w:rFonts w:ascii="David" w:hAnsi="David"/>
          <w:sz w:val="26"/>
          <w:rtl/>
        </w:rPr>
        <w:t xml:space="preserve">היסטוריה של יבוא קודם ודרישות יבוא קיימות. מדינות עמן לא היה מסחר קודם לא הוכנסו לרשימה ועבורן בוצע </w:t>
      </w:r>
      <w:r w:rsidRPr="00F858E5">
        <w:rPr>
          <w:rFonts w:ascii="David" w:hAnsi="David"/>
          <w:sz w:val="26"/>
        </w:rPr>
        <w:t>PRA</w:t>
      </w:r>
      <w:r w:rsidRPr="00F858E5">
        <w:rPr>
          <w:rFonts w:ascii="David" w:hAnsi="David"/>
          <w:sz w:val="26"/>
          <w:rtl/>
        </w:rPr>
        <w:t xml:space="preserve"> לאישור יבוא של מוצרים חדשים במידת הצורך. </w:t>
      </w:r>
    </w:p>
    <w:p w14:paraId="30DE9C4F"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בעשור האחרון מאז נכנסו התקנות העיקריות לתוקף נעשו בדיקות ונאסף מידע גם עבור שלוש המדינות שמוצע להוסיף להגדרה</w:t>
      </w:r>
      <w:r>
        <w:rPr>
          <w:rFonts w:ascii="David" w:hAnsi="David" w:hint="cs"/>
          <w:sz w:val="26"/>
          <w:rtl/>
        </w:rPr>
        <w:t xml:space="preserve"> (כאמור, </w:t>
      </w:r>
      <w:r w:rsidRPr="00F858E5">
        <w:rPr>
          <w:rFonts w:ascii="David" w:hAnsi="David"/>
          <w:sz w:val="26"/>
          <w:rtl/>
        </w:rPr>
        <w:t>הונגריה, יוון וקפריסין</w:t>
      </w:r>
      <w:r>
        <w:rPr>
          <w:rFonts w:ascii="David" w:hAnsi="David" w:hint="cs"/>
          <w:sz w:val="26"/>
          <w:rtl/>
        </w:rPr>
        <w:t>)</w:t>
      </w:r>
      <w:r w:rsidRPr="00F858E5">
        <w:rPr>
          <w:rFonts w:ascii="David" w:hAnsi="David"/>
          <w:sz w:val="26"/>
          <w:rtl/>
        </w:rPr>
        <w:t xml:space="preserve">, אשר שלושתן חברות באיחוד האירופי ונמצא </w:t>
      </w:r>
      <w:r>
        <w:rPr>
          <w:rFonts w:ascii="David" w:hAnsi="David" w:hint="cs"/>
          <w:sz w:val="26"/>
          <w:rtl/>
        </w:rPr>
        <w:lastRenderedPageBreak/>
        <w:t>ש</w:t>
      </w:r>
      <w:r w:rsidRPr="00F858E5">
        <w:rPr>
          <w:rFonts w:ascii="David" w:hAnsi="David"/>
          <w:sz w:val="26"/>
          <w:rtl/>
        </w:rPr>
        <w:t>הן עומדות בדרישות המקצועיות שמאפשרות את צירופן לרשימה. יובהר כי בהתבסס על עבודה נוספת ובמידת האפשר</w:t>
      </w:r>
      <w:r>
        <w:rPr>
          <w:rFonts w:ascii="David" w:hAnsi="David" w:hint="cs"/>
          <w:sz w:val="26"/>
          <w:rtl/>
        </w:rPr>
        <w:t>,</w:t>
      </w:r>
      <w:r w:rsidRPr="00F858E5">
        <w:rPr>
          <w:rFonts w:ascii="David" w:hAnsi="David"/>
          <w:sz w:val="26"/>
          <w:rtl/>
        </w:rPr>
        <w:t xml:space="preserve"> יצורפו בעתיד מדינות נוספות. המשמעות של הכללת מדינה ב</w:t>
      </w:r>
      <w:r>
        <w:rPr>
          <w:rFonts w:ascii="David" w:hAnsi="David" w:hint="cs"/>
          <w:sz w:val="26"/>
          <w:rtl/>
        </w:rPr>
        <w:t>הגדרה</w:t>
      </w:r>
      <w:r w:rsidRPr="00F858E5">
        <w:rPr>
          <w:rFonts w:ascii="David" w:hAnsi="David"/>
          <w:sz w:val="26"/>
          <w:rtl/>
        </w:rPr>
        <w:t xml:space="preserve"> </w:t>
      </w:r>
      <w:r>
        <w:rPr>
          <w:rFonts w:ascii="David" w:hAnsi="David" w:hint="cs"/>
          <w:sz w:val="26"/>
          <w:rtl/>
        </w:rPr>
        <w:t>"</w:t>
      </w:r>
      <w:r w:rsidRPr="00F858E5">
        <w:rPr>
          <w:rFonts w:ascii="David" w:hAnsi="David"/>
          <w:sz w:val="26"/>
          <w:rtl/>
        </w:rPr>
        <w:t>ארצות אירופה</w:t>
      </w:r>
      <w:r>
        <w:rPr>
          <w:rFonts w:ascii="David" w:hAnsi="David" w:hint="cs"/>
          <w:sz w:val="26"/>
          <w:rtl/>
        </w:rPr>
        <w:t>"</w:t>
      </w:r>
      <w:r w:rsidRPr="00F858E5">
        <w:rPr>
          <w:rFonts w:ascii="David" w:hAnsi="David"/>
          <w:sz w:val="26"/>
          <w:rtl/>
        </w:rPr>
        <w:t xml:space="preserve"> היא עמידה בדרישות המפורטות בתוספות השונות לתקנות. החשיבות של הכללה ברשימה הינה ביחס למוצרי צמחים חומרי ריבוי, שכן קביעת דרישות עולמיות ליבוא פירות וירקות </w:t>
      </w:r>
      <w:r>
        <w:rPr>
          <w:rFonts w:ascii="David" w:hAnsi="David" w:hint="cs"/>
          <w:sz w:val="26"/>
          <w:rtl/>
        </w:rPr>
        <w:t>ט</w:t>
      </w:r>
      <w:r w:rsidRPr="00F858E5">
        <w:rPr>
          <w:rFonts w:ascii="David" w:hAnsi="David"/>
          <w:sz w:val="26"/>
          <w:rtl/>
        </w:rPr>
        <w:t xml:space="preserve">ריים במסגרת התוספת הרביעית, משמעותה הפחתת מגבלות ביחס למוצרים אלה על יבוא ממדינת מקור ספציפית. </w:t>
      </w:r>
    </w:p>
    <w:p w14:paraId="671F4708" w14:textId="2C4F6292" w:rsidR="00273F99" w:rsidRDefault="00273F99" w:rsidP="00273F99">
      <w:pPr>
        <w:pStyle w:val="Hesber1st"/>
        <w:tabs>
          <w:tab w:val="clear" w:pos="680"/>
        </w:tabs>
        <w:rPr>
          <w:rFonts w:ascii="David" w:hAnsi="David"/>
          <w:sz w:val="26"/>
          <w:rtl/>
        </w:rPr>
      </w:pPr>
      <w:r w:rsidRPr="00F858E5">
        <w:rPr>
          <w:rFonts w:ascii="David" w:hAnsi="David"/>
          <w:sz w:val="26"/>
          <w:rtl/>
        </w:rPr>
        <w:t>כמו כן, מוצע להוסיף את הגדרת "שר החקלאות ופיתוח הכפר", משום שבגוף התקנות</w:t>
      </w:r>
      <w:r>
        <w:rPr>
          <w:rFonts w:ascii="David" w:hAnsi="David" w:hint="cs"/>
          <w:sz w:val="26"/>
          <w:rtl/>
        </w:rPr>
        <w:t xml:space="preserve">, בהתאם להחלטת הממשלה 213, </w:t>
      </w:r>
      <w:r w:rsidRPr="00F858E5">
        <w:rPr>
          <w:rFonts w:ascii="David" w:hAnsi="David"/>
          <w:sz w:val="26"/>
          <w:rtl/>
        </w:rPr>
        <w:t xml:space="preserve">מוצע להוסיף סמכויות שר ועל כן יש צורך בקביעת הגדרה. </w:t>
      </w:r>
    </w:p>
    <w:p w14:paraId="7C85424B" w14:textId="343D838F" w:rsidR="00F82A4B" w:rsidRPr="00F858E5" w:rsidRDefault="00F82A4B" w:rsidP="00273F99">
      <w:pPr>
        <w:pStyle w:val="Hesber1st"/>
        <w:tabs>
          <w:tab w:val="clear" w:pos="680"/>
        </w:tabs>
        <w:rPr>
          <w:rFonts w:ascii="David" w:hAnsi="David"/>
          <w:sz w:val="26"/>
          <w:rtl/>
        </w:rPr>
      </w:pPr>
      <w:r>
        <w:rPr>
          <w:rFonts w:ascii="David" w:hAnsi="David" w:hint="cs"/>
          <w:sz w:val="26"/>
          <w:rtl/>
        </w:rPr>
        <w:t>בהגדרה "תעודת בריאות", מוצע להבהיר כי ניתן לקבל גם תעודת בריאות בפורמט אלקטרוני רשמי.</w:t>
      </w:r>
    </w:p>
    <w:p w14:paraId="35F4F0EC" w14:textId="77777777" w:rsidR="00273F99" w:rsidRPr="00F858E5" w:rsidRDefault="00273F99" w:rsidP="00273F99">
      <w:pPr>
        <w:pStyle w:val="Hesber1st"/>
        <w:tabs>
          <w:tab w:val="clear" w:pos="680"/>
        </w:tabs>
        <w:rPr>
          <w:rFonts w:ascii="David" w:hAnsi="David"/>
          <w:sz w:val="26"/>
          <w:rtl/>
        </w:rPr>
      </w:pPr>
    </w:p>
    <w:p w14:paraId="10CB609C" w14:textId="77777777" w:rsidR="00273F99" w:rsidRPr="00F858E5" w:rsidRDefault="00273F99" w:rsidP="00273F99">
      <w:pPr>
        <w:pStyle w:val="Hesber1st"/>
        <w:tabs>
          <w:tab w:val="clear" w:pos="680"/>
        </w:tabs>
        <w:rPr>
          <w:rFonts w:ascii="David" w:hAnsi="David"/>
          <w:b/>
          <w:bCs/>
          <w:sz w:val="26"/>
          <w:rtl/>
        </w:rPr>
      </w:pPr>
      <w:r w:rsidRPr="00F858E5">
        <w:rPr>
          <w:rFonts w:ascii="David" w:hAnsi="David"/>
          <w:b/>
          <w:bCs/>
          <w:sz w:val="26"/>
          <w:rtl/>
        </w:rPr>
        <w:t xml:space="preserve">תקנה 2 – תיקון תקנה 2 לתקנות העיקריות – הוספת מסלול יבוא </w:t>
      </w:r>
      <w:r>
        <w:rPr>
          <w:rFonts w:ascii="David" w:hAnsi="David" w:hint="cs"/>
          <w:b/>
          <w:bCs/>
          <w:sz w:val="26"/>
          <w:rtl/>
        </w:rPr>
        <w:t xml:space="preserve">ללא </w:t>
      </w:r>
      <w:r w:rsidRPr="00F858E5">
        <w:rPr>
          <w:rFonts w:ascii="David" w:hAnsi="David"/>
          <w:b/>
          <w:bCs/>
          <w:sz w:val="26"/>
          <w:rtl/>
        </w:rPr>
        <w:t xml:space="preserve">רישיון </w:t>
      </w:r>
    </w:p>
    <w:p w14:paraId="6545F019"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מוצע לתקן את תקנה 2 לתקנות העיקריות, שעניינה "יבוא צמחים, מוצרי צמחים, נגעים ואמצעי לוואי". תקנה זו קובעת את המסלולים השונים במסגרתם ניתן ליבוא, ובה נקבע בסעיף קטן (ב) כי ברירת המחדל, למעט חריגים שמפורטים בהמשך התקנה, היא לייבא ברישיון מאת המנהל. </w:t>
      </w:r>
    </w:p>
    <w:p w14:paraId="4718EE76"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בהתאם להחלטת הממשלה 213, </w:t>
      </w:r>
      <w:r w:rsidRPr="00F858E5">
        <w:rPr>
          <w:rFonts w:ascii="David" w:hAnsi="David"/>
          <w:b/>
          <w:bCs/>
          <w:sz w:val="26"/>
          <w:rtl/>
        </w:rPr>
        <w:t xml:space="preserve">מוצע להוסיף לתקנה את </w:t>
      </w:r>
      <w:r>
        <w:rPr>
          <w:rFonts w:ascii="David" w:hAnsi="David" w:hint="cs"/>
          <w:b/>
          <w:bCs/>
          <w:sz w:val="26"/>
          <w:rtl/>
        </w:rPr>
        <w:t>תקנת משנה</w:t>
      </w:r>
      <w:r w:rsidRPr="00F858E5">
        <w:rPr>
          <w:rFonts w:ascii="David" w:hAnsi="David"/>
          <w:b/>
          <w:bCs/>
          <w:sz w:val="26"/>
          <w:rtl/>
        </w:rPr>
        <w:t xml:space="preserve"> </w:t>
      </w:r>
      <w:r>
        <w:rPr>
          <w:rFonts w:ascii="David" w:hAnsi="David" w:hint="cs"/>
          <w:b/>
          <w:bCs/>
          <w:sz w:val="26"/>
          <w:rtl/>
        </w:rPr>
        <w:t>(</w:t>
      </w:r>
      <w:r w:rsidRPr="00F858E5">
        <w:rPr>
          <w:rFonts w:ascii="David" w:hAnsi="David"/>
          <w:b/>
          <w:bCs/>
          <w:sz w:val="26"/>
          <w:rtl/>
        </w:rPr>
        <w:t>ב1</w:t>
      </w:r>
      <w:r>
        <w:rPr>
          <w:rFonts w:ascii="David" w:hAnsi="David" w:hint="cs"/>
          <w:b/>
          <w:bCs/>
          <w:sz w:val="26"/>
          <w:rtl/>
        </w:rPr>
        <w:t>)</w:t>
      </w:r>
      <w:r w:rsidRPr="00F858E5">
        <w:rPr>
          <w:rFonts w:ascii="David" w:hAnsi="David"/>
          <w:b/>
          <w:bCs/>
          <w:sz w:val="26"/>
          <w:rtl/>
        </w:rPr>
        <w:t xml:space="preserve">, הקובע </w:t>
      </w:r>
      <w:r>
        <w:rPr>
          <w:rFonts w:ascii="David" w:hAnsi="David" w:hint="cs"/>
          <w:b/>
          <w:bCs/>
          <w:sz w:val="26"/>
          <w:rtl/>
        </w:rPr>
        <w:t>ברירת מחדל שונה ל</w:t>
      </w:r>
      <w:r w:rsidRPr="00F858E5">
        <w:rPr>
          <w:rFonts w:ascii="David" w:hAnsi="David"/>
          <w:b/>
          <w:bCs/>
          <w:sz w:val="26"/>
          <w:rtl/>
        </w:rPr>
        <w:t xml:space="preserve">פירות וירקות טריים למאכל. </w:t>
      </w:r>
      <w:r>
        <w:rPr>
          <w:rFonts w:ascii="David" w:hAnsi="David" w:hint="cs"/>
          <w:b/>
          <w:bCs/>
          <w:sz w:val="26"/>
          <w:rtl/>
        </w:rPr>
        <w:t xml:space="preserve">יבואם של </w:t>
      </w:r>
      <w:r w:rsidRPr="00F858E5">
        <w:rPr>
          <w:rFonts w:ascii="David" w:hAnsi="David"/>
          <w:b/>
          <w:bCs/>
          <w:sz w:val="26"/>
          <w:rtl/>
        </w:rPr>
        <w:t>מוצרים אלה</w:t>
      </w:r>
      <w:r>
        <w:rPr>
          <w:rFonts w:ascii="David" w:hAnsi="David" w:hint="cs"/>
          <w:b/>
          <w:bCs/>
          <w:sz w:val="26"/>
          <w:rtl/>
        </w:rPr>
        <w:t xml:space="preserve">, ככלל, למעט חריגים מסוימים, לא יהיה טעון </w:t>
      </w:r>
      <w:r w:rsidRPr="00F858E5">
        <w:rPr>
          <w:rFonts w:ascii="David" w:hAnsi="David"/>
          <w:b/>
          <w:bCs/>
          <w:sz w:val="26"/>
          <w:rtl/>
        </w:rPr>
        <w:t>רישיון,</w:t>
      </w:r>
      <w:r w:rsidRPr="00F858E5">
        <w:rPr>
          <w:rFonts w:ascii="David" w:hAnsi="David"/>
          <w:sz w:val="26"/>
          <w:rtl/>
        </w:rPr>
        <w:t xml:space="preserve"> וניתן </w:t>
      </w:r>
      <w:r>
        <w:rPr>
          <w:rFonts w:ascii="David" w:hAnsi="David" w:hint="cs"/>
          <w:sz w:val="26"/>
          <w:rtl/>
        </w:rPr>
        <w:t xml:space="preserve">יהיה </w:t>
      </w:r>
      <w:r w:rsidRPr="00F858E5">
        <w:rPr>
          <w:rFonts w:ascii="David" w:hAnsi="David"/>
          <w:sz w:val="26"/>
          <w:rtl/>
        </w:rPr>
        <w:t xml:space="preserve">לייבאם בצירוף תעודת בריאות בנוסח הקבוע בתוספת הרביעית, </w:t>
      </w:r>
      <w:r>
        <w:rPr>
          <w:rFonts w:ascii="David" w:hAnsi="David" w:hint="cs"/>
          <w:sz w:val="26"/>
          <w:rtl/>
        </w:rPr>
        <w:t>בה מפורטים ה</w:t>
      </w:r>
      <w:r w:rsidRPr="00F858E5">
        <w:rPr>
          <w:rFonts w:ascii="David" w:hAnsi="David"/>
          <w:sz w:val="26"/>
          <w:rtl/>
        </w:rPr>
        <w:t xml:space="preserve">תנאים עליהם </w:t>
      </w:r>
      <w:r>
        <w:rPr>
          <w:rFonts w:ascii="David" w:hAnsi="David" w:hint="cs"/>
          <w:sz w:val="26"/>
          <w:rtl/>
        </w:rPr>
        <w:t>תידרש</w:t>
      </w:r>
      <w:r w:rsidRPr="00F858E5">
        <w:rPr>
          <w:rFonts w:ascii="David" w:hAnsi="David"/>
          <w:sz w:val="26"/>
          <w:rtl/>
        </w:rPr>
        <w:t xml:space="preserve"> מדינת המקור להצהיר בתעודה. </w:t>
      </w:r>
    </w:p>
    <w:p w14:paraId="2280F69E" w14:textId="77777777" w:rsidR="00273F99" w:rsidRPr="00F858E5" w:rsidRDefault="00273F99" w:rsidP="00273F99">
      <w:pPr>
        <w:pStyle w:val="Hesber1st"/>
        <w:tabs>
          <w:tab w:val="clear" w:pos="680"/>
        </w:tabs>
        <w:rPr>
          <w:rFonts w:ascii="David" w:hAnsi="David"/>
          <w:sz w:val="26"/>
          <w:rtl/>
        </w:rPr>
      </w:pPr>
      <w:r>
        <w:rPr>
          <w:rFonts w:ascii="David" w:hAnsi="David" w:hint="cs"/>
          <w:sz w:val="26"/>
          <w:rtl/>
        </w:rPr>
        <w:t xml:space="preserve">בהתאם להחלטת הממשלה 213, </w:t>
      </w:r>
      <w:r w:rsidRPr="00F858E5">
        <w:rPr>
          <w:rFonts w:ascii="David" w:hAnsi="David"/>
          <w:sz w:val="26"/>
          <w:rtl/>
        </w:rPr>
        <w:t xml:space="preserve">מובהר בסעיף קטן </w:t>
      </w:r>
      <w:r>
        <w:rPr>
          <w:rFonts w:ascii="David" w:hAnsi="David" w:hint="cs"/>
          <w:sz w:val="26"/>
          <w:rtl/>
        </w:rPr>
        <w:t>(</w:t>
      </w:r>
      <w:r w:rsidRPr="00F858E5">
        <w:rPr>
          <w:rFonts w:ascii="David" w:hAnsi="David"/>
          <w:sz w:val="26"/>
          <w:rtl/>
        </w:rPr>
        <w:t>ב1</w:t>
      </w:r>
      <w:r>
        <w:rPr>
          <w:rFonts w:ascii="David" w:hAnsi="David" w:hint="cs"/>
          <w:sz w:val="26"/>
          <w:rtl/>
        </w:rPr>
        <w:t>)</w:t>
      </w:r>
      <w:r w:rsidRPr="00F858E5">
        <w:rPr>
          <w:rFonts w:ascii="David" w:hAnsi="David"/>
          <w:sz w:val="26"/>
          <w:rtl/>
        </w:rPr>
        <w:t xml:space="preserve"> כי </w:t>
      </w:r>
      <w:r>
        <w:rPr>
          <w:rFonts w:ascii="David" w:hAnsi="David" w:hint="cs"/>
          <w:sz w:val="26"/>
          <w:rtl/>
        </w:rPr>
        <w:t xml:space="preserve">ברירת המחדל השונה (שמשמעה יבוא שאינו טעון </w:t>
      </w:r>
      <w:r w:rsidRPr="00F858E5">
        <w:rPr>
          <w:rFonts w:ascii="David" w:hAnsi="David"/>
          <w:sz w:val="26"/>
          <w:rtl/>
        </w:rPr>
        <w:t>רישיון</w:t>
      </w:r>
      <w:r>
        <w:rPr>
          <w:rFonts w:ascii="David" w:hAnsi="David" w:hint="cs"/>
          <w:sz w:val="26"/>
          <w:rtl/>
        </w:rPr>
        <w:t>)</w:t>
      </w:r>
      <w:r w:rsidRPr="00F858E5">
        <w:rPr>
          <w:rFonts w:ascii="David" w:hAnsi="David"/>
          <w:sz w:val="26"/>
          <w:rtl/>
        </w:rPr>
        <w:t xml:space="preserve">, לא </w:t>
      </w:r>
      <w:r>
        <w:rPr>
          <w:rFonts w:ascii="David" w:hAnsi="David" w:hint="cs"/>
          <w:sz w:val="26"/>
          <w:rtl/>
        </w:rPr>
        <w:t>ת</w:t>
      </w:r>
      <w:r w:rsidRPr="00F858E5">
        <w:rPr>
          <w:rFonts w:ascii="David" w:hAnsi="David"/>
          <w:sz w:val="26"/>
          <w:rtl/>
        </w:rPr>
        <w:t xml:space="preserve">חול על פירות וירקות טריים המיובאים במטען יד של נוסע, וכן לא </w:t>
      </w:r>
      <w:r>
        <w:rPr>
          <w:rFonts w:ascii="David" w:hAnsi="David" w:hint="cs"/>
          <w:sz w:val="26"/>
          <w:rtl/>
        </w:rPr>
        <w:t>ת</w:t>
      </w:r>
      <w:r w:rsidRPr="00F858E5">
        <w:rPr>
          <w:rFonts w:ascii="David" w:hAnsi="David"/>
          <w:sz w:val="26"/>
          <w:rtl/>
        </w:rPr>
        <w:t>חול על פירות וירקות שיפורטו בתוספת התשיעית. כלומר, על טובין אל</w:t>
      </w:r>
      <w:r>
        <w:rPr>
          <w:rFonts w:ascii="David" w:hAnsi="David" w:hint="cs"/>
          <w:sz w:val="26"/>
          <w:rtl/>
        </w:rPr>
        <w:t xml:space="preserve">ה, תחול ברירת המחדל הקודמת החלה לגבי כל יתר הצמחים, </w:t>
      </w:r>
      <w:r w:rsidRPr="00F858E5">
        <w:rPr>
          <w:rFonts w:ascii="David" w:hAnsi="David"/>
          <w:sz w:val="26"/>
          <w:rtl/>
        </w:rPr>
        <w:t xml:space="preserve">של יבוא ברישיון. </w:t>
      </w:r>
    </w:p>
    <w:p w14:paraId="4881C565"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בנוסף, מוצע </w:t>
      </w:r>
      <w:r w:rsidRPr="00F858E5">
        <w:rPr>
          <w:rFonts w:ascii="David" w:hAnsi="David"/>
          <w:b/>
          <w:bCs/>
          <w:sz w:val="26"/>
          <w:rtl/>
        </w:rPr>
        <w:t xml:space="preserve">לקבוע </w:t>
      </w:r>
      <w:r>
        <w:rPr>
          <w:rFonts w:ascii="David" w:hAnsi="David" w:hint="cs"/>
          <w:b/>
          <w:bCs/>
          <w:sz w:val="26"/>
          <w:rtl/>
        </w:rPr>
        <w:t>בתקנת משנה</w:t>
      </w:r>
      <w:r w:rsidRPr="00F858E5">
        <w:rPr>
          <w:rFonts w:ascii="David" w:hAnsi="David"/>
          <w:b/>
          <w:bCs/>
          <w:sz w:val="26"/>
          <w:rtl/>
        </w:rPr>
        <w:t xml:space="preserve"> </w:t>
      </w:r>
      <w:r>
        <w:rPr>
          <w:rFonts w:ascii="David" w:hAnsi="David" w:hint="cs"/>
          <w:b/>
          <w:bCs/>
          <w:sz w:val="26"/>
          <w:rtl/>
        </w:rPr>
        <w:t>(</w:t>
      </w:r>
      <w:r w:rsidRPr="00F858E5">
        <w:rPr>
          <w:rFonts w:ascii="David" w:hAnsi="David"/>
          <w:b/>
          <w:bCs/>
          <w:sz w:val="26"/>
          <w:rtl/>
        </w:rPr>
        <w:t>ב2</w:t>
      </w:r>
      <w:r>
        <w:rPr>
          <w:rFonts w:ascii="David" w:hAnsi="David" w:hint="cs"/>
          <w:b/>
          <w:bCs/>
          <w:sz w:val="26"/>
          <w:rtl/>
        </w:rPr>
        <w:t>)</w:t>
      </w:r>
      <w:r w:rsidRPr="00F858E5">
        <w:rPr>
          <w:rFonts w:ascii="David" w:hAnsi="David"/>
          <w:b/>
          <w:bCs/>
          <w:sz w:val="26"/>
          <w:rtl/>
        </w:rPr>
        <w:t xml:space="preserve"> </w:t>
      </w:r>
      <w:r>
        <w:rPr>
          <w:rFonts w:ascii="David" w:hAnsi="David" w:hint="cs"/>
          <w:b/>
          <w:bCs/>
          <w:sz w:val="26"/>
          <w:rtl/>
        </w:rPr>
        <w:t xml:space="preserve">לעניין </w:t>
      </w:r>
      <w:r w:rsidRPr="00F858E5">
        <w:rPr>
          <w:rFonts w:ascii="David" w:hAnsi="David"/>
          <w:b/>
          <w:bCs/>
          <w:sz w:val="26"/>
          <w:rtl/>
        </w:rPr>
        <w:t xml:space="preserve">ייבוא פירות וירקות טריים במסגרת המסלול </w:t>
      </w:r>
      <w:r>
        <w:rPr>
          <w:rFonts w:ascii="David" w:hAnsi="David" w:hint="cs"/>
          <w:b/>
          <w:bCs/>
          <w:sz w:val="26"/>
          <w:rtl/>
        </w:rPr>
        <w:t xml:space="preserve">הפטור </w:t>
      </w:r>
      <w:r w:rsidRPr="00F858E5">
        <w:rPr>
          <w:rFonts w:ascii="David" w:hAnsi="David"/>
          <w:b/>
          <w:bCs/>
          <w:sz w:val="26"/>
          <w:rtl/>
        </w:rPr>
        <w:t xml:space="preserve">מרישיון, </w:t>
      </w:r>
      <w:r>
        <w:rPr>
          <w:rFonts w:ascii="David" w:hAnsi="David" w:hint="cs"/>
          <w:b/>
          <w:bCs/>
          <w:sz w:val="26"/>
          <w:rtl/>
        </w:rPr>
        <w:t xml:space="preserve">כי על יבואן במסלול זה תחול </w:t>
      </w:r>
      <w:r w:rsidRPr="00F858E5">
        <w:rPr>
          <w:rFonts w:ascii="David" w:hAnsi="David"/>
          <w:b/>
          <w:bCs/>
          <w:sz w:val="26"/>
          <w:rtl/>
        </w:rPr>
        <w:t xml:space="preserve">חובת דיווח </w:t>
      </w:r>
      <w:r>
        <w:rPr>
          <w:rFonts w:ascii="David" w:hAnsi="David" w:hint="cs"/>
          <w:b/>
          <w:bCs/>
          <w:sz w:val="26"/>
          <w:rtl/>
        </w:rPr>
        <w:t>למנהל,</w:t>
      </w:r>
      <w:r w:rsidRPr="00F858E5">
        <w:rPr>
          <w:rFonts w:ascii="David" w:hAnsi="David"/>
          <w:b/>
          <w:bCs/>
          <w:sz w:val="26"/>
          <w:rtl/>
        </w:rPr>
        <w:t>90 ימים טרם הוצאת המשלוח מארץ המקור.</w:t>
      </w:r>
      <w:r w:rsidRPr="00F858E5">
        <w:rPr>
          <w:rFonts w:ascii="David" w:hAnsi="David"/>
          <w:sz w:val="26"/>
          <w:rtl/>
        </w:rPr>
        <w:t xml:space="preserve"> הצורך בקביעת חובה זו מתעורר במקרים שבהם מדובר במוצר חדש שטרם יובא לישראל לפני כן, או במוצר ממדינת מקור חדשה ממנה טרם היה יבוא של המוצר לפני כן. בנסיבות אלה, דיווח מראש יאפשר לגורמי המקצוע בשירותים להגנת הצומח ולביקורת שהות מספקת לשם היערכות ולימוד בדבר נגעים וסיכונים לצומח שעלולים להימצא ב</w:t>
      </w:r>
      <w:r>
        <w:rPr>
          <w:rFonts w:ascii="David" w:hAnsi="David" w:hint="cs"/>
          <w:sz w:val="26"/>
          <w:rtl/>
        </w:rPr>
        <w:t>מדינת המקור</w:t>
      </w:r>
      <w:r w:rsidRPr="00F858E5">
        <w:rPr>
          <w:rFonts w:ascii="David" w:hAnsi="David"/>
          <w:sz w:val="26"/>
          <w:rtl/>
        </w:rPr>
        <w:t xml:space="preserve"> או במוצר מ</w:t>
      </w:r>
      <w:r>
        <w:rPr>
          <w:rFonts w:ascii="David" w:hAnsi="David" w:hint="cs"/>
          <w:sz w:val="26"/>
          <w:rtl/>
        </w:rPr>
        <w:t>מדינת המקור</w:t>
      </w:r>
      <w:r w:rsidRPr="00F858E5">
        <w:rPr>
          <w:rFonts w:ascii="David" w:hAnsi="David"/>
          <w:sz w:val="26"/>
          <w:rtl/>
        </w:rPr>
        <w:t>, ולגבש את מערך הבדיקות עם הגעתו ל</w:t>
      </w:r>
      <w:r>
        <w:rPr>
          <w:rFonts w:ascii="David" w:hAnsi="David" w:hint="cs"/>
          <w:sz w:val="26"/>
          <w:rtl/>
        </w:rPr>
        <w:t>ישראל</w:t>
      </w:r>
      <w:r w:rsidRPr="00F858E5">
        <w:rPr>
          <w:rFonts w:ascii="David" w:hAnsi="David"/>
          <w:sz w:val="26"/>
          <w:rtl/>
        </w:rPr>
        <w:t>.</w:t>
      </w:r>
    </w:p>
    <w:p w14:paraId="357E7DCC" w14:textId="77777777" w:rsidR="00273F99" w:rsidRPr="00F858E5" w:rsidRDefault="00273F99" w:rsidP="00273F99">
      <w:pPr>
        <w:pStyle w:val="af3"/>
        <w:rPr>
          <w:rFonts w:ascii="David" w:eastAsia="Arial Unicode MS" w:hAnsi="David"/>
          <w:snapToGrid w:val="0"/>
          <w:sz w:val="26"/>
          <w:szCs w:val="26"/>
          <w:rtl/>
          <w:lang w:eastAsia="en-US"/>
        </w:rPr>
      </w:pPr>
      <w:r w:rsidRPr="00F858E5">
        <w:rPr>
          <w:rFonts w:ascii="David" w:eastAsia="Arial Unicode MS" w:hAnsi="David"/>
          <w:snapToGrid w:val="0"/>
          <w:sz w:val="26"/>
          <w:szCs w:val="26"/>
          <w:rtl/>
          <w:lang w:eastAsia="en-US"/>
        </w:rPr>
        <w:t xml:space="preserve">החובה לדיווח על יבוא ראשון אינה חלה על </w:t>
      </w:r>
      <w:r>
        <w:rPr>
          <w:rFonts w:ascii="David" w:eastAsia="Arial Unicode MS" w:hAnsi="David" w:hint="cs"/>
          <w:snapToGrid w:val="0"/>
          <w:sz w:val="26"/>
          <w:szCs w:val="26"/>
          <w:rtl/>
          <w:lang w:eastAsia="en-US"/>
        </w:rPr>
        <w:t>טובין</w:t>
      </w:r>
      <w:r w:rsidRPr="00F858E5">
        <w:rPr>
          <w:rFonts w:ascii="David" w:eastAsia="Arial Unicode MS" w:hAnsi="David"/>
          <w:snapToGrid w:val="0"/>
          <w:sz w:val="26"/>
          <w:szCs w:val="26"/>
          <w:rtl/>
          <w:lang w:eastAsia="en-US"/>
        </w:rPr>
        <w:t xml:space="preserve"> שמנויים בתוספת הרביעית (כלומר, </w:t>
      </w:r>
      <w:r>
        <w:rPr>
          <w:rFonts w:ascii="David" w:eastAsia="Arial Unicode MS" w:hAnsi="David" w:hint="cs"/>
          <w:snapToGrid w:val="0"/>
          <w:sz w:val="26"/>
          <w:szCs w:val="26"/>
          <w:rtl/>
          <w:lang w:eastAsia="en-US"/>
        </w:rPr>
        <w:t>אלה ש</w:t>
      </w:r>
      <w:r w:rsidRPr="00F858E5">
        <w:rPr>
          <w:rFonts w:ascii="David" w:eastAsia="Arial Unicode MS" w:hAnsi="David"/>
          <w:snapToGrid w:val="0"/>
          <w:sz w:val="26"/>
          <w:szCs w:val="26"/>
          <w:rtl/>
          <w:lang w:eastAsia="en-US"/>
        </w:rPr>
        <w:t xml:space="preserve">כבר נקבעו ביחס אליהם דרישות ותנאים ליבוא, על בסיס עבודה מקצועית) או </w:t>
      </w:r>
      <w:r>
        <w:rPr>
          <w:rFonts w:ascii="David" w:eastAsia="Arial Unicode MS" w:hAnsi="David" w:hint="cs"/>
          <w:snapToGrid w:val="0"/>
          <w:sz w:val="26"/>
          <w:szCs w:val="26"/>
          <w:rtl/>
          <w:lang w:eastAsia="en-US"/>
        </w:rPr>
        <w:t xml:space="preserve">על טובין </w:t>
      </w:r>
      <w:r w:rsidRPr="00F858E5">
        <w:rPr>
          <w:rFonts w:ascii="David" w:eastAsia="Arial Unicode MS" w:hAnsi="David"/>
          <w:snapToGrid w:val="0"/>
          <w:sz w:val="26"/>
          <w:szCs w:val="26"/>
          <w:rtl/>
          <w:lang w:eastAsia="en-US"/>
        </w:rPr>
        <w:t>המנויים בתוספת התשיעית (</w:t>
      </w:r>
      <w:r>
        <w:rPr>
          <w:rFonts w:ascii="David" w:eastAsia="Arial Unicode MS" w:hAnsi="David" w:hint="cs"/>
          <w:snapToGrid w:val="0"/>
          <w:sz w:val="26"/>
          <w:szCs w:val="26"/>
          <w:rtl/>
          <w:lang w:eastAsia="en-US"/>
        </w:rPr>
        <w:t>אלה</w:t>
      </w:r>
      <w:r w:rsidRPr="00F858E5">
        <w:rPr>
          <w:rFonts w:ascii="David" w:eastAsia="Arial Unicode MS" w:hAnsi="David"/>
          <w:snapToGrid w:val="0"/>
          <w:sz w:val="26"/>
          <w:szCs w:val="26"/>
          <w:rtl/>
          <w:lang w:eastAsia="en-US"/>
        </w:rPr>
        <w:t xml:space="preserve"> שיש לגביהם דרישות ספציפיות ביחס למקור ממנו הם מגיעים, נוכח ניסיון המבוסס על יבוא עבר והתאמת הדרישות ל</w:t>
      </w:r>
      <w:r>
        <w:rPr>
          <w:rFonts w:ascii="David" w:eastAsia="Arial Unicode MS" w:hAnsi="David" w:hint="cs"/>
          <w:snapToGrid w:val="0"/>
          <w:sz w:val="26"/>
          <w:szCs w:val="26"/>
          <w:rtl/>
          <w:lang w:eastAsia="en-US"/>
        </w:rPr>
        <w:t>מדינת</w:t>
      </w:r>
      <w:r w:rsidRPr="00F858E5">
        <w:rPr>
          <w:rFonts w:ascii="David" w:eastAsia="Arial Unicode MS" w:hAnsi="David"/>
          <w:snapToGrid w:val="0"/>
          <w:sz w:val="26"/>
          <w:szCs w:val="26"/>
          <w:rtl/>
          <w:lang w:eastAsia="en-US"/>
        </w:rPr>
        <w:t xml:space="preserve"> המקור). </w:t>
      </w:r>
    </w:p>
    <w:p w14:paraId="50ACC73C"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עם זאת, </w:t>
      </w:r>
      <w:r w:rsidRPr="00F858E5">
        <w:rPr>
          <w:rFonts w:ascii="David" w:hAnsi="David"/>
          <w:b/>
          <w:bCs/>
          <w:sz w:val="26"/>
          <w:rtl/>
        </w:rPr>
        <w:t>משבוצע יבוא ראשון של אותו מוצר מאות</w:t>
      </w:r>
      <w:r>
        <w:rPr>
          <w:rFonts w:ascii="David" w:hAnsi="David" w:hint="cs"/>
          <w:b/>
          <w:bCs/>
          <w:sz w:val="26"/>
          <w:rtl/>
        </w:rPr>
        <w:t xml:space="preserve">ה מדינת </w:t>
      </w:r>
      <w:r w:rsidRPr="00F858E5">
        <w:rPr>
          <w:rFonts w:ascii="David" w:hAnsi="David"/>
          <w:b/>
          <w:bCs/>
          <w:sz w:val="26"/>
          <w:rtl/>
        </w:rPr>
        <w:t xml:space="preserve">מקור, מתייתרת חובת הדיווח. לפיכך מוצע לקבוע </w:t>
      </w:r>
      <w:r>
        <w:rPr>
          <w:rFonts w:ascii="David" w:hAnsi="David" w:hint="cs"/>
          <w:b/>
          <w:bCs/>
          <w:sz w:val="26"/>
          <w:rtl/>
        </w:rPr>
        <w:t>בתקנת משנה</w:t>
      </w:r>
      <w:r w:rsidRPr="00F858E5">
        <w:rPr>
          <w:rFonts w:ascii="David" w:hAnsi="David"/>
          <w:b/>
          <w:bCs/>
          <w:sz w:val="26"/>
          <w:rtl/>
        </w:rPr>
        <w:t xml:space="preserve"> </w:t>
      </w:r>
      <w:r>
        <w:rPr>
          <w:rFonts w:ascii="David" w:hAnsi="David" w:hint="cs"/>
          <w:b/>
          <w:bCs/>
          <w:sz w:val="26"/>
          <w:rtl/>
        </w:rPr>
        <w:t>(</w:t>
      </w:r>
      <w:r w:rsidRPr="00F858E5">
        <w:rPr>
          <w:rFonts w:ascii="David" w:hAnsi="David"/>
          <w:b/>
          <w:bCs/>
          <w:sz w:val="26"/>
          <w:rtl/>
        </w:rPr>
        <w:t>ב3</w:t>
      </w:r>
      <w:r>
        <w:rPr>
          <w:rFonts w:ascii="David" w:hAnsi="David" w:hint="cs"/>
          <w:b/>
          <w:bCs/>
          <w:sz w:val="26"/>
          <w:rtl/>
        </w:rPr>
        <w:t>)</w:t>
      </w:r>
      <w:r w:rsidRPr="00F858E5">
        <w:rPr>
          <w:rFonts w:ascii="David" w:hAnsi="David"/>
          <w:b/>
          <w:bCs/>
          <w:sz w:val="26"/>
          <w:rtl/>
        </w:rPr>
        <w:t xml:space="preserve"> את סמכות המנהל לפטור</w:t>
      </w:r>
      <w:r>
        <w:rPr>
          <w:rFonts w:ascii="David" w:hAnsi="David" w:hint="cs"/>
          <w:b/>
          <w:bCs/>
          <w:sz w:val="26"/>
          <w:rtl/>
        </w:rPr>
        <w:t xml:space="preserve"> יבואן </w:t>
      </w:r>
      <w:r w:rsidRPr="00F858E5">
        <w:rPr>
          <w:rFonts w:ascii="David" w:hAnsi="David"/>
          <w:sz w:val="26"/>
          <w:rtl/>
        </w:rPr>
        <w:t xml:space="preserve">מחובת הדיווח. פטור כאמור יינתן אם אין מדובר ביבוא בפעם הראשונה או אם מצא המנהל שהיבוא אפשרי גם ללא דיווח מוקדם. </w:t>
      </w:r>
    </w:p>
    <w:p w14:paraId="0F64379E" w14:textId="77777777" w:rsidR="00273F99" w:rsidRPr="00F858E5" w:rsidRDefault="00273F99" w:rsidP="00273F99">
      <w:pPr>
        <w:pStyle w:val="Hesber1st"/>
        <w:tabs>
          <w:tab w:val="clear" w:pos="680"/>
        </w:tabs>
        <w:rPr>
          <w:rFonts w:ascii="David" w:hAnsi="David"/>
          <w:sz w:val="26"/>
          <w:rtl/>
        </w:rPr>
      </w:pPr>
    </w:p>
    <w:p w14:paraId="12B674AE" w14:textId="77777777" w:rsidR="00273F99" w:rsidRPr="00F858E5" w:rsidRDefault="00273F99" w:rsidP="00273F99">
      <w:pPr>
        <w:pStyle w:val="Hesber1st"/>
        <w:tabs>
          <w:tab w:val="clear" w:pos="680"/>
        </w:tabs>
        <w:rPr>
          <w:rFonts w:ascii="David" w:hAnsi="David"/>
          <w:b/>
          <w:bCs/>
          <w:sz w:val="26"/>
          <w:rtl/>
        </w:rPr>
      </w:pPr>
      <w:r w:rsidRPr="00F858E5">
        <w:rPr>
          <w:rFonts w:ascii="David" w:hAnsi="David"/>
          <w:b/>
          <w:bCs/>
          <w:sz w:val="26"/>
          <w:rtl/>
        </w:rPr>
        <w:lastRenderedPageBreak/>
        <w:t xml:space="preserve">תקנה 3 – הוספת תקנה 2א בעניין הוראת חירום </w:t>
      </w:r>
    </w:p>
    <w:p w14:paraId="7CA6E73D" w14:textId="77777777" w:rsidR="00273F99" w:rsidRPr="00F858E5" w:rsidRDefault="00273F99" w:rsidP="00273F99">
      <w:pPr>
        <w:pStyle w:val="Hesber1st"/>
        <w:tabs>
          <w:tab w:val="clear" w:pos="680"/>
        </w:tabs>
        <w:rPr>
          <w:rFonts w:ascii="David" w:hAnsi="David"/>
          <w:sz w:val="26"/>
          <w:rtl/>
        </w:rPr>
      </w:pPr>
      <w:r>
        <w:rPr>
          <w:rFonts w:ascii="David" w:hAnsi="David" w:hint="cs"/>
          <w:sz w:val="26"/>
          <w:rtl/>
        </w:rPr>
        <w:t xml:space="preserve">בהתאם להחלטת הממשלה 213, </w:t>
      </w:r>
      <w:r w:rsidRPr="00F858E5">
        <w:rPr>
          <w:rFonts w:ascii="David" w:hAnsi="David"/>
          <w:sz w:val="26"/>
          <w:rtl/>
        </w:rPr>
        <w:t>מוצע להוסיף לתקנות העיקריות תקנה שעניינה סמכות השר לתת הוראת חירום למניעת היבוא. כיוון שבתיקון המוצע יש פתיחה משמעותית של אפשרויות היבוא, ללא קבלת רישיון שמבוסס על ביצוע תהליך הערכת סיכונים (</w:t>
      </w:r>
      <w:r w:rsidRPr="00F858E5">
        <w:rPr>
          <w:rFonts w:ascii="David" w:hAnsi="David"/>
          <w:sz w:val="26"/>
        </w:rPr>
        <w:t>PRA</w:t>
      </w:r>
      <w:r w:rsidRPr="00F858E5">
        <w:rPr>
          <w:rFonts w:ascii="David" w:hAnsi="David"/>
          <w:sz w:val="26"/>
          <w:rtl/>
        </w:rPr>
        <w:t>)</w:t>
      </w:r>
      <w:r w:rsidRPr="00F858E5">
        <w:rPr>
          <w:rFonts w:ascii="David" w:hAnsi="David"/>
          <w:sz w:val="26"/>
        </w:rPr>
        <w:t xml:space="preserve"> </w:t>
      </w:r>
      <w:r w:rsidRPr="00F858E5">
        <w:rPr>
          <w:rFonts w:ascii="David" w:hAnsi="David"/>
          <w:sz w:val="26"/>
          <w:rtl/>
        </w:rPr>
        <w:t xml:space="preserve">ביחס </w:t>
      </w:r>
      <w:r>
        <w:rPr>
          <w:rFonts w:ascii="David" w:hAnsi="David" w:hint="cs"/>
          <w:sz w:val="26"/>
          <w:rtl/>
        </w:rPr>
        <w:t>לטובין ולמדינות מקור ספציפיים</w:t>
      </w:r>
      <w:r w:rsidRPr="00F858E5">
        <w:rPr>
          <w:rFonts w:ascii="David" w:hAnsi="David"/>
          <w:sz w:val="26"/>
          <w:rtl/>
        </w:rPr>
        <w:t xml:space="preserve">, הרי שיש גם סיכון מסוים לעליית חדירת הנגעים עם הטובין המיובא. </w:t>
      </w:r>
    </w:p>
    <w:p w14:paraId="2A01F98F"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סמכות שכזו קיימת בעולם (ראו </w:t>
      </w:r>
      <w:hyperlink w:history="1">
        <w:r w:rsidRPr="00F858E5">
          <w:rPr>
            <w:rStyle w:val="Hyperlink"/>
            <w:rFonts w:ascii="David" w:hAnsi="David"/>
            <w:sz w:val="26"/>
          </w:rPr>
          <w:t>https://eur-lex.europa.eu/legal-content/EN/TXT/PDF/?uri=CELEX:32016R2031&amp;from=EN</w:t>
        </w:r>
      </w:hyperlink>
      <w:r w:rsidRPr="00F858E5">
        <w:rPr>
          <w:rFonts w:ascii="David" w:hAnsi="David"/>
          <w:sz w:val="26"/>
          <w:rtl/>
        </w:rPr>
        <w:t xml:space="preserve"> - </w:t>
      </w:r>
      <w:r w:rsidRPr="00F858E5">
        <w:rPr>
          <w:rFonts w:ascii="David" w:hAnsi="David"/>
          <w:sz w:val="26"/>
        </w:rPr>
        <w:t>REGULATION (EU) 2016/2031 OF THE EUROPEAN PARLIAMENT OF THE COUNCIL of 26 October 2016</w:t>
      </w:r>
      <w:r w:rsidRPr="00F858E5">
        <w:rPr>
          <w:rFonts w:ascii="David" w:hAnsi="David"/>
          <w:sz w:val="26"/>
          <w:lang w:val="en-GB"/>
        </w:rPr>
        <w:t>, article 40.</w:t>
      </w:r>
      <w:r w:rsidRPr="00F858E5">
        <w:rPr>
          <w:rFonts w:ascii="David" w:hAnsi="David"/>
          <w:sz w:val="26"/>
          <w:rtl/>
          <w:lang w:val="en-GB"/>
        </w:rPr>
        <w:t>)</w:t>
      </w:r>
      <w:r>
        <w:rPr>
          <w:rFonts w:ascii="David" w:hAnsi="David" w:hint="cs"/>
          <w:sz w:val="26"/>
          <w:rtl/>
          <w:lang w:val="en-GB"/>
        </w:rPr>
        <w:t xml:space="preserve"> </w:t>
      </w:r>
      <w:r w:rsidRPr="00F858E5">
        <w:rPr>
          <w:rFonts w:ascii="David" w:hAnsi="David"/>
          <w:sz w:val="26"/>
          <w:rtl/>
        </w:rPr>
        <w:t xml:space="preserve">ומופעלת על ידי </w:t>
      </w:r>
      <w:r>
        <w:rPr>
          <w:rFonts w:ascii="David" w:hAnsi="David" w:hint="cs"/>
          <w:sz w:val="26"/>
          <w:rtl/>
        </w:rPr>
        <w:t xml:space="preserve">הרשויות המוסמכות באותן </w:t>
      </w:r>
      <w:r w:rsidRPr="00F858E5">
        <w:rPr>
          <w:rFonts w:ascii="David" w:hAnsi="David"/>
          <w:sz w:val="26"/>
          <w:rtl/>
        </w:rPr>
        <w:t xml:space="preserve">מדינות מעת לעת, כמענה לסיכון שהתגלה במדינת המקור ושיש צורך לבחון אותו בטרם יימשך הייבוא. </w:t>
      </w:r>
    </w:p>
    <w:p w14:paraId="28CFBA18"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לפיכך, </w:t>
      </w:r>
      <w:r w:rsidRPr="00F858E5">
        <w:rPr>
          <w:rFonts w:ascii="David" w:hAnsi="David"/>
          <w:b/>
          <w:bCs/>
          <w:sz w:val="26"/>
          <w:rtl/>
        </w:rPr>
        <w:t xml:space="preserve">מוצע </w:t>
      </w:r>
      <w:r>
        <w:rPr>
          <w:rFonts w:ascii="David" w:hAnsi="David" w:hint="cs"/>
          <w:b/>
          <w:bCs/>
          <w:sz w:val="26"/>
          <w:rtl/>
        </w:rPr>
        <w:t>בתקנת משנה</w:t>
      </w:r>
      <w:r w:rsidRPr="00F858E5">
        <w:rPr>
          <w:rFonts w:ascii="David" w:hAnsi="David"/>
          <w:b/>
          <w:bCs/>
          <w:sz w:val="26"/>
          <w:rtl/>
        </w:rPr>
        <w:t xml:space="preserve"> </w:t>
      </w:r>
      <w:r>
        <w:rPr>
          <w:rFonts w:ascii="David" w:hAnsi="David" w:hint="cs"/>
          <w:b/>
          <w:bCs/>
          <w:sz w:val="26"/>
          <w:rtl/>
        </w:rPr>
        <w:t>(</w:t>
      </w:r>
      <w:r w:rsidRPr="00F858E5">
        <w:rPr>
          <w:rFonts w:ascii="David" w:hAnsi="David"/>
          <w:b/>
          <w:bCs/>
          <w:sz w:val="26"/>
          <w:rtl/>
        </w:rPr>
        <w:t>א</w:t>
      </w:r>
      <w:r>
        <w:rPr>
          <w:rFonts w:ascii="David" w:hAnsi="David" w:hint="cs"/>
          <w:b/>
          <w:bCs/>
          <w:sz w:val="26"/>
          <w:rtl/>
        </w:rPr>
        <w:t>)</w:t>
      </w:r>
      <w:r w:rsidRPr="00F858E5">
        <w:rPr>
          <w:rFonts w:ascii="David" w:hAnsi="David"/>
          <w:b/>
          <w:bCs/>
          <w:sz w:val="26"/>
          <w:rtl/>
        </w:rPr>
        <w:t xml:space="preserve"> לקבוע את סמכות השר, על בסיס המלצת המנהל, להורות באופן </w:t>
      </w:r>
      <w:proofErr w:type="spellStart"/>
      <w:r w:rsidRPr="00F858E5">
        <w:rPr>
          <w:rFonts w:ascii="David" w:hAnsi="David"/>
          <w:b/>
          <w:bCs/>
          <w:sz w:val="26"/>
          <w:rtl/>
        </w:rPr>
        <w:t>מיידי</w:t>
      </w:r>
      <w:proofErr w:type="spellEnd"/>
      <w:r w:rsidRPr="00F858E5">
        <w:rPr>
          <w:rFonts w:ascii="David" w:hAnsi="David"/>
          <w:b/>
          <w:bCs/>
          <w:sz w:val="26"/>
          <w:rtl/>
        </w:rPr>
        <w:t xml:space="preserve"> על מניעת יבוא של מוצר</w:t>
      </w:r>
      <w:r w:rsidRPr="00F858E5">
        <w:rPr>
          <w:rFonts w:ascii="David" w:hAnsi="David"/>
          <w:sz w:val="26"/>
          <w:rtl/>
        </w:rPr>
        <w:t xml:space="preserve">. הסמכות תהיה ביחס לכל סוגי המוצרים המיובאים מכוח התקנות. </w:t>
      </w:r>
    </w:p>
    <w:p w14:paraId="4422E7B6"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ב</w:t>
      </w:r>
      <w:r>
        <w:rPr>
          <w:rFonts w:ascii="David" w:hAnsi="David" w:hint="cs"/>
          <w:sz w:val="26"/>
          <w:rtl/>
        </w:rPr>
        <w:t xml:space="preserve">תקנת משנה (ב) </w:t>
      </w:r>
      <w:r w:rsidRPr="00F858E5">
        <w:rPr>
          <w:rFonts w:ascii="David" w:hAnsi="David"/>
          <w:sz w:val="26"/>
          <w:rtl/>
        </w:rPr>
        <w:t xml:space="preserve"> מובהר כי </w:t>
      </w:r>
      <w:r w:rsidRPr="00F858E5">
        <w:rPr>
          <w:rFonts w:ascii="David" w:hAnsi="David"/>
          <w:b/>
          <w:bCs/>
          <w:sz w:val="26"/>
          <w:rtl/>
        </w:rPr>
        <w:t xml:space="preserve">ההוראה תפורסם באתר האינטרנט וברשומות. </w:t>
      </w:r>
      <w:r w:rsidRPr="00F858E5">
        <w:rPr>
          <w:rFonts w:ascii="David" w:hAnsi="David"/>
          <w:sz w:val="26"/>
          <w:rtl/>
        </w:rPr>
        <w:t>כיוון שמדובר בסמכות שקבועה בתקנות, ניתן להפעילה ללא צורך בתיקון התקנות, והיא תיכנס לתוקף מיד עם פרסומה</w:t>
      </w:r>
      <w:r w:rsidRPr="00F858E5">
        <w:rPr>
          <w:rFonts w:ascii="David" w:hAnsi="David"/>
          <w:sz w:val="26"/>
          <w:highlight w:val="lightGray"/>
          <w:rtl/>
        </w:rPr>
        <w:t>.</w:t>
      </w:r>
      <w:r w:rsidRPr="00F858E5">
        <w:rPr>
          <w:rFonts w:ascii="David" w:hAnsi="David"/>
          <w:sz w:val="26"/>
          <w:rtl/>
        </w:rPr>
        <w:t xml:space="preserve"> </w:t>
      </w:r>
    </w:p>
    <w:p w14:paraId="0A20056A"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כמו כן, מוצע </w:t>
      </w:r>
      <w:r>
        <w:rPr>
          <w:rFonts w:ascii="David" w:hAnsi="David" w:hint="cs"/>
          <w:sz w:val="26"/>
          <w:rtl/>
        </w:rPr>
        <w:t xml:space="preserve">בתקנת משנה (ד) </w:t>
      </w:r>
      <w:r w:rsidRPr="00F858E5">
        <w:rPr>
          <w:rFonts w:ascii="David" w:hAnsi="David"/>
          <w:sz w:val="26"/>
          <w:rtl/>
        </w:rPr>
        <w:t xml:space="preserve"> כי </w:t>
      </w:r>
      <w:r w:rsidRPr="00F858E5">
        <w:rPr>
          <w:rFonts w:ascii="David" w:hAnsi="David"/>
          <w:b/>
          <w:bCs/>
          <w:sz w:val="26"/>
          <w:rtl/>
        </w:rPr>
        <w:t>השר יהיה רשאי לאצול את סמכותו למנהל</w:t>
      </w:r>
      <w:r w:rsidRPr="00F858E5">
        <w:rPr>
          <w:rFonts w:ascii="David" w:hAnsi="David"/>
          <w:sz w:val="26"/>
          <w:rtl/>
        </w:rPr>
        <w:t xml:space="preserve">. </w:t>
      </w:r>
    </w:p>
    <w:p w14:paraId="097C7440" w14:textId="77777777" w:rsidR="00273F99" w:rsidRPr="00F858E5" w:rsidRDefault="00273F99" w:rsidP="00273F99">
      <w:pPr>
        <w:pStyle w:val="Hesber1st"/>
        <w:tabs>
          <w:tab w:val="clear" w:pos="680"/>
        </w:tabs>
        <w:rPr>
          <w:rFonts w:ascii="David" w:hAnsi="David"/>
          <w:sz w:val="26"/>
          <w:rtl/>
        </w:rPr>
      </w:pPr>
      <w:r>
        <w:rPr>
          <w:rFonts w:ascii="David" w:hAnsi="David" w:hint="cs"/>
          <w:b/>
          <w:bCs/>
          <w:sz w:val="26"/>
          <w:rtl/>
        </w:rPr>
        <w:t>בתקנות משנה (ג), (ה) ו- (ו) המוצעות,</w:t>
      </w:r>
      <w:r w:rsidRPr="00F858E5">
        <w:rPr>
          <w:rFonts w:ascii="David" w:hAnsi="David"/>
          <w:b/>
          <w:bCs/>
          <w:sz w:val="26"/>
          <w:rtl/>
        </w:rPr>
        <w:t xml:space="preserve"> מוצג המתווה לתקופות בהן יכולה להינתן הוראת החירום, וזאת בהתאם לקבוע בהחלטת הממשלה 213</w:t>
      </w:r>
      <w:r w:rsidRPr="00F858E5">
        <w:rPr>
          <w:rFonts w:ascii="David" w:hAnsi="David"/>
          <w:sz w:val="26"/>
          <w:rtl/>
        </w:rPr>
        <w:t xml:space="preserve"> – אם ניתנה ע"י השר או המנהל יהיה אורכה עד שלושה חודשים תוך אפשרות להארכה בשלושה נוספים; לאחר מכן, רשאי השר בהתייעצות עם השר האוצר </w:t>
      </w:r>
      <w:proofErr w:type="spellStart"/>
      <w:r w:rsidRPr="00F858E5">
        <w:rPr>
          <w:rFonts w:ascii="David" w:hAnsi="David"/>
          <w:sz w:val="26"/>
          <w:rtl/>
        </w:rPr>
        <w:t>להאריכה</w:t>
      </w:r>
      <w:proofErr w:type="spellEnd"/>
      <w:r w:rsidRPr="00F858E5">
        <w:rPr>
          <w:rFonts w:ascii="David" w:hAnsi="David"/>
          <w:sz w:val="26"/>
          <w:rtl/>
        </w:rPr>
        <w:t xml:space="preserve"> לתקופה נוספת של עד שישה חודשים; לאחר מכן, רשאי השר, בהסכמת שר האוצר, לאריכה לתקופה נוספת שלא תעלה על שישה חודשים. </w:t>
      </w:r>
    </w:p>
    <w:p w14:paraId="06846C55" w14:textId="77777777" w:rsidR="00273F99" w:rsidRPr="00F858E5" w:rsidRDefault="00273F99" w:rsidP="00273F99">
      <w:pPr>
        <w:pStyle w:val="Hesber1st"/>
        <w:tabs>
          <w:tab w:val="clear" w:pos="680"/>
        </w:tabs>
        <w:rPr>
          <w:rFonts w:ascii="David" w:hAnsi="David"/>
          <w:sz w:val="26"/>
          <w:rtl/>
        </w:rPr>
      </w:pPr>
      <w:r>
        <w:rPr>
          <w:rFonts w:ascii="David" w:hAnsi="David" w:hint="cs"/>
          <w:sz w:val="26"/>
          <w:rtl/>
        </w:rPr>
        <w:t>בתקנת משנה (ז)</w:t>
      </w:r>
      <w:r w:rsidRPr="00F858E5">
        <w:rPr>
          <w:rFonts w:ascii="David" w:hAnsi="David"/>
          <w:sz w:val="26"/>
          <w:rtl/>
        </w:rPr>
        <w:t xml:space="preserve"> ניתנת למי שנתן הוראה למניעת יבוא (המנהל, השר או שר האוצר) גם הסמכות לצמצם את מניעת היבוא הגורפת ולפעול באופן מידתי, כשהערכת הסיכונים מאפשרת זאת. כך,</w:t>
      </w:r>
      <w:r w:rsidRPr="00F858E5">
        <w:rPr>
          <w:rFonts w:ascii="David" w:hAnsi="David"/>
          <w:b/>
          <w:bCs/>
          <w:sz w:val="26"/>
          <w:rtl/>
        </w:rPr>
        <w:t xml:space="preserve"> רשאי נותן הוראת החירום להתיר יבוא של מוצר, בהתאם לרשימת תנאים ומגבלות המפורטים בתוספת העשירית</w:t>
      </w:r>
      <w:r w:rsidRPr="00F858E5">
        <w:rPr>
          <w:rFonts w:ascii="David" w:hAnsi="David"/>
          <w:sz w:val="26"/>
          <w:rtl/>
        </w:rPr>
        <w:t xml:space="preserve">. באופן זה, בנסיבות בהן יימצא כי ניתן למצוא את הסכנה לבריאות הצמח בהתקיים התנאים, יותר </w:t>
      </w:r>
      <w:r>
        <w:rPr>
          <w:rFonts w:ascii="David" w:hAnsi="David" w:hint="cs"/>
          <w:sz w:val="26"/>
          <w:rtl/>
        </w:rPr>
        <w:t xml:space="preserve">היבוא באותם תנאים, </w:t>
      </w:r>
      <w:r w:rsidRPr="00F858E5">
        <w:rPr>
          <w:rFonts w:ascii="David" w:hAnsi="David"/>
          <w:sz w:val="26"/>
          <w:rtl/>
        </w:rPr>
        <w:t xml:space="preserve">חרף הוראת החירום. </w:t>
      </w:r>
    </w:p>
    <w:p w14:paraId="213CAB62" w14:textId="77777777" w:rsidR="00273F99" w:rsidRPr="00F858E5" w:rsidRDefault="00273F99" w:rsidP="00273F99">
      <w:pPr>
        <w:pStyle w:val="Hesber1st"/>
        <w:tabs>
          <w:tab w:val="clear" w:pos="680"/>
        </w:tabs>
        <w:rPr>
          <w:rFonts w:ascii="David" w:hAnsi="David"/>
          <w:sz w:val="26"/>
          <w:rtl/>
        </w:rPr>
      </w:pPr>
    </w:p>
    <w:p w14:paraId="2F87926A" w14:textId="77777777" w:rsidR="00273F99" w:rsidRPr="00F858E5" w:rsidRDefault="00273F99" w:rsidP="00273F99">
      <w:pPr>
        <w:pStyle w:val="Hesber1st"/>
        <w:tabs>
          <w:tab w:val="clear" w:pos="680"/>
        </w:tabs>
        <w:rPr>
          <w:rFonts w:ascii="David" w:hAnsi="David"/>
          <w:b/>
          <w:bCs/>
          <w:sz w:val="26"/>
          <w:rtl/>
        </w:rPr>
      </w:pPr>
      <w:r w:rsidRPr="00F858E5">
        <w:rPr>
          <w:rFonts w:ascii="David" w:hAnsi="David"/>
          <w:b/>
          <w:bCs/>
          <w:sz w:val="26"/>
          <w:rtl/>
        </w:rPr>
        <w:t xml:space="preserve">תקנה 4 – תיקון תקנה 5 לתקנות העיקריות בעניין תעודת בריאות </w:t>
      </w:r>
    </w:p>
    <w:p w14:paraId="7F08AEBE"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תקנה 5(א) קובעת את החובה לצרף לכל משלוח (למעט טובין המנויים בתוספת השלישית ופטורים מכך) תעודת בריאות של </w:t>
      </w:r>
      <w:r>
        <w:rPr>
          <w:rFonts w:ascii="David" w:hAnsi="David" w:hint="cs"/>
          <w:sz w:val="26"/>
          <w:rtl/>
        </w:rPr>
        <w:t>מדינת המקור</w:t>
      </w:r>
      <w:r w:rsidRPr="00F858E5">
        <w:rPr>
          <w:rFonts w:ascii="David" w:hAnsi="David"/>
          <w:sz w:val="26"/>
          <w:rtl/>
        </w:rPr>
        <w:t xml:space="preserve">. </w:t>
      </w:r>
    </w:p>
    <w:p w14:paraId="0B249EBF" w14:textId="77777777" w:rsidR="00273F99" w:rsidRPr="00F858E5" w:rsidRDefault="00273F99" w:rsidP="00273F99">
      <w:pPr>
        <w:pStyle w:val="Hesber1st"/>
        <w:tabs>
          <w:tab w:val="clear" w:pos="680"/>
        </w:tabs>
        <w:rPr>
          <w:rFonts w:ascii="David" w:eastAsia="Times New Roman" w:hAnsi="David"/>
          <w:snapToGrid/>
          <w:sz w:val="26"/>
          <w:rtl/>
          <w:lang w:eastAsia="he-IL"/>
        </w:rPr>
      </w:pPr>
      <w:r w:rsidRPr="00F858E5">
        <w:rPr>
          <w:rFonts w:ascii="David" w:hAnsi="David"/>
          <w:sz w:val="26"/>
          <w:rtl/>
        </w:rPr>
        <w:t xml:space="preserve">בהתאם להגדרות התקנות העיקריות, תעודת בריאות היא תעודת בריאות לצמח </w:t>
      </w:r>
      <w:r w:rsidRPr="00F858E5">
        <w:rPr>
          <w:rFonts w:ascii="David" w:eastAsia="Times New Roman" w:hAnsi="David"/>
          <w:snapToGrid/>
          <w:sz w:val="26"/>
          <w:rtl/>
          <w:lang w:eastAsia="he-IL"/>
        </w:rPr>
        <w:t xml:space="preserve">כמשמעותה באמנה הבין-לאומית להגנת הצומח (שהגדרתה המלאה מופיעה בתקנה 1 לתקנות העיקריות). </w:t>
      </w:r>
    </w:p>
    <w:p w14:paraId="16EAB246" w14:textId="77777777" w:rsidR="00273F99" w:rsidRPr="00F858E5" w:rsidRDefault="00273F99" w:rsidP="00273F99">
      <w:pPr>
        <w:pStyle w:val="af3"/>
        <w:rPr>
          <w:rFonts w:ascii="David" w:hAnsi="David"/>
          <w:sz w:val="26"/>
          <w:szCs w:val="26"/>
          <w:rtl/>
        </w:rPr>
      </w:pPr>
      <w:r w:rsidRPr="006B1376">
        <w:rPr>
          <w:rFonts w:ascii="David" w:hAnsi="David"/>
          <w:sz w:val="26"/>
          <w:szCs w:val="26"/>
          <w:rtl/>
        </w:rPr>
        <w:t xml:space="preserve"> </w:t>
      </w:r>
      <w:r w:rsidRPr="00412484">
        <w:rPr>
          <w:rFonts w:ascii="David" w:hAnsi="David"/>
          <w:sz w:val="26"/>
          <w:szCs w:val="26"/>
          <w:rtl/>
        </w:rPr>
        <w:t xml:space="preserve">מוצע ולהבהיר במפורש </w:t>
      </w:r>
      <w:r w:rsidRPr="00412484">
        <w:rPr>
          <w:rFonts w:ascii="David" w:hAnsi="David" w:hint="eastAsia"/>
          <w:sz w:val="26"/>
          <w:szCs w:val="26"/>
          <w:rtl/>
        </w:rPr>
        <w:t>בהוראה</w:t>
      </w:r>
      <w:r w:rsidRPr="00412484">
        <w:rPr>
          <w:rFonts w:ascii="David" w:hAnsi="David"/>
          <w:sz w:val="26"/>
          <w:szCs w:val="26"/>
          <w:rtl/>
        </w:rPr>
        <w:t xml:space="preserve"> זו כי תעודת הבריאות המלווה את המשלוח</w:t>
      </w:r>
      <w:r w:rsidRPr="006B1376">
        <w:rPr>
          <w:rFonts w:ascii="David" w:hAnsi="David" w:hint="cs"/>
          <w:sz w:val="26"/>
          <w:szCs w:val="26"/>
          <w:rtl/>
        </w:rPr>
        <w:t xml:space="preserve"> צריכה</w:t>
      </w:r>
      <w:r>
        <w:rPr>
          <w:rFonts w:ascii="David" w:hAnsi="David" w:hint="cs"/>
          <w:sz w:val="26"/>
          <w:szCs w:val="26"/>
          <w:rtl/>
        </w:rPr>
        <w:t xml:space="preserve"> לכלול פרטים מלאים ומדויקים בכל הנושאים המפורטים בה, וכי היא תכלול הצהרה של מדינת המקור על עמידת הטובין התנאים האמורים</w:t>
      </w:r>
      <w:r w:rsidRPr="00F858E5">
        <w:rPr>
          <w:rFonts w:ascii="David" w:hAnsi="David"/>
          <w:sz w:val="26"/>
          <w:szCs w:val="26"/>
          <w:rtl/>
        </w:rPr>
        <w:t xml:space="preserve">. </w:t>
      </w:r>
    </w:p>
    <w:p w14:paraId="44C5D356" w14:textId="77777777" w:rsidR="00273F99" w:rsidRPr="00F858E5" w:rsidRDefault="00273F99" w:rsidP="00273F99">
      <w:pPr>
        <w:pStyle w:val="Hesber1st"/>
        <w:tabs>
          <w:tab w:val="clear" w:pos="680"/>
        </w:tabs>
        <w:rPr>
          <w:rStyle w:val="Hyperlink"/>
          <w:rFonts w:ascii="David" w:hAnsi="David"/>
          <w:snapToGrid/>
          <w:sz w:val="26"/>
          <w:szCs w:val="20"/>
          <w:lang w:eastAsia="he-IL"/>
        </w:rPr>
      </w:pPr>
      <w:r w:rsidRPr="00F858E5">
        <w:rPr>
          <w:rFonts w:ascii="David" w:hAnsi="David"/>
          <w:sz w:val="26"/>
          <w:rtl/>
        </w:rPr>
        <w:t xml:space="preserve">בנוסף, מוצע להוסיף את </w:t>
      </w:r>
      <w:r>
        <w:rPr>
          <w:rFonts w:ascii="David" w:hAnsi="David" w:hint="cs"/>
          <w:sz w:val="26"/>
          <w:rtl/>
        </w:rPr>
        <w:t>תקנת משנה (ח)</w:t>
      </w:r>
      <w:r w:rsidRPr="00F858E5">
        <w:rPr>
          <w:rFonts w:ascii="David" w:hAnsi="David"/>
          <w:sz w:val="26"/>
          <w:rtl/>
        </w:rPr>
        <w:t>, הקובע</w:t>
      </w:r>
      <w:r>
        <w:rPr>
          <w:rFonts w:ascii="David" w:hAnsi="David" w:hint="cs"/>
          <w:sz w:val="26"/>
          <w:rtl/>
        </w:rPr>
        <w:t>ת</w:t>
      </w:r>
      <w:r w:rsidRPr="00F858E5">
        <w:rPr>
          <w:rFonts w:ascii="David" w:hAnsi="David"/>
          <w:sz w:val="26"/>
          <w:rtl/>
        </w:rPr>
        <w:t xml:space="preserve"> תנאי לתוקפה של תעודת בריאות, ביחס למשלוח של פירות או ירקות טריים המפורטים בתוספת הרביעית </w:t>
      </w:r>
      <w:r>
        <w:rPr>
          <w:rFonts w:ascii="David" w:hAnsi="David" w:hint="cs"/>
          <w:sz w:val="26"/>
          <w:rtl/>
        </w:rPr>
        <w:t>לפיו</w:t>
      </w:r>
      <w:r w:rsidRPr="00F858E5">
        <w:rPr>
          <w:rFonts w:ascii="David" w:hAnsi="David"/>
          <w:b/>
          <w:bCs/>
          <w:sz w:val="26"/>
          <w:rtl/>
        </w:rPr>
        <w:t xml:space="preserve"> השירותים להגנת הצומח בארץ המקור מסרו </w:t>
      </w:r>
      <w:r w:rsidRPr="00F858E5">
        <w:rPr>
          <w:rFonts w:ascii="David" w:hAnsi="David"/>
          <w:b/>
          <w:bCs/>
          <w:sz w:val="26"/>
          <w:rtl/>
        </w:rPr>
        <w:lastRenderedPageBreak/>
        <w:t>למנהל הודעה מוקדמת בכתב על עמידת המדינה בדרישות המפורטות בתוספת הרביעית, ביחס לאותו פרי או ירק</w:t>
      </w:r>
      <w:r w:rsidRPr="00F858E5">
        <w:rPr>
          <w:rFonts w:ascii="David" w:hAnsi="David"/>
          <w:sz w:val="26"/>
          <w:rtl/>
        </w:rPr>
        <w:t xml:space="preserve">. מדובר בדרישה מקובלת שמיושמת על ידי מדינות האיחוד האירופאי </w:t>
      </w:r>
      <w:r>
        <w:rPr>
          <w:rFonts w:ascii="David" w:hAnsi="David" w:hint="cs"/>
          <w:sz w:val="26"/>
          <w:rtl/>
        </w:rPr>
        <w:t xml:space="preserve">וכן על ידי בריטניה, כפי שמפורט בהרחבה במסמך </w:t>
      </w:r>
      <w:proofErr w:type="spellStart"/>
      <w:r>
        <w:rPr>
          <w:rFonts w:ascii="David" w:hAnsi="David" w:hint="cs"/>
          <w:sz w:val="26"/>
          <w:rtl/>
        </w:rPr>
        <w:t>הרי"ה</w:t>
      </w:r>
      <w:proofErr w:type="spellEnd"/>
      <w:r w:rsidRPr="00F858E5">
        <w:rPr>
          <w:rFonts w:ascii="David" w:hAnsi="David"/>
          <w:sz w:val="26"/>
          <w:rtl/>
        </w:rPr>
        <w:t xml:space="preserve"> (ראו </w:t>
      </w:r>
    </w:p>
    <w:p w14:paraId="74497503" w14:textId="77777777" w:rsidR="00273F99" w:rsidRPr="00F858E5" w:rsidRDefault="00024C93" w:rsidP="00273F99">
      <w:pPr>
        <w:pStyle w:val="Hesber1st"/>
        <w:tabs>
          <w:tab w:val="clear" w:pos="680"/>
        </w:tabs>
        <w:rPr>
          <w:rFonts w:ascii="David" w:hAnsi="David"/>
          <w:sz w:val="26"/>
          <w:rtl/>
        </w:rPr>
      </w:pPr>
      <w:hyperlink w:history="1">
        <w:r w:rsidR="00273F99" w:rsidRPr="00F858E5">
          <w:rPr>
            <w:rStyle w:val="Hyperlink"/>
            <w:rFonts w:ascii="David" w:hAnsi="David"/>
            <w:sz w:val="26"/>
          </w:rPr>
          <w:t>https://eur-lex.europa.eu/legal-content/en/ALL/?uri=CELEX:32017L1279</w:t>
        </w:r>
      </w:hyperlink>
      <w:r w:rsidR="00273F99" w:rsidRPr="00F858E5">
        <w:rPr>
          <w:rFonts w:ascii="David" w:hAnsi="David"/>
          <w:sz w:val="26"/>
          <w:rtl/>
        </w:rPr>
        <w:t xml:space="preserve">). </w:t>
      </w:r>
    </w:p>
    <w:p w14:paraId="411AEE13"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מטרת הדרישה, מעבר להצהרה הנעשית ביחס לכל משלוח ומשלוח ע"י המפקח בנמל היצוא בהתאם </w:t>
      </w:r>
      <w:r>
        <w:rPr>
          <w:rFonts w:ascii="David" w:hAnsi="David" w:hint="cs"/>
          <w:sz w:val="26"/>
          <w:rtl/>
        </w:rPr>
        <w:t xml:space="preserve">לנוסח ההצהרה </w:t>
      </w:r>
      <w:r w:rsidRPr="00F858E5">
        <w:rPr>
          <w:rFonts w:ascii="David" w:hAnsi="David"/>
          <w:sz w:val="26"/>
          <w:rtl/>
        </w:rPr>
        <w:t xml:space="preserve">המפורט בתוספת הרביעית, היא להבטיח שהמדינה עצמה, באופן רוחבי ועקבי ובאמצעות מערך גיבוי מתוכנן, מסוגלת לעמוד בדרישות התוספת הרביעית. השילוב של ההצהרה </w:t>
      </w:r>
      <w:r w:rsidRPr="009E3E94">
        <w:rPr>
          <w:rFonts w:ascii="David" w:hAnsi="David"/>
          <w:b/>
          <w:bCs/>
          <w:sz w:val="26"/>
          <w:rtl/>
        </w:rPr>
        <w:t>החד פעמית</w:t>
      </w:r>
      <w:r w:rsidRPr="00F858E5">
        <w:rPr>
          <w:rFonts w:ascii="David" w:hAnsi="David"/>
          <w:sz w:val="26"/>
          <w:rtl/>
        </w:rPr>
        <w:t xml:space="preserve"> של מדינת המקור (ביחס למוצרים הספציפיים המיובאים ממנה), עם הבדיקה השגרתית והחזותית של כל משלוח טרם יציאת</w:t>
      </w:r>
      <w:r>
        <w:rPr>
          <w:rFonts w:ascii="David" w:hAnsi="David" w:hint="cs"/>
          <w:sz w:val="26"/>
          <w:rtl/>
        </w:rPr>
        <w:t xml:space="preserve"> ממדינת המקור, אמורים לצמצם באופן </w:t>
      </w:r>
      <w:r w:rsidRPr="00F858E5">
        <w:rPr>
          <w:rFonts w:ascii="David" w:hAnsi="David"/>
          <w:sz w:val="26"/>
          <w:rtl/>
        </w:rPr>
        <w:t xml:space="preserve"> ניכר </w:t>
      </w:r>
      <w:r>
        <w:rPr>
          <w:rFonts w:ascii="David" w:hAnsi="David" w:hint="cs"/>
          <w:sz w:val="26"/>
          <w:rtl/>
        </w:rPr>
        <w:t>את</w:t>
      </w:r>
      <w:r w:rsidRPr="00F858E5">
        <w:rPr>
          <w:rFonts w:ascii="David" w:hAnsi="David"/>
          <w:sz w:val="26"/>
          <w:rtl/>
        </w:rPr>
        <w:t xml:space="preserve"> הסיכונים הנשקפים מהיבוא. </w:t>
      </w:r>
    </w:p>
    <w:p w14:paraId="412C1DA7" w14:textId="77777777" w:rsidR="00273F99" w:rsidRPr="00F858E5" w:rsidRDefault="00273F99" w:rsidP="00273F99">
      <w:pPr>
        <w:pStyle w:val="Hesber1st"/>
        <w:tabs>
          <w:tab w:val="clear" w:pos="680"/>
        </w:tabs>
        <w:rPr>
          <w:rFonts w:ascii="David" w:hAnsi="David"/>
          <w:sz w:val="26"/>
          <w:rtl/>
        </w:rPr>
      </w:pPr>
    </w:p>
    <w:p w14:paraId="547A65D6" w14:textId="77777777" w:rsidR="00273F99" w:rsidRPr="00F858E5" w:rsidRDefault="00273F99" w:rsidP="00273F99">
      <w:pPr>
        <w:pStyle w:val="Hesber1st"/>
        <w:tabs>
          <w:tab w:val="clear" w:pos="680"/>
        </w:tabs>
        <w:rPr>
          <w:rFonts w:ascii="David" w:hAnsi="David"/>
          <w:sz w:val="26"/>
          <w:rtl/>
        </w:rPr>
      </w:pPr>
      <w:r w:rsidRPr="00F858E5">
        <w:rPr>
          <w:rFonts w:ascii="David" w:hAnsi="David"/>
          <w:b/>
          <w:bCs/>
          <w:sz w:val="26"/>
          <w:rtl/>
        </w:rPr>
        <w:t>תקנה 5 – תיקון תקנה 6 לתקנות העיקריות בעניין הודעה על הגעת משלוח</w:t>
      </w:r>
    </w:p>
    <w:p w14:paraId="76A1983B" w14:textId="77777777" w:rsidR="00273F99" w:rsidRPr="00F858E5" w:rsidRDefault="00273F99" w:rsidP="00273F99">
      <w:pPr>
        <w:pStyle w:val="Hesber1st"/>
        <w:tabs>
          <w:tab w:val="clear" w:pos="680"/>
        </w:tabs>
        <w:rPr>
          <w:rFonts w:ascii="David" w:hAnsi="David"/>
          <w:b/>
          <w:bCs/>
          <w:sz w:val="26"/>
          <w:rtl/>
        </w:rPr>
      </w:pPr>
      <w:r w:rsidRPr="00F858E5">
        <w:rPr>
          <w:rFonts w:ascii="David" w:hAnsi="David"/>
          <w:sz w:val="26"/>
          <w:rtl/>
        </w:rPr>
        <w:t>תקנה 6 לתקנות העיקריות קובע</w:t>
      </w:r>
      <w:r>
        <w:rPr>
          <w:rFonts w:ascii="David" w:hAnsi="David" w:hint="cs"/>
          <w:sz w:val="26"/>
          <w:rtl/>
        </w:rPr>
        <w:t>ת</w:t>
      </w:r>
      <w:r w:rsidRPr="00F858E5">
        <w:rPr>
          <w:rFonts w:ascii="David" w:hAnsi="David"/>
          <w:sz w:val="26"/>
          <w:rtl/>
        </w:rPr>
        <w:t xml:space="preserve"> חובה על היבואן להודיע למפקח על הגעת משלוח לנמל היבוא. </w:t>
      </w:r>
      <w:r w:rsidRPr="00F858E5">
        <w:rPr>
          <w:rFonts w:ascii="David" w:hAnsi="David"/>
          <w:b/>
          <w:bCs/>
          <w:sz w:val="26"/>
          <w:rtl/>
        </w:rPr>
        <w:t>בתיקון מוצע לקבוע פרק זמן מזערי טרם הגעת המשלוח בו יידרש היבואן להודיע על הצפי להגעתו</w:t>
      </w:r>
      <w:r w:rsidRPr="00F858E5">
        <w:rPr>
          <w:rFonts w:ascii="David" w:hAnsi="David"/>
          <w:sz w:val="26"/>
          <w:rtl/>
        </w:rPr>
        <w:t>: לפחות 48 שעות טרם הגעת המשלוח לנמל ימי, ולפחות 24 שעות טרם הגעת המשלוח לנמל יבוא יבשתי או אווירי</w:t>
      </w:r>
      <w:r w:rsidRPr="00F858E5">
        <w:rPr>
          <w:rFonts w:ascii="David" w:hAnsi="David"/>
          <w:b/>
          <w:bCs/>
          <w:sz w:val="26"/>
          <w:rtl/>
        </w:rPr>
        <w:t xml:space="preserve">. </w:t>
      </w:r>
    </w:p>
    <w:p w14:paraId="305A194E" w14:textId="77777777" w:rsidR="00273F99" w:rsidRPr="00F858E5" w:rsidRDefault="00273F99" w:rsidP="00273F99">
      <w:pPr>
        <w:pStyle w:val="af3"/>
        <w:rPr>
          <w:rFonts w:ascii="David" w:eastAsia="Arial Unicode MS" w:hAnsi="David"/>
          <w:snapToGrid w:val="0"/>
          <w:sz w:val="26"/>
          <w:szCs w:val="26"/>
          <w:lang w:eastAsia="en-US"/>
        </w:rPr>
      </w:pPr>
      <w:r w:rsidRPr="00F858E5">
        <w:rPr>
          <w:rFonts w:ascii="David" w:eastAsia="Arial Unicode MS" w:hAnsi="David"/>
          <w:snapToGrid w:val="0"/>
          <w:sz w:val="26"/>
          <w:szCs w:val="26"/>
          <w:rtl/>
          <w:lang w:eastAsia="en-US"/>
        </w:rPr>
        <w:t xml:space="preserve">כבר כיום מדובר בפרקטיקה נוהגת אשר היבואנים עובדים </w:t>
      </w:r>
      <w:r w:rsidRPr="00FE5097">
        <w:rPr>
          <w:rFonts w:ascii="David" w:eastAsia="Arial Unicode MS" w:hAnsi="David"/>
          <w:snapToGrid w:val="0"/>
          <w:sz w:val="26"/>
          <w:szCs w:val="26"/>
          <w:rtl/>
          <w:lang w:eastAsia="en-US"/>
        </w:rPr>
        <w:t>לפיה, ואשר</w:t>
      </w:r>
      <w:r w:rsidRPr="00F858E5">
        <w:rPr>
          <w:rFonts w:ascii="David" w:eastAsia="Arial Unicode MS" w:hAnsi="David"/>
          <w:snapToGrid w:val="0"/>
          <w:sz w:val="26"/>
          <w:szCs w:val="26"/>
          <w:rtl/>
          <w:lang w:eastAsia="en-US"/>
        </w:rPr>
        <w:t xml:space="preserve"> ראוי לפרסמה באופן רשמי בתקנות לשם הגברת השקיפות והוודאות. </w:t>
      </w:r>
    </w:p>
    <w:p w14:paraId="0B898135" w14:textId="77777777" w:rsidR="00273F99" w:rsidRDefault="00273F99" w:rsidP="00273F99">
      <w:pPr>
        <w:pStyle w:val="Hesber1st"/>
        <w:tabs>
          <w:tab w:val="clear" w:pos="680"/>
        </w:tabs>
        <w:rPr>
          <w:rFonts w:ascii="David" w:hAnsi="David"/>
          <w:sz w:val="26"/>
          <w:rtl/>
        </w:rPr>
      </w:pPr>
      <w:r w:rsidRPr="00F858E5">
        <w:rPr>
          <w:rFonts w:ascii="David" w:hAnsi="David"/>
          <w:sz w:val="26"/>
          <w:rtl/>
        </w:rPr>
        <w:t xml:space="preserve">כמו כן, </w:t>
      </w:r>
      <w:r w:rsidRPr="00F858E5">
        <w:rPr>
          <w:rFonts w:ascii="David" w:hAnsi="David"/>
          <w:b/>
          <w:bCs/>
          <w:sz w:val="26"/>
          <w:rtl/>
        </w:rPr>
        <w:t>מוצע להבהיר כי הדיווח ייעשה באופן דיגיטלי</w:t>
      </w:r>
      <w:r w:rsidRPr="00F858E5">
        <w:rPr>
          <w:rFonts w:ascii="David" w:hAnsi="David"/>
          <w:sz w:val="26"/>
          <w:rtl/>
        </w:rPr>
        <w:t xml:space="preserve">. </w:t>
      </w:r>
    </w:p>
    <w:p w14:paraId="352E86C0" w14:textId="77777777" w:rsidR="00273F99" w:rsidRPr="00F858E5" w:rsidRDefault="00273F99" w:rsidP="00273F99">
      <w:pPr>
        <w:pStyle w:val="Hesber1st"/>
        <w:tabs>
          <w:tab w:val="clear" w:pos="680"/>
        </w:tabs>
        <w:rPr>
          <w:rFonts w:ascii="David" w:hAnsi="David"/>
          <w:sz w:val="26"/>
          <w:rtl/>
        </w:rPr>
      </w:pPr>
    </w:p>
    <w:p w14:paraId="54F44BF1" w14:textId="77777777" w:rsidR="00273F99" w:rsidRPr="00F858E5" w:rsidRDefault="00273F99" w:rsidP="00273F99">
      <w:pPr>
        <w:pStyle w:val="Hesber1st"/>
        <w:tabs>
          <w:tab w:val="clear" w:pos="680"/>
        </w:tabs>
        <w:rPr>
          <w:rFonts w:ascii="David" w:hAnsi="David"/>
          <w:sz w:val="26"/>
          <w:rtl/>
        </w:rPr>
      </w:pPr>
      <w:r w:rsidRPr="00F858E5">
        <w:rPr>
          <w:rFonts w:ascii="David" w:hAnsi="David"/>
          <w:b/>
          <w:bCs/>
          <w:sz w:val="26"/>
          <w:rtl/>
        </w:rPr>
        <w:t xml:space="preserve">תקנה 6 – תיקון תקנה 8 לתקנות העיקריות בעניין סמכויות מפקח לאחר בדיקה </w:t>
      </w:r>
    </w:p>
    <w:p w14:paraId="3B122E60"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תקנה 8 לתקנות העיקריות מונה את ההוראות השונות שרשאי מפקח להוראת לאחר בדיקת המשלוח בנמל, אם מצא שבמשלוח לא התקיימו הוראות התקנות או שאינו חופשי מנגעים. </w:t>
      </w:r>
    </w:p>
    <w:p w14:paraId="4389D9D7"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ב</w:t>
      </w:r>
      <w:r>
        <w:rPr>
          <w:rFonts w:ascii="David" w:hAnsi="David" w:hint="cs"/>
          <w:sz w:val="26"/>
          <w:rtl/>
        </w:rPr>
        <w:t xml:space="preserve">תקנת משנה (ב) </w:t>
      </w:r>
      <w:r w:rsidRPr="00F858E5">
        <w:rPr>
          <w:rFonts w:ascii="David" w:hAnsi="David"/>
          <w:sz w:val="26"/>
          <w:rtl/>
        </w:rPr>
        <w:t xml:space="preserve">נקבע כי אם מצא המפקח נגע הסגר, יורה ליבואן להשמידו או להוציאו אל מחוץ לגבולות המדינה. עם זאת, להוראה זו נקבע חריג </w:t>
      </w:r>
      <w:r>
        <w:rPr>
          <w:rFonts w:ascii="David" w:hAnsi="David" w:hint="cs"/>
          <w:sz w:val="26"/>
          <w:rtl/>
        </w:rPr>
        <w:t>בתקנת משנה (ג)</w:t>
      </w:r>
      <w:r w:rsidRPr="00F858E5">
        <w:rPr>
          <w:rFonts w:ascii="David" w:hAnsi="David"/>
          <w:sz w:val="26"/>
          <w:rtl/>
        </w:rPr>
        <w:t xml:space="preserve">, שלפיו למרות הכלל שנקבע </w:t>
      </w:r>
      <w:r>
        <w:rPr>
          <w:rFonts w:ascii="David" w:hAnsi="David" w:hint="cs"/>
          <w:sz w:val="26"/>
          <w:rtl/>
        </w:rPr>
        <w:t>בתקנת משנה (ב)</w:t>
      </w:r>
      <w:r w:rsidRPr="00F858E5">
        <w:rPr>
          <w:rFonts w:ascii="David" w:hAnsi="David"/>
          <w:sz w:val="26"/>
          <w:rtl/>
        </w:rPr>
        <w:t xml:space="preserve">, רשאי המנהל לבקשת יבואן להתיר את כניסת המשלוח, בטיפול ובתנאים שקבע. </w:t>
      </w:r>
    </w:p>
    <w:p w14:paraId="1A76D317" w14:textId="77777777" w:rsidR="00273F99" w:rsidRPr="00F858E5" w:rsidRDefault="00273F99" w:rsidP="00273F99">
      <w:pPr>
        <w:pStyle w:val="Hesber1st"/>
        <w:tabs>
          <w:tab w:val="clear" w:pos="680"/>
        </w:tabs>
        <w:rPr>
          <w:rFonts w:ascii="David" w:hAnsi="David"/>
          <w:b/>
          <w:bCs/>
          <w:sz w:val="26"/>
          <w:rtl/>
        </w:rPr>
      </w:pPr>
      <w:r w:rsidRPr="00F858E5">
        <w:rPr>
          <w:rFonts w:ascii="David" w:hAnsi="David"/>
          <w:sz w:val="26"/>
          <w:rtl/>
        </w:rPr>
        <w:t xml:space="preserve">לשם הבהרת מתחם שיקול הדעת של המנהל ביחס לממצא חמור ומסכן כגון נגע הסגר, </w:t>
      </w:r>
      <w:r w:rsidRPr="00412484">
        <w:rPr>
          <w:rFonts w:ascii="David" w:hAnsi="David"/>
          <w:sz w:val="26"/>
          <w:rtl/>
        </w:rPr>
        <w:t>מוצע להוסיף לשיקול הדעת של המנהל הוראה המצמצמת את שיקול דעתו ולפיה יהיה רשאי להפעיל סמכותו ולהתיר כניסת משלוח הנגוע בנגעי הסגר, רק אם מצא שיש טיפול יעיל  ומוכח להכחדת הנגע.</w:t>
      </w:r>
      <w:r w:rsidRPr="00F858E5">
        <w:rPr>
          <w:rFonts w:ascii="David" w:hAnsi="David"/>
          <w:b/>
          <w:bCs/>
          <w:sz w:val="26"/>
          <w:rtl/>
        </w:rPr>
        <w:t xml:space="preserve"> </w:t>
      </w:r>
    </w:p>
    <w:p w14:paraId="5B8CE5DB" w14:textId="77777777" w:rsidR="00273F99" w:rsidRPr="00F858E5" w:rsidRDefault="00273F99" w:rsidP="00273F99">
      <w:pPr>
        <w:pStyle w:val="Hesber1st"/>
        <w:tabs>
          <w:tab w:val="clear" w:pos="680"/>
        </w:tabs>
        <w:rPr>
          <w:rFonts w:ascii="David" w:hAnsi="David"/>
          <w:b/>
          <w:bCs/>
          <w:sz w:val="26"/>
          <w:rtl/>
        </w:rPr>
      </w:pPr>
    </w:p>
    <w:p w14:paraId="475AEDDB" w14:textId="77777777" w:rsidR="00273F99" w:rsidRPr="00F858E5" w:rsidRDefault="00273F99" w:rsidP="00273F99">
      <w:pPr>
        <w:pStyle w:val="Hesber1st"/>
        <w:tabs>
          <w:tab w:val="clear" w:pos="680"/>
        </w:tabs>
        <w:rPr>
          <w:rFonts w:ascii="David" w:hAnsi="David"/>
          <w:sz w:val="26"/>
          <w:rtl/>
        </w:rPr>
      </w:pPr>
      <w:r w:rsidRPr="00F858E5">
        <w:rPr>
          <w:rFonts w:ascii="David" w:hAnsi="David"/>
          <w:b/>
          <w:bCs/>
          <w:sz w:val="26"/>
          <w:rtl/>
        </w:rPr>
        <w:t>תקנה 7 – תיקון תקנה 12 לתקנות העיקריות בעניין חומרי אריזה ושינוע</w:t>
      </w:r>
    </w:p>
    <w:p w14:paraId="0663C899" w14:textId="77777777" w:rsidR="00273F99" w:rsidRPr="00F858E5" w:rsidRDefault="00273F99" w:rsidP="00273F99">
      <w:pPr>
        <w:pStyle w:val="Hesber1st"/>
        <w:tabs>
          <w:tab w:val="clear" w:pos="680"/>
        </w:tabs>
        <w:rPr>
          <w:rFonts w:ascii="David" w:hAnsi="David"/>
          <w:sz w:val="26"/>
          <w:rtl/>
        </w:rPr>
      </w:pPr>
      <w:r>
        <w:rPr>
          <w:rFonts w:ascii="David" w:hAnsi="David" w:hint="cs"/>
          <w:sz w:val="26"/>
          <w:rtl/>
        </w:rPr>
        <w:t>בתקנה 12(ג)</w:t>
      </w:r>
      <w:r w:rsidRPr="00F858E5">
        <w:rPr>
          <w:rFonts w:ascii="David" w:hAnsi="David"/>
          <w:sz w:val="26"/>
          <w:rtl/>
        </w:rPr>
        <w:t xml:space="preserve"> לתקנות העיקריות נקבע כי אין </w:t>
      </w:r>
      <w:proofErr w:type="spellStart"/>
      <w:r w:rsidRPr="00F858E5">
        <w:rPr>
          <w:rFonts w:ascii="David" w:hAnsi="David"/>
          <w:sz w:val="26"/>
          <w:rtl/>
        </w:rPr>
        <w:t>ליבא</w:t>
      </w:r>
      <w:proofErr w:type="spellEnd"/>
      <w:r w:rsidRPr="00F858E5">
        <w:rPr>
          <w:rFonts w:ascii="David" w:hAnsi="David"/>
          <w:sz w:val="26"/>
          <w:rtl/>
        </w:rPr>
        <w:t xml:space="preserve"> חומר ריבוי ועציץ צמח אלא בחומרי אריזה חדשים או בחומרי אריזה משומשים שטופלו באופן שאישר המנהל והטיפול יצוין בתעודת הבריאות.</w:t>
      </w:r>
    </w:p>
    <w:p w14:paraId="3D13477C" w14:textId="77777777" w:rsidR="00273F99" w:rsidRDefault="00273F99" w:rsidP="00273F99">
      <w:pPr>
        <w:pStyle w:val="Hesber1st"/>
        <w:tabs>
          <w:tab w:val="clear" w:pos="680"/>
        </w:tabs>
        <w:rPr>
          <w:rFonts w:ascii="David" w:hAnsi="David"/>
          <w:sz w:val="26"/>
          <w:rtl/>
        </w:rPr>
      </w:pPr>
      <w:r w:rsidRPr="00F858E5">
        <w:rPr>
          <w:rFonts w:ascii="David" w:hAnsi="David"/>
          <w:sz w:val="26"/>
          <w:rtl/>
        </w:rPr>
        <w:t>הלכה למעשה</w:t>
      </w:r>
      <w:r>
        <w:rPr>
          <w:rFonts w:ascii="David" w:hAnsi="David" w:hint="cs"/>
          <w:sz w:val="26"/>
          <w:rtl/>
        </w:rPr>
        <w:t xml:space="preserve">, המנהל אינו יכול </w:t>
      </w:r>
      <w:r w:rsidRPr="00F858E5">
        <w:rPr>
          <w:rFonts w:ascii="David" w:hAnsi="David"/>
          <w:sz w:val="26"/>
          <w:rtl/>
        </w:rPr>
        <w:t>לאשר את אופן הטיפול בחומרי האריזה המשומשים, משום שתעודת הבריאות מוצגת לו רק עם הגעת המשלוח ל</w:t>
      </w:r>
      <w:r>
        <w:rPr>
          <w:rFonts w:ascii="David" w:hAnsi="David" w:hint="cs"/>
          <w:sz w:val="26"/>
          <w:rtl/>
        </w:rPr>
        <w:t>ישראל</w:t>
      </w:r>
      <w:r w:rsidRPr="00F858E5">
        <w:rPr>
          <w:rFonts w:ascii="David" w:hAnsi="David"/>
          <w:sz w:val="26"/>
          <w:rtl/>
        </w:rPr>
        <w:t>. בנוסף, ניסיון העבר מלמד שאריזות משומשות מגיעות עם לכלוך ושאריות צמח, ונושא</w:t>
      </w:r>
      <w:r>
        <w:rPr>
          <w:rFonts w:ascii="David" w:hAnsi="David" w:hint="cs"/>
          <w:sz w:val="26"/>
          <w:rtl/>
        </w:rPr>
        <w:t>ות</w:t>
      </w:r>
      <w:r w:rsidRPr="00F858E5">
        <w:rPr>
          <w:rFonts w:ascii="David" w:hAnsi="David"/>
          <w:sz w:val="26"/>
          <w:rtl/>
        </w:rPr>
        <w:t xml:space="preserve"> סיכון מוגבר להכנסת נגעים. אלו לא בהכרח נגעים הספציפיים למוצר, ולכן לא ניתן לקבוע עבורם דרישות בהתאמה למוצר וההצהרה בתעודת הבריאות אינה רלוונטית לגביהם. יתרה מכך, מהמידע המתקבל מהעולם עולה כי תפיסות במוצרים מסוימים מקורן בנגעים שהתגלו באריזה </w:t>
      </w:r>
      <w:r w:rsidRPr="00F858E5">
        <w:rPr>
          <w:rFonts w:ascii="David" w:hAnsi="David"/>
          <w:sz w:val="26"/>
          <w:rtl/>
        </w:rPr>
        <w:lastRenderedPageBreak/>
        <w:t>ולא במוצר עצמו.</w:t>
      </w:r>
      <w:r>
        <w:rPr>
          <w:rFonts w:ascii="David" w:hAnsi="David" w:hint="cs"/>
          <w:sz w:val="26"/>
          <w:rtl/>
        </w:rPr>
        <w:t xml:space="preserve"> </w:t>
      </w:r>
    </w:p>
    <w:p w14:paraId="27AA38D7" w14:textId="77777777" w:rsidR="00273F99" w:rsidRPr="00412484" w:rsidRDefault="00273F99" w:rsidP="00273F99">
      <w:pPr>
        <w:pStyle w:val="Hesber1st"/>
        <w:tabs>
          <w:tab w:val="clear" w:pos="680"/>
        </w:tabs>
        <w:rPr>
          <w:rFonts w:ascii="David" w:hAnsi="David"/>
          <w:sz w:val="26"/>
          <w:rtl/>
        </w:rPr>
      </w:pPr>
      <w:r w:rsidRPr="00ED6F5B">
        <w:rPr>
          <w:rFonts w:ascii="David" w:hAnsi="David"/>
          <w:sz w:val="26"/>
          <w:rtl/>
        </w:rPr>
        <w:t>לפיכך</w:t>
      </w:r>
      <w:r w:rsidRPr="00412484">
        <w:rPr>
          <w:rFonts w:ascii="David" w:hAnsi="David"/>
          <w:sz w:val="26"/>
          <w:rtl/>
        </w:rPr>
        <w:t xml:space="preserve">, מוצע למחוק מההוראה את האפשרות לייבא באמצעות חומרי אריזה משומשים, ולהותיר את הדרישה לחומרי אריזה חדשים בלבד. </w:t>
      </w:r>
    </w:p>
    <w:p w14:paraId="48534CF2" w14:textId="77777777" w:rsidR="00273F99" w:rsidRPr="00F858E5" w:rsidRDefault="00273F99" w:rsidP="00273F99">
      <w:pPr>
        <w:pStyle w:val="Hesber1st"/>
        <w:tabs>
          <w:tab w:val="clear" w:pos="680"/>
        </w:tabs>
        <w:rPr>
          <w:rFonts w:ascii="David" w:hAnsi="David"/>
          <w:b/>
          <w:bCs/>
          <w:sz w:val="26"/>
          <w:rtl/>
        </w:rPr>
      </w:pPr>
      <w:r w:rsidRPr="00412484">
        <w:rPr>
          <w:rFonts w:ascii="David" w:hAnsi="David"/>
          <w:sz w:val="26"/>
          <w:rtl/>
        </w:rPr>
        <w:t xml:space="preserve">בהמשך לכך, מוצע לשנות את תחולת הסעיף כך שדרישת היבוא בחומרי אריזה חדשים תהיה ביחס לכל המשלוחים המיובאים, </w:t>
      </w:r>
      <w:r w:rsidRPr="00ED6F5B">
        <w:rPr>
          <w:rFonts w:ascii="David" w:hAnsi="David"/>
          <w:sz w:val="26"/>
          <w:rtl/>
        </w:rPr>
        <w:t xml:space="preserve">ולא רק </w:t>
      </w:r>
      <w:r>
        <w:rPr>
          <w:rFonts w:ascii="David" w:hAnsi="David" w:hint="cs"/>
          <w:sz w:val="26"/>
          <w:rtl/>
        </w:rPr>
        <w:t xml:space="preserve">למשלוחים של </w:t>
      </w:r>
      <w:r w:rsidRPr="00ED6F5B">
        <w:rPr>
          <w:rFonts w:ascii="David" w:hAnsi="David"/>
          <w:sz w:val="26"/>
          <w:rtl/>
        </w:rPr>
        <w:t>חומר</w:t>
      </w:r>
      <w:r>
        <w:rPr>
          <w:rFonts w:ascii="David" w:hAnsi="David" w:hint="cs"/>
          <w:sz w:val="26"/>
          <w:rtl/>
        </w:rPr>
        <w:t>י</w:t>
      </w:r>
      <w:r w:rsidRPr="00F858E5">
        <w:rPr>
          <w:rFonts w:ascii="David" w:hAnsi="David"/>
          <w:sz w:val="26"/>
          <w:rtl/>
        </w:rPr>
        <w:t xml:space="preserve"> ריבוי וצמחי עציץ. יצוין כי בבחינת המצב הנוהג כיום, הרי שכבר כיום 98% מהמשלוחים מגיעים כשהם ארוזים בחומרי אריזה חדשים, ועל כן אין מדובר בהכבדה ממשית. </w:t>
      </w:r>
    </w:p>
    <w:p w14:paraId="3EBBCCA3"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בנוסף, מוצע לתקן את </w:t>
      </w:r>
      <w:r>
        <w:rPr>
          <w:rFonts w:ascii="David" w:hAnsi="David" w:hint="cs"/>
          <w:sz w:val="26"/>
          <w:rtl/>
        </w:rPr>
        <w:t>תקנת משנה</w:t>
      </w:r>
      <w:r w:rsidRPr="00F858E5">
        <w:rPr>
          <w:rFonts w:ascii="David" w:hAnsi="David"/>
          <w:sz w:val="26"/>
          <w:rtl/>
        </w:rPr>
        <w:t xml:space="preserve"> (ד), באופן שיבהיר כי </w:t>
      </w:r>
      <w:r w:rsidRPr="00F858E5">
        <w:rPr>
          <w:rFonts w:ascii="David" w:hAnsi="David"/>
          <w:b/>
          <w:bCs/>
          <w:sz w:val="26"/>
          <w:rtl/>
        </w:rPr>
        <w:t>החובה הקבועה בו, לפיה אריזת עץ תסומן בסימון לפי תקן בינלאומי, חלה גם על אריזת עץ כשלעצמן</w:t>
      </w:r>
      <w:r w:rsidRPr="00F858E5">
        <w:rPr>
          <w:rFonts w:ascii="David" w:hAnsi="David"/>
          <w:sz w:val="26"/>
          <w:rtl/>
        </w:rPr>
        <w:t xml:space="preserve"> ולא רק על טובין המיובא</w:t>
      </w:r>
      <w:r>
        <w:rPr>
          <w:rFonts w:ascii="David" w:hAnsi="David" w:hint="cs"/>
          <w:sz w:val="26"/>
          <w:rtl/>
        </w:rPr>
        <w:t>ים</w:t>
      </w:r>
      <w:r w:rsidRPr="00F858E5">
        <w:rPr>
          <w:rFonts w:ascii="David" w:hAnsi="David"/>
          <w:sz w:val="26"/>
          <w:rtl/>
        </w:rPr>
        <w:t xml:space="preserve"> בתוך אריזת עץ. זה הכלל הנוהג כיום, אולם לשם בהירות הנוסח, מוצע להוסיף את המילים "אריזות עץ" לתקנה.  </w:t>
      </w:r>
    </w:p>
    <w:p w14:paraId="45A65232" w14:textId="77777777" w:rsidR="00273F99" w:rsidRPr="00F858E5" w:rsidRDefault="00273F99" w:rsidP="00273F99">
      <w:pPr>
        <w:pStyle w:val="Hesber1st"/>
        <w:tabs>
          <w:tab w:val="clear" w:pos="680"/>
        </w:tabs>
        <w:rPr>
          <w:rFonts w:ascii="David" w:hAnsi="David"/>
          <w:sz w:val="26"/>
          <w:rtl/>
        </w:rPr>
      </w:pPr>
    </w:p>
    <w:p w14:paraId="18AC1EDC" w14:textId="77777777" w:rsidR="00273F99" w:rsidRPr="00F858E5" w:rsidRDefault="00273F99" w:rsidP="00273F99">
      <w:pPr>
        <w:pStyle w:val="Hesber1st"/>
        <w:tabs>
          <w:tab w:val="clear" w:pos="680"/>
        </w:tabs>
        <w:rPr>
          <w:rFonts w:ascii="David" w:hAnsi="David"/>
          <w:sz w:val="26"/>
          <w:rtl/>
        </w:rPr>
      </w:pPr>
      <w:r w:rsidRPr="00F858E5">
        <w:rPr>
          <w:rFonts w:ascii="David" w:hAnsi="David"/>
          <w:b/>
          <w:bCs/>
          <w:sz w:val="26"/>
          <w:rtl/>
        </w:rPr>
        <w:t>תקנה 8 – החלפת תקנה 16 לתקנות העיקריות בעניין חומרי אריזה ושינוע</w:t>
      </w:r>
    </w:p>
    <w:p w14:paraId="1E289778" w14:textId="77777777" w:rsidR="00273F99" w:rsidRPr="00F858E5" w:rsidRDefault="00273F99" w:rsidP="00273F99">
      <w:pPr>
        <w:pStyle w:val="Hesber1st"/>
        <w:tabs>
          <w:tab w:val="clear" w:pos="680"/>
        </w:tabs>
        <w:rPr>
          <w:rFonts w:ascii="David" w:hAnsi="David"/>
          <w:snapToGrid/>
          <w:sz w:val="26"/>
          <w:rtl/>
        </w:rPr>
      </w:pPr>
      <w:r>
        <w:rPr>
          <w:rFonts w:ascii="David" w:hAnsi="David" w:hint="cs"/>
          <w:sz w:val="26"/>
          <w:rtl/>
        </w:rPr>
        <w:t>מוצע להחליף את נוסח תקנה 16 לתקנות העיקריות, הקובעת עבירה בנוסח רחב שאינו מקובל כיום בחקיקה, ולהחליפה בהוראות עדכניות כמחייב מההסדרים החדשים המוצעים לפי החלטה 213.</w:t>
      </w:r>
    </w:p>
    <w:p w14:paraId="16479D41" w14:textId="77777777" w:rsidR="00273F99" w:rsidRPr="00F858E5" w:rsidRDefault="00273F99" w:rsidP="00273F99">
      <w:pPr>
        <w:pStyle w:val="Hesber1st"/>
        <w:tabs>
          <w:tab w:val="clear" w:pos="680"/>
        </w:tabs>
        <w:rPr>
          <w:rFonts w:ascii="David" w:hAnsi="David"/>
          <w:sz w:val="26"/>
          <w:rtl/>
        </w:rPr>
      </w:pPr>
    </w:p>
    <w:p w14:paraId="5468851A" w14:textId="77777777" w:rsidR="00273F99" w:rsidRPr="00F858E5" w:rsidRDefault="00273F99" w:rsidP="00273F99">
      <w:pPr>
        <w:pStyle w:val="Hesber1st"/>
        <w:tabs>
          <w:tab w:val="clear" w:pos="680"/>
        </w:tabs>
        <w:rPr>
          <w:rFonts w:ascii="David" w:hAnsi="David"/>
          <w:sz w:val="26"/>
          <w:u w:val="single"/>
          <w:rtl/>
        </w:rPr>
      </w:pPr>
      <w:r w:rsidRPr="00F858E5">
        <w:rPr>
          <w:rFonts w:ascii="David" w:hAnsi="David"/>
          <w:b/>
          <w:bCs/>
          <w:sz w:val="26"/>
          <w:rtl/>
        </w:rPr>
        <w:t>תקנה 9 –תיקון התוספת הראשונה</w:t>
      </w:r>
    </w:p>
    <w:p w14:paraId="48C72304"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בתוספת הראשונה לתקנות העיקריות מנויים סוגי טיפולים למניעת חדירת נגעים. </w:t>
      </w:r>
      <w:r w:rsidRPr="00F858E5">
        <w:rPr>
          <w:rFonts w:ascii="David" w:hAnsi="David"/>
          <w:b/>
          <w:bCs/>
          <w:sz w:val="26"/>
          <w:rtl/>
        </w:rPr>
        <w:t>מבוקש לתקן את הסעיף של טיפול במים חמים ולהרחיבו למספר טיפולי חום אפשריים</w:t>
      </w:r>
      <w:r w:rsidRPr="00F858E5">
        <w:rPr>
          <w:rFonts w:ascii="David" w:hAnsi="David"/>
          <w:sz w:val="26"/>
          <w:rtl/>
        </w:rPr>
        <w:t xml:space="preserve"> (מים ח</w:t>
      </w:r>
      <w:r>
        <w:rPr>
          <w:rFonts w:ascii="David" w:hAnsi="David" w:hint="cs"/>
          <w:sz w:val="26"/>
          <w:rtl/>
        </w:rPr>
        <w:t>מ</w:t>
      </w:r>
      <w:r w:rsidRPr="00F858E5">
        <w:rPr>
          <w:rFonts w:ascii="David" w:hAnsi="David"/>
          <w:sz w:val="26"/>
          <w:rtl/>
        </w:rPr>
        <w:t xml:space="preserve">ים, וכן חום קיטור וחום יבש).  </w:t>
      </w:r>
    </w:p>
    <w:p w14:paraId="1A9731DD" w14:textId="77777777" w:rsidR="00273F99" w:rsidRPr="00F858E5" w:rsidRDefault="00273F99" w:rsidP="00273F99">
      <w:pPr>
        <w:pStyle w:val="Hesber1st"/>
        <w:tabs>
          <w:tab w:val="clear" w:pos="680"/>
        </w:tabs>
        <w:rPr>
          <w:rFonts w:ascii="David" w:hAnsi="David"/>
          <w:sz w:val="26"/>
          <w:u w:val="single"/>
          <w:rtl/>
        </w:rPr>
      </w:pPr>
    </w:p>
    <w:p w14:paraId="3560A3DB" w14:textId="77777777" w:rsidR="00273F99" w:rsidRPr="00F858E5" w:rsidRDefault="00273F99" w:rsidP="00273F99">
      <w:pPr>
        <w:pStyle w:val="Hesber1st"/>
        <w:tabs>
          <w:tab w:val="clear" w:pos="680"/>
        </w:tabs>
        <w:rPr>
          <w:rFonts w:ascii="David" w:hAnsi="David"/>
          <w:b/>
          <w:bCs/>
          <w:sz w:val="26"/>
          <w:rtl/>
        </w:rPr>
      </w:pPr>
      <w:r w:rsidRPr="00F858E5">
        <w:rPr>
          <w:rFonts w:ascii="David" w:hAnsi="David"/>
          <w:b/>
          <w:bCs/>
          <w:sz w:val="26"/>
          <w:rtl/>
        </w:rPr>
        <w:t xml:space="preserve">תקנה 10 – החלפת התוספת </w:t>
      </w:r>
      <w:proofErr w:type="spellStart"/>
      <w:r w:rsidRPr="00F858E5">
        <w:rPr>
          <w:rFonts w:ascii="David" w:hAnsi="David"/>
          <w:b/>
          <w:bCs/>
          <w:sz w:val="26"/>
          <w:rtl/>
        </w:rPr>
        <w:t>השניה</w:t>
      </w:r>
      <w:proofErr w:type="spellEnd"/>
      <w:r w:rsidRPr="00F858E5">
        <w:rPr>
          <w:rFonts w:ascii="David" w:hAnsi="David"/>
          <w:b/>
          <w:bCs/>
          <w:sz w:val="26"/>
          <w:rtl/>
        </w:rPr>
        <w:t xml:space="preserve"> לתקנות העיקריות </w:t>
      </w:r>
    </w:p>
    <w:p w14:paraId="577AE7B7"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הגדרת "נגע הסגר" לפי תקנה 1 לתקנות העיקריות </w:t>
      </w:r>
      <w:r>
        <w:rPr>
          <w:rFonts w:ascii="David" w:hAnsi="David" w:hint="cs"/>
          <w:sz w:val="26"/>
          <w:rtl/>
        </w:rPr>
        <w:t xml:space="preserve">כוללת </w:t>
      </w:r>
      <w:r w:rsidRPr="00F858E5">
        <w:rPr>
          <w:rFonts w:ascii="David" w:hAnsi="David"/>
          <w:sz w:val="26"/>
          <w:rtl/>
        </w:rPr>
        <w:t xml:space="preserve">"נגע מן הנגעים המפורטים בתוספת </w:t>
      </w:r>
      <w:proofErr w:type="spellStart"/>
      <w:r w:rsidRPr="00F858E5">
        <w:rPr>
          <w:rFonts w:ascii="David" w:hAnsi="David"/>
          <w:sz w:val="26"/>
          <w:rtl/>
        </w:rPr>
        <w:t>השניה</w:t>
      </w:r>
      <w:proofErr w:type="spellEnd"/>
      <w:r w:rsidRPr="00F858E5">
        <w:rPr>
          <w:rFonts w:ascii="David" w:hAnsi="David"/>
          <w:sz w:val="26"/>
          <w:rtl/>
        </w:rPr>
        <w:t xml:space="preserve"> וכל נגע אחר שאינו קיים בישראל או לא התבסס בה".</w:t>
      </w:r>
    </w:p>
    <w:p w14:paraId="21184B8C"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מאז התקנת התקנות ב-2009 נוספו ונגרעו מהרשימה המפורסמת בתוספת </w:t>
      </w:r>
      <w:proofErr w:type="spellStart"/>
      <w:r w:rsidRPr="00F858E5">
        <w:rPr>
          <w:rFonts w:ascii="David" w:hAnsi="David"/>
          <w:sz w:val="26"/>
          <w:rtl/>
        </w:rPr>
        <w:t>השניה</w:t>
      </w:r>
      <w:proofErr w:type="spellEnd"/>
      <w:r w:rsidRPr="00F858E5">
        <w:rPr>
          <w:rFonts w:ascii="David" w:hAnsi="David"/>
          <w:sz w:val="26"/>
          <w:rtl/>
        </w:rPr>
        <w:t xml:space="preserve"> נגעים, ועל כן יש צורך בעדכונה. הצורך בעדכון נובע בעיקר משינויים בתפוצת נגעים בארץ ובעולם, מידע חדש אודות נגעים לצומח ושינויים טקסונומיים בשמות נגעים.</w:t>
      </w:r>
    </w:p>
    <w:p w14:paraId="3C16FB33"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נוסף על הצורך בעדכון בשל חלוף הזמן, גם שינוי ברירת המחדל ליבוא פירות וירקות מוביל לצורך בעדכון. בעקבות השינוי כאמור יתאפשר יבוא של מוצרים מסוימים שעבורם טרם נקבעו דרישות קונקרטיות, וכך תיכנס לארץ תוצרת חדשה או ממדינת מקור חדשה ללא הידברות מקדימה עם מדינת המקור לעניין הסיכון הפוטנציאלי ביבוא החדש. לכן יש חשיבות יתרה לעדכן את הרשימה.</w:t>
      </w:r>
    </w:p>
    <w:p w14:paraId="58AF95FD" w14:textId="77777777" w:rsidR="00273F99" w:rsidRPr="00F858E5" w:rsidRDefault="00273F99" w:rsidP="00273F99">
      <w:pPr>
        <w:pStyle w:val="Hesber1st"/>
        <w:tabs>
          <w:tab w:val="clear" w:pos="680"/>
        </w:tabs>
        <w:rPr>
          <w:rFonts w:ascii="David" w:hAnsi="David"/>
          <w:sz w:val="26"/>
          <w:rtl/>
        </w:rPr>
      </w:pPr>
    </w:p>
    <w:p w14:paraId="6319E92B" w14:textId="77777777" w:rsidR="00273F99" w:rsidRPr="00F858E5" w:rsidRDefault="00273F99" w:rsidP="00273F99">
      <w:pPr>
        <w:pStyle w:val="Hesber1st"/>
        <w:tabs>
          <w:tab w:val="clear" w:pos="680"/>
        </w:tabs>
        <w:rPr>
          <w:rFonts w:ascii="David" w:hAnsi="David"/>
          <w:b/>
          <w:bCs/>
          <w:sz w:val="26"/>
          <w:rtl/>
        </w:rPr>
      </w:pPr>
      <w:r w:rsidRPr="00F858E5">
        <w:rPr>
          <w:rFonts w:ascii="David" w:hAnsi="David"/>
          <w:b/>
          <w:bCs/>
          <w:sz w:val="26"/>
          <w:rtl/>
        </w:rPr>
        <w:t xml:space="preserve">תקנה 11 – החלפת התוספת השלישית לתקנות העיקריות </w:t>
      </w:r>
    </w:p>
    <w:p w14:paraId="741303CA"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בתוספת השלישית מפורטים טובין, אשר עליהם לא חל הכלל הקבוע בתקנות העיקריות ומחייב רישיון כתנאי ליבוא. טובין אלו מותרים ביבוא בצירוף תעודת מקור בלבד</w:t>
      </w:r>
      <w:r>
        <w:rPr>
          <w:rFonts w:ascii="David" w:hAnsi="David" w:hint="cs"/>
          <w:sz w:val="26"/>
          <w:rtl/>
        </w:rPr>
        <w:t xml:space="preserve">, כלומר </w:t>
      </w:r>
      <w:r w:rsidRPr="00F858E5">
        <w:rPr>
          <w:rFonts w:ascii="David" w:hAnsi="David"/>
          <w:sz w:val="26"/>
          <w:rtl/>
        </w:rPr>
        <w:t>ללא חובת הצגת רישיון ואף ללא חובת הצגת תעודת בריאות. מוצע להחליף את התוספת שנקבעה בעת התק</w:t>
      </w:r>
      <w:r>
        <w:rPr>
          <w:rFonts w:ascii="David" w:hAnsi="David" w:hint="cs"/>
          <w:sz w:val="26"/>
          <w:rtl/>
        </w:rPr>
        <w:t>נ</w:t>
      </w:r>
      <w:r w:rsidRPr="00F858E5">
        <w:rPr>
          <w:rFonts w:ascii="David" w:hAnsi="David"/>
          <w:sz w:val="26"/>
          <w:rtl/>
        </w:rPr>
        <w:t xml:space="preserve">ת התקנות העיקריות בשנת 2009, ולהחליפה בתוספת רחבה ומפורטת יותר של מוצרים אשר פטורים מדרישת תעודת הבריאות. </w:t>
      </w:r>
    </w:p>
    <w:p w14:paraId="18854F2D" w14:textId="77777777" w:rsidR="00273F99" w:rsidRPr="00F858E5" w:rsidRDefault="00273F99" w:rsidP="00273F99">
      <w:pPr>
        <w:pStyle w:val="Hesber1st"/>
        <w:tabs>
          <w:tab w:val="clear" w:pos="680"/>
        </w:tabs>
        <w:rPr>
          <w:rFonts w:ascii="David" w:hAnsi="David"/>
          <w:sz w:val="26"/>
          <w:rtl/>
        </w:rPr>
      </w:pPr>
    </w:p>
    <w:p w14:paraId="4D3B2F50" w14:textId="77777777" w:rsidR="00273F99" w:rsidRPr="00F858E5" w:rsidRDefault="00273F99" w:rsidP="00273F99">
      <w:pPr>
        <w:pStyle w:val="Hesber1st"/>
        <w:tabs>
          <w:tab w:val="clear" w:pos="680"/>
        </w:tabs>
        <w:rPr>
          <w:rFonts w:ascii="David" w:hAnsi="David"/>
          <w:b/>
          <w:bCs/>
          <w:sz w:val="26"/>
          <w:rtl/>
        </w:rPr>
      </w:pPr>
      <w:r w:rsidRPr="00F858E5">
        <w:rPr>
          <w:rFonts w:ascii="David" w:hAnsi="David"/>
          <w:b/>
          <w:bCs/>
          <w:sz w:val="26"/>
          <w:rtl/>
        </w:rPr>
        <w:t xml:space="preserve">תקנה </w:t>
      </w:r>
      <w:r>
        <w:rPr>
          <w:rFonts w:ascii="David" w:hAnsi="David" w:hint="cs"/>
          <w:b/>
          <w:bCs/>
          <w:sz w:val="26"/>
          <w:rtl/>
        </w:rPr>
        <w:t>12</w:t>
      </w:r>
      <w:r w:rsidRPr="00F858E5">
        <w:rPr>
          <w:rFonts w:ascii="David" w:hAnsi="David"/>
          <w:b/>
          <w:bCs/>
          <w:sz w:val="26"/>
          <w:rtl/>
        </w:rPr>
        <w:t xml:space="preserve"> – תיקון התוספת השביעית לתקנות העיקריות </w:t>
      </w:r>
    </w:p>
    <w:p w14:paraId="7292F237"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לפי תקנה 10 לתקנות, אין לייבא טובין המפורטים בתוספת השביעית. </w:t>
      </w:r>
    </w:p>
    <w:p w14:paraId="0A63263D"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מוצע לתקן את חלק 3 לתוספת זו, שקובעת מוצרים האסורים בייבוא. בחלק זה נכל</w:t>
      </w:r>
      <w:r>
        <w:rPr>
          <w:rFonts w:ascii="David" w:hAnsi="David"/>
          <w:sz w:val="26"/>
          <w:rtl/>
        </w:rPr>
        <w:t xml:space="preserve">לים אדמה </w:t>
      </w:r>
      <w:proofErr w:type="spellStart"/>
      <w:r>
        <w:rPr>
          <w:rFonts w:ascii="David" w:hAnsi="David"/>
          <w:sz w:val="26"/>
          <w:rtl/>
        </w:rPr>
        <w:t>וקומפוסט</w:t>
      </w:r>
      <w:proofErr w:type="spellEnd"/>
      <w:r>
        <w:rPr>
          <w:rFonts w:ascii="David" w:hAnsi="David"/>
          <w:sz w:val="26"/>
          <w:rtl/>
        </w:rPr>
        <w:t>, מהם מוצע להמ</w:t>
      </w:r>
      <w:r w:rsidRPr="00F858E5">
        <w:rPr>
          <w:rFonts w:ascii="David" w:hAnsi="David"/>
          <w:sz w:val="26"/>
          <w:rtl/>
        </w:rPr>
        <w:t>ע</w:t>
      </w:r>
      <w:r>
        <w:rPr>
          <w:rFonts w:ascii="David" w:hAnsi="David" w:hint="cs"/>
          <w:sz w:val="26"/>
          <w:rtl/>
        </w:rPr>
        <w:t>י</w:t>
      </w:r>
      <w:r w:rsidRPr="00F858E5">
        <w:rPr>
          <w:rFonts w:ascii="David" w:hAnsi="David"/>
          <w:sz w:val="26"/>
          <w:rtl/>
        </w:rPr>
        <w:t>ט</w:t>
      </w:r>
      <w:r>
        <w:rPr>
          <w:rFonts w:ascii="David" w:hAnsi="David"/>
          <w:sz w:val="26"/>
          <w:rtl/>
        </w:rPr>
        <w:t xml:space="preserve"> חו</w:t>
      </w:r>
      <w:r>
        <w:rPr>
          <w:rFonts w:ascii="David" w:hAnsi="David" w:hint="cs"/>
          <w:sz w:val="26"/>
          <w:rtl/>
        </w:rPr>
        <w:t>ל</w:t>
      </w:r>
      <w:r w:rsidRPr="00F858E5">
        <w:rPr>
          <w:rFonts w:ascii="David" w:hAnsi="David"/>
          <w:sz w:val="26"/>
          <w:rtl/>
        </w:rPr>
        <w:t xml:space="preserve"> סיליק</w:t>
      </w:r>
      <w:r>
        <w:rPr>
          <w:rFonts w:ascii="David" w:hAnsi="David"/>
          <w:sz w:val="26"/>
          <w:rtl/>
        </w:rPr>
        <w:t>ה (קרי, יבואו מותר). בנוסף, מוצ</w:t>
      </w:r>
      <w:r>
        <w:rPr>
          <w:rFonts w:ascii="David" w:hAnsi="David" w:hint="cs"/>
          <w:sz w:val="26"/>
          <w:rtl/>
        </w:rPr>
        <w:t>ע</w:t>
      </w:r>
      <w:r w:rsidRPr="00F858E5">
        <w:rPr>
          <w:rFonts w:ascii="David" w:hAnsi="David"/>
          <w:sz w:val="26"/>
          <w:rtl/>
        </w:rPr>
        <w:t xml:space="preserve"> להחליף את סע</w:t>
      </w:r>
      <w:r>
        <w:rPr>
          <w:rFonts w:ascii="David" w:hAnsi="David" w:hint="cs"/>
          <w:sz w:val="26"/>
          <w:rtl/>
        </w:rPr>
        <w:t>י</w:t>
      </w:r>
      <w:r w:rsidRPr="00F858E5">
        <w:rPr>
          <w:rFonts w:ascii="David" w:hAnsi="David"/>
          <w:sz w:val="26"/>
          <w:rtl/>
        </w:rPr>
        <w:t>ף קטן 3 לחלק 3, ולפרט מהם האורגניזמים שיבואם אסור.</w:t>
      </w:r>
    </w:p>
    <w:p w14:paraId="18BEA830" w14:textId="77777777" w:rsidR="00273F99" w:rsidRPr="00F858E5" w:rsidRDefault="00273F99" w:rsidP="00273F99">
      <w:pPr>
        <w:pStyle w:val="Hesber1st"/>
        <w:tabs>
          <w:tab w:val="clear" w:pos="680"/>
        </w:tabs>
        <w:rPr>
          <w:rFonts w:ascii="David" w:hAnsi="David"/>
          <w:b/>
          <w:bCs/>
          <w:sz w:val="26"/>
          <w:rtl/>
        </w:rPr>
      </w:pPr>
    </w:p>
    <w:p w14:paraId="6546EB7D" w14:textId="77777777" w:rsidR="00273F99" w:rsidRPr="00F858E5" w:rsidRDefault="00273F99" w:rsidP="00273F99">
      <w:pPr>
        <w:pStyle w:val="Hesber1st"/>
        <w:tabs>
          <w:tab w:val="clear" w:pos="680"/>
        </w:tabs>
        <w:rPr>
          <w:rFonts w:ascii="David" w:hAnsi="David"/>
          <w:b/>
          <w:bCs/>
          <w:sz w:val="26"/>
          <w:rtl/>
        </w:rPr>
      </w:pPr>
      <w:r w:rsidRPr="00F858E5">
        <w:rPr>
          <w:rFonts w:ascii="David" w:hAnsi="David"/>
          <w:b/>
          <w:bCs/>
          <w:sz w:val="26"/>
          <w:rtl/>
        </w:rPr>
        <w:t xml:space="preserve">תקנה </w:t>
      </w:r>
      <w:r>
        <w:rPr>
          <w:rFonts w:ascii="David" w:hAnsi="David" w:hint="cs"/>
          <w:b/>
          <w:bCs/>
          <w:sz w:val="26"/>
          <w:rtl/>
        </w:rPr>
        <w:t>13</w:t>
      </w:r>
      <w:r w:rsidRPr="00F858E5">
        <w:rPr>
          <w:rFonts w:ascii="David" w:hAnsi="David"/>
          <w:b/>
          <w:bCs/>
          <w:sz w:val="26"/>
          <w:rtl/>
        </w:rPr>
        <w:t xml:space="preserve"> – הוספת התוספת העשירית  </w:t>
      </w:r>
    </w:p>
    <w:p w14:paraId="6CC50122" w14:textId="77777777" w:rsidR="00273F99" w:rsidRPr="00F858E5" w:rsidRDefault="00273F99" w:rsidP="00273F99">
      <w:pPr>
        <w:pStyle w:val="Hesber1st"/>
        <w:tabs>
          <w:tab w:val="clear" w:pos="680"/>
        </w:tabs>
        <w:rPr>
          <w:rFonts w:ascii="David" w:hAnsi="David"/>
          <w:sz w:val="26"/>
          <w:rtl/>
        </w:rPr>
      </w:pPr>
      <w:r w:rsidRPr="00F858E5">
        <w:rPr>
          <w:rFonts w:ascii="David" w:hAnsi="David"/>
          <w:sz w:val="26"/>
          <w:rtl/>
        </w:rPr>
        <w:t xml:space="preserve">כמפורט בנוסח המוצע להוספת תקנה 2א(ז), רשאי מי שנתן הוראה למניעת יבוא, להתיר יבוא תוך התנייתו בתנאים מסוימים. בתוספת העשירית מפורטים התנאים להתרת יבוא של מוצר שניתנה לגביו הוראת מניעת יבוא. מדובר בדרישות מקצועיות שיש בהן כדי להפחית את החשש, גם במקרה שהתגלה נגע חדש במדינת היעד המהווה סכנה לצומח בישראל. </w:t>
      </w:r>
    </w:p>
    <w:p w14:paraId="5CC976AD" w14:textId="77777777" w:rsidR="00273F99" w:rsidRPr="00F858E5" w:rsidRDefault="00273F99" w:rsidP="00273F99">
      <w:pPr>
        <w:pStyle w:val="Hesber1st"/>
        <w:tabs>
          <w:tab w:val="clear" w:pos="680"/>
        </w:tabs>
        <w:rPr>
          <w:rFonts w:ascii="David" w:hAnsi="David"/>
          <w:sz w:val="26"/>
          <w:highlight w:val="yellow"/>
          <w:rtl/>
        </w:rPr>
      </w:pPr>
      <w:r w:rsidRPr="00F858E5">
        <w:rPr>
          <w:rFonts w:ascii="David" w:hAnsi="David"/>
          <w:sz w:val="26"/>
          <w:rtl/>
        </w:rPr>
        <w:t xml:space="preserve">הדרישות האפשרויות שמנויות בתוספת זו הן דרישות שמדינה תצטרך להוכיח שהיא עומדת בה על מנת שתוכל להמשיך לייצא אלינו את המוצר </w:t>
      </w:r>
      <w:r>
        <w:rPr>
          <w:rFonts w:ascii="David" w:hAnsi="David" w:hint="cs"/>
          <w:sz w:val="26"/>
          <w:rtl/>
        </w:rPr>
        <w:t>בתנאים שנקבעו</w:t>
      </w:r>
      <w:r w:rsidRPr="00F858E5">
        <w:rPr>
          <w:rFonts w:ascii="David" w:hAnsi="David"/>
          <w:sz w:val="26"/>
          <w:rtl/>
        </w:rPr>
        <w:t xml:space="preserve"> </w:t>
      </w:r>
      <w:r>
        <w:rPr>
          <w:rFonts w:ascii="David" w:hAnsi="David" w:hint="cs"/>
          <w:sz w:val="26"/>
          <w:rtl/>
        </w:rPr>
        <w:t>ב</w:t>
      </w:r>
      <w:r w:rsidRPr="00F858E5">
        <w:rPr>
          <w:rFonts w:ascii="David" w:hAnsi="David"/>
          <w:sz w:val="26"/>
          <w:rtl/>
        </w:rPr>
        <w:t>הוראת החירום.</w:t>
      </w:r>
    </w:p>
    <w:p w14:paraId="37DAB878" w14:textId="77777777" w:rsidR="00273F99" w:rsidRPr="00F858E5" w:rsidRDefault="00273F99" w:rsidP="00273F99">
      <w:pPr>
        <w:pStyle w:val="Hesber1st"/>
        <w:tabs>
          <w:tab w:val="clear" w:pos="680"/>
        </w:tabs>
        <w:rPr>
          <w:rFonts w:ascii="David" w:hAnsi="David"/>
          <w:b/>
          <w:bCs/>
          <w:sz w:val="26"/>
          <w:rtl/>
        </w:rPr>
      </w:pPr>
    </w:p>
    <w:sectPr w:rsidR="00273F99" w:rsidRPr="00F858E5" w:rsidSect="002C2052">
      <w:pgSz w:w="11906" w:h="16838"/>
      <w:pgMar w:top="1701" w:right="1134" w:bottom="1417"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A0ECC" w14:textId="77777777" w:rsidR="00024C93" w:rsidRDefault="00024C93" w:rsidP="0047056D">
      <w:pPr>
        <w:spacing w:line="240" w:lineRule="auto"/>
      </w:pPr>
      <w:r>
        <w:separator/>
      </w:r>
    </w:p>
  </w:endnote>
  <w:endnote w:type="continuationSeparator" w:id="0">
    <w:p w14:paraId="35EE891F" w14:textId="77777777" w:rsidR="00024C93" w:rsidRDefault="00024C93" w:rsidP="00470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Ruehl">
    <w:altName w:val="Arial"/>
    <w:panose1 w:val="020E05030601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647F3" w14:textId="77777777" w:rsidR="00024C93" w:rsidRDefault="00024C93" w:rsidP="0047056D">
      <w:pPr>
        <w:spacing w:line="240" w:lineRule="auto"/>
      </w:pPr>
      <w:r>
        <w:separator/>
      </w:r>
    </w:p>
  </w:footnote>
  <w:footnote w:type="continuationSeparator" w:id="0">
    <w:p w14:paraId="0A44A17D" w14:textId="77777777" w:rsidR="00024C93" w:rsidRDefault="00024C93" w:rsidP="0047056D">
      <w:pPr>
        <w:spacing w:line="240" w:lineRule="auto"/>
      </w:pPr>
      <w:r>
        <w:continuationSeparator/>
      </w:r>
    </w:p>
  </w:footnote>
  <w:footnote w:id="1">
    <w:p w14:paraId="3041047E" w14:textId="77777777" w:rsidR="00DD6D49" w:rsidRDefault="00DD6D49">
      <w:pPr>
        <w:pStyle w:val="a5"/>
        <w:rPr>
          <w:rtl/>
        </w:rPr>
      </w:pPr>
      <w:r>
        <w:rPr>
          <w:rStyle w:val="a7"/>
        </w:rPr>
        <w:footnoteRef/>
      </w:r>
      <w:r>
        <w:rPr>
          <w:rtl/>
        </w:rPr>
        <w:t xml:space="preserve"> </w:t>
      </w:r>
      <w:r w:rsidR="00386155">
        <w:rPr>
          <w:rFonts w:hint="cs"/>
          <w:rtl/>
        </w:rPr>
        <w:t>ס"ח תשט"ז מס' 206; ס"ח תשמ"ב מס' 1057.</w:t>
      </w:r>
    </w:p>
  </w:footnote>
  <w:footnote w:id="2">
    <w:p w14:paraId="495627D2" w14:textId="77777777" w:rsidR="0047056D" w:rsidRDefault="0047056D">
      <w:pPr>
        <w:pStyle w:val="a5"/>
        <w:rPr>
          <w:rtl/>
        </w:rPr>
      </w:pPr>
      <w:r>
        <w:rPr>
          <w:rStyle w:val="a7"/>
        </w:rPr>
        <w:footnoteRef/>
      </w:r>
      <w:r>
        <w:rPr>
          <w:rtl/>
        </w:rPr>
        <w:t xml:space="preserve"> </w:t>
      </w:r>
      <w:proofErr w:type="spellStart"/>
      <w:r w:rsidR="00386155">
        <w:rPr>
          <w:rFonts w:hint="cs"/>
          <w:rtl/>
        </w:rPr>
        <w:t>ק"ת</w:t>
      </w:r>
      <w:proofErr w:type="spellEnd"/>
      <w:r w:rsidR="00386155">
        <w:rPr>
          <w:rFonts w:hint="cs"/>
          <w:rtl/>
        </w:rPr>
        <w:t xml:space="preserve"> תשס"ט מס' 6768.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B25E2"/>
    <w:multiLevelType w:val="hybridMultilevel"/>
    <w:tmpl w:val="201ACE4A"/>
    <w:lvl w:ilvl="0" w:tplc="BE520AB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676742"/>
    <w:multiLevelType w:val="hybridMultilevel"/>
    <w:tmpl w:val="4234565A"/>
    <w:lvl w:ilvl="0" w:tplc="2DA0AAB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762B79"/>
    <w:multiLevelType w:val="hybridMultilevel"/>
    <w:tmpl w:val="0A047DCE"/>
    <w:lvl w:ilvl="0" w:tplc="06FC6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1A0D2C3E"/>
    <w:multiLevelType w:val="hybridMultilevel"/>
    <w:tmpl w:val="F6860790"/>
    <w:lvl w:ilvl="0" w:tplc="06FC6584">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B11377"/>
    <w:multiLevelType w:val="hybridMultilevel"/>
    <w:tmpl w:val="C35E6298"/>
    <w:lvl w:ilvl="0" w:tplc="6CB8287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27CD9"/>
    <w:multiLevelType w:val="hybridMultilevel"/>
    <w:tmpl w:val="CAB890A0"/>
    <w:lvl w:ilvl="0" w:tplc="A478FE8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B43C18"/>
    <w:multiLevelType w:val="hybridMultilevel"/>
    <w:tmpl w:val="512C6E68"/>
    <w:lvl w:ilvl="0" w:tplc="745C6B7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F7623B"/>
    <w:multiLevelType w:val="hybridMultilevel"/>
    <w:tmpl w:val="653C09E2"/>
    <w:lvl w:ilvl="0" w:tplc="ADA872F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241D6B"/>
    <w:multiLevelType w:val="hybridMultilevel"/>
    <w:tmpl w:val="9F7491DC"/>
    <w:lvl w:ilvl="0" w:tplc="6102E9A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77228"/>
    <w:multiLevelType w:val="hybridMultilevel"/>
    <w:tmpl w:val="5444183A"/>
    <w:lvl w:ilvl="0" w:tplc="4FB4FF8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36E0C"/>
    <w:multiLevelType w:val="hybridMultilevel"/>
    <w:tmpl w:val="17265304"/>
    <w:lvl w:ilvl="0" w:tplc="390A945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21B18"/>
    <w:multiLevelType w:val="hybridMultilevel"/>
    <w:tmpl w:val="29FCFC64"/>
    <w:lvl w:ilvl="0" w:tplc="4DFC46D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446D3"/>
    <w:multiLevelType w:val="hybridMultilevel"/>
    <w:tmpl w:val="95AC73EE"/>
    <w:lvl w:ilvl="0" w:tplc="49C453C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B6549"/>
    <w:multiLevelType w:val="hybridMultilevel"/>
    <w:tmpl w:val="EE88556E"/>
    <w:lvl w:ilvl="0" w:tplc="874E5FE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42BD3"/>
    <w:multiLevelType w:val="hybridMultilevel"/>
    <w:tmpl w:val="1002972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4F7E651D"/>
    <w:multiLevelType w:val="hybridMultilevel"/>
    <w:tmpl w:val="963AD66C"/>
    <w:lvl w:ilvl="0" w:tplc="DCA43F1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01CBC"/>
    <w:multiLevelType w:val="hybridMultilevel"/>
    <w:tmpl w:val="272632DA"/>
    <w:lvl w:ilvl="0" w:tplc="2DFA205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B710A"/>
    <w:multiLevelType w:val="hybridMultilevel"/>
    <w:tmpl w:val="D6C4BBEC"/>
    <w:lvl w:ilvl="0" w:tplc="335C9F6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153772"/>
    <w:multiLevelType w:val="hybridMultilevel"/>
    <w:tmpl w:val="1610E592"/>
    <w:lvl w:ilvl="0" w:tplc="52C02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CB62BE"/>
    <w:multiLevelType w:val="hybridMultilevel"/>
    <w:tmpl w:val="CF50D662"/>
    <w:lvl w:ilvl="0" w:tplc="AB9876B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1CD428E"/>
    <w:multiLevelType w:val="multilevel"/>
    <w:tmpl w:val="930E020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5"/>
  </w:num>
  <w:num w:numId="5">
    <w:abstractNumId w:val="15"/>
  </w:num>
  <w:num w:numId="6">
    <w:abstractNumId w:val="36"/>
  </w:num>
  <w:num w:numId="7">
    <w:abstractNumId w:val="8"/>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4"/>
  </w:num>
  <w:num w:numId="16">
    <w:abstractNumId w:val="30"/>
  </w:num>
  <w:num w:numId="17">
    <w:abstractNumId w:val="30"/>
    <w:lvlOverride w:ilvl="0">
      <w:startOverride w:val="1"/>
    </w:lvlOverride>
  </w:num>
  <w:num w:numId="18">
    <w:abstractNumId w:val="13"/>
  </w:num>
  <w:num w:numId="19">
    <w:abstractNumId w:val="33"/>
  </w:num>
  <w:num w:numId="20">
    <w:abstractNumId w:val="29"/>
  </w:num>
  <w:num w:numId="21">
    <w:abstractNumId w:val="17"/>
  </w:num>
  <w:num w:numId="22">
    <w:abstractNumId w:val="10"/>
  </w:num>
  <w:num w:numId="23">
    <w:abstractNumId w:val="25"/>
  </w:num>
  <w:num w:numId="24">
    <w:abstractNumId w:val="12"/>
  </w:num>
  <w:num w:numId="25">
    <w:abstractNumId w:val="21"/>
  </w:num>
  <w:num w:numId="26">
    <w:abstractNumId w:val="22"/>
  </w:num>
  <w:num w:numId="27">
    <w:abstractNumId w:val="14"/>
  </w:num>
  <w:num w:numId="28">
    <w:abstractNumId w:val="16"/>
  </w:num>
  <w:num w:numId="29">
    <w:abstractNumId w:val="26"/>
  </w:num>
  <w:num w:numId="30">
    <w:abstractNumId w:val="19"/>
  </w:num>
  <w:num w:numId="31">
    <w:abstractNumId w:val="31"/>
  </w:num>
  <w:num w:numId="32">
    <w:abstractNumId w:val="28"/>
  </w:num>
  <w:num w:numId="33">
    <w:abstractNumId w:val="20"/>
  </w:num>
  <w:num w:numId="34">
    <w:abstractNumId w:val="18"/>
  </w:num>
  <w:num w:numId="35">
    <w:abstractNumId w:val="11"/>
  </w:num>
  <w:num w:numId="36">
    <w:abstractNumId w:val="27"/>
  </w:num>
  <w:num w:numId="37">
    <w:abstractNumId w:val="23"/>
  </w:num>
  <w:num w:numId="38">
    <w:abstractNumId w:val="24"/>
  </w:num>
  <w:num w:numId="39">
    <w:abstractNumId w:val="3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52"/>
    <w:rsid w:val="00005F01"/>
    <w:rsid w:val="00022EA0"/>
    <w:rsid w:val="00024C93"/>
    <w:rsid w:val="00047C1C"/>
    <w:rsid w:val="00053F04"/>
    <w:rsid w:val="000A0331"/>
    <w:rsid w:val="000D0029"/>
    <w:rsid w:val="000D2679"/>
    <w:rsid w:val="001055D6"/>
    <w:rsid w:val="00175EBE"/>
    <w:rsid w:val="001C38F6"/>
    <w:rsid w:val="001C7B79"/>
    <w:rsid w:val="001E7E94"/>
    <w:rsid w:val="001F19A4"/>
    <w:rsid w:val="002070E2"/>
    <w:rsid w:val="0026291F"/>
    <w:rsid w:val="002631B7"/>
    <w:rsid w:val="00273F99"/>
    <w:rsid w:val="0028277E"/>
    <w:rsid w:val="00292212"/>
    <w:rsid w:val="0029497D"/>
    <w:rsid w:val="002963C3"/>
    <w:rsid w:val="002A2473"/>
    <w:rsid w:val="002B2F71"/>
    <w:rsid w:val="002C2052"/>
    <w:rsid w:val="002D3D95"/>
    <w:rsid w:val="002F57CC"/>
    <w:rsid w:val="003005A1"/>
    <w:rsid w:val="00311682"/>
    <w:rsid w:val="0031251C"/>
    <w:rsid w:val="00312AF4"/>
    <w:rsid w:val="00327D6A"/>
    <w:rsid w:val="00337A6D"/>
    <w:rsid w:val="003534F5"/>
    <w:rsid w:val="00386155"/>
    <w:rsid w:val="003A0D40"/>
    <w:rsid w:val="003A73CF"/>
    <w:rsid w:val="003C29D7"/>
    <w:rsid w:val="003D6956"/>
    <w:rsid w:val="003E7F63"/>
    <w:rsid w:val="003F4353"/>
    <w:rsid w:val="004223C1"/>
    <w:rsid w:val="00423DB9"/>
    <w:rsid w:val="0042462B"/>
    <w:rsid w:val="00436A04"/>
    <w:rsid w:val="00445BFF"/>
    <w:rsid w:val="0047056D"/>
    <w:rsid w:val="00483669"/>
    <w:rsid w:val="004854F9"/>
    <w:rsid w:val="00496268"/>
    <w:rsid w:val="004A6ACD"/>
    <w:rsid w:val="004B3066"/>
    <w:rsid w:val="004B37D1"/>
    <w:rsid w:val="004B7ADA"/>
    <w:rsid w:val="004D56DA"/>
    <w:rsid w:val="004F21CA"/>
    <w:rsid w:val="004F2688"/>
    <w:rsid w:val="005278A6"/>
    <w:rsid w:val="0058433B"/>
    <w:rsid w:val="005A1872"/>
    <w:rsid w:val="005A4D87"/>
    <w:rsid w:val="005A4ED9"/>
    <w:rsid w:val="005D5EA5"/>
    <w:rsid w:val="005E503B"/>
    <w:rsid w:val="005F577C"/>
    <w:rsid w:val="00604CDC"/>
    <w:rsid w:val="0062379C"/>
    <w:rsid w:val="00627C22"/>
    <w:rsid w:val="0065699D"/>
    <w:rsid w:val="00661B13"/>
    <w:rsid w:val="006672A2"/>
    <w:rsid w:val="00673D15"/>
    <w:rsid w:val="00694AE5"/>
    <w:rsid w:val="006C1D93"/>
    <w:rsid w:val="006D6ADA"/>
    <w:rsid w:val="006F3C43"/>
    <w:rsid w:val="00701E4E"/>
    <w:rsid w:val="00723165"/>
    <w:rsid w:val="00723C50"/>
    <w:rsid w:val="00757499"/>
    <w:rsid w:val="00772641"/>
    <w:rsid w:val="007802E8"/>
    <w:rsid w:val="007C4A04"/>
    <w:rsid w:val="007F7184"/>
    <w:rsid w:val="008020B1"/>
    <w:rsid w:val="00845F47"/>
    <w:rsid w:val="00865C61"/>
    <w:rsid w:val="0087427A"/>
    <w:rsid w:val="00875396"/>
    <w:rsid w:val="008772A0"/>
    <w:rsid w:val="00886A72"/>
    <w:rsid w:val="00892068"/>
    <w:rsid w:val="008E70BB"/>
    <w:rsid w:val="00900DD2"/>
    <w:rsid w:val="00901794"/>
    <w:rsid w:val="00962F87"/>
    <w:rsid w:val="009630E3"/>
    <w:rsid w:val="009B29DE"/>
    <w:rsid w:val="009C5567"/>
    <w:rsid w:val="009D499D"/>
    <w:rsid w:val="009D5FAA"/>
    <w:rsid w:val="009E02DC"/>
    <w:rsid w:val="009E3E94"/>
    <w:rsid w:val="009E614C"/>
    <w:rsid w:val="009F13FA"/>
    <w:rsid w:val="00A17836"/>
    <w:rsid w:val="00A31837"/>
    <w:rsid w:val="00A3329E"/>
    <w:rsid w:val="00AA276C"/>
    <w:rsid w:val="00AB3699"/>
    <w:rsid w:val="00AB5F43"/>
    <w:rsid w:val="00AC363D"/>
    <w:rsid w:val="00AF6603"/>
    <w:rsid w:val="00B11121"/>
    <w:rsid w:val="00B317E0"/>
    <w:rsid w:val="00B353FE"/>
    <w:rsid w:val="00B772EE"/>
    <w:rsid w:val="00B87646"/>
    <w:rsid w:val="00B91850"/>
    <w:rsid w:val="00B96283"/>
    <w:rsid w:val="00BB1508"/>
    <w:rsid w:val="00BC6954"/>
    <w:rsid w:val="00BE2FDB"/>
    <w:rsid w:val="00BF3523"/>
    <w:rsid w:val="00C1618C"/>
    <w:rsid w:val="00C26B33"/>
    <w:rsid w:val="00C31C44"/>
    <w:rsid w:val="00C73AB5"/>
    <w:rsid w:val="00C87256"/>
    <w:rsid w:val="00CB6EEC"/>
    <w:rsid w:val="00CD18D4"/>
    <w:rsid w:val="00CD6A29"/>
    <w:rsid w:val="00CE1A2D"/>
    <w:rsid w:val="00D06D62"/>
    <w:rsid w:val="00D2671D"/>
    <w:rsid w:val="00D32C68"/>
    <w:rsid w:val="00D50DAE"/>
    <w:rsid w:val="00D56F00"/>
    <w:rsid w:val="00D601DE"/>
    <w:rsid w:val="00D84F33"/>
    <w:rsid w:val="00D85331"/>
    <w:rsid w:val="00DD6D49"/>
    <w:rsid w:val="00E24DA6"/>
    <w:rsid w:val="00E308D7"/>
    <w:rsid w:val="00E40BDE"/>
    <w:rsid w:val="00E45FE5"/>
    <w:rsid w:val="00E612D5"/>
    <w:rsid w:val="00E612F4"/>
    <w:rsid w:val="00E81A4D"/>
    <w:rsid w:val="00E9200F"/>
    <w:rsid w:val="00F82A4B"/>
    <w:rsid w:val="00FB703A"/>
    <w:rsid w:val="00FB7089"/>
    <w:rsid w:val="00FD2967"/>
    <w:rsid w:val="00FF0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82DA"/>
  <w15:chartTrackingRefBased/>
  <w15:docId w15:val="{959AD52E-C66A-40CE-A5E8-DBB444C9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052"/>
    <w:pPr>
      <w:widowControl w:val="0"/>
      <w:bidi/>
      <w:spacing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2C205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2C205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2C205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2C2052"/>
    <w:pPr>
      <w:numPr>
        <w:numId w:val="1"/>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2C2052"/>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C2052"/>
    <w:rPr>
      <w:rFonts w:asciiTheme="majorHAnsi" w:eastAsiaTheme="majorEastAsia" w:hAnsiTheme="majorHAnsi" w:cs="David"/>
      <w:bCs/>
      <w:sz w:val="32"/>
      <w:szCs w:val="36"/>
    </w:rPr>
  </w:style>
  <w:style w:type="character" w:customStyle="1" w:styleId="40">
    <w:name w:val="כותרת 4 תו"/>
    <w:basedOn w:val="a0"/>
    <w:link w:val="4"/>
    <w:uiPriority w:val="9"/>
    <w:rsid w:val="002C2052"/>
    <w:rPr>
      <w:rFonts w:ascii="David" w:hAnsi="David" w:cs="David"/>
      <w:b/>
      <w:bCs/>
      <w:color w:val="000000" w:themeColor="text1"/>
      <w:sz w:val="24"/>
      <w:szCs w:val="28"/>
    </w:rPr>
  </w:style>
  <w:style w:type="paragraph" w:customStyle="1" w:styleId="TableText">
    <w:name w:val="Table Text"/>
    <w:basedOn w:val="a"/>
    <w:rsid w:val="002C205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2C2052"/>
    <w:pPr>
      <w:outlineLvl w:val="2"/>
    </w:pPr>
  </w:style>
  <w:style w:type="paragraph" w:customStyle="1" w:styleId="TableBlock">
    <w:name w:val="Table Block"/>
    <w:basedOn w:val="TableText"/>
    <w:rsid w:val="002C2052"/>
    <w:pPr>
      <w:jc w:val="both"/>
    </w:pPr>
  </w:style>
  <w:style w:type="paragraph" w:customStyle="1" w:styleId="TableHead">
    <w:name w:val="Table Head"/>
    <w:basedOn w:val="TableText"/>
    <w:rsid w:val="002C2052"/>
    <w:pPr>
      <w:jc w:val="center"/>
      <w:outlineLvl w:val="1"/>
    </w:pPr>
    <w:rPr>
      <w:b/>
      <w:bCs/>
    </w:rPr>
  </w:style>
  <w:style w:type="paragraph" w:customStyle="1" w:styleId="HeadMitparsemetBaze">
    <w:name w:val="Head MitparsemetBaze"/>
    <w:basedOn w:val="a"/>
    <w:rsid w:val="002C205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2C2052"/>
    <w:pPr>
      <w:keepNext/>
      <w:keepLines/>
      <w:snapToGrid w:val="0"/>
      <w:spacing w:before="240"/>
      <w:jc w:val="center"/>
      <w:outlineLvl w:val="0"/>
    </w:pPr>
    <w:rPr>
      <w:rFonts w:ascii="Arial" w:eastAsia="Arial Unicode MS" w:hAnsi="Arial"/>
      <w:b/>
      <w:bCs/>
      <w:snapToGrid w:val="0"/>
      <w:sz w:val="20"/>
      <w:szCs w:val="26"/>
    </w:rPr>
  </w:style>
  <w:style w:type="paragraph" w:customStyle="1" w:styleId="Hesber1st">
    <w:name w:val="Hesber 1st"/>
    <w:basedOn w:val="Hesber"/>
    <w:rsid w:val="002C2052"/>
    <w:pPr>
      <w:tabs>
        <w:tab w:val="left" w:pos="680"/>
        <w:tab w:val="left" w:pos="1020"/>
      </w:tabs>
      <w:ind w:firstLine="0"/>
    </w:pPr>
  </w:style>
  <w:style w:type="paragraph" w:customStyle="1" w:styleId="HeadDivreiHesber">
    <w:name w:val="Head DivreiHesber"/>
    <w:basedOn w:val="a"/>
    <w:rsid w:val="002C2052"/>
    <w:pPr>
      <w:snapToGrid w:val="0"/>
      <w:spacing w:before="360" w:after="120"/>
      <w:jc w:val="center"/>
      <w:outlineLvl w:val="1"/>
    </w:pPr>
    <w:rPr>
      <w:rFonts w:ascii="Arial" w:eastAsia="Arial Unicode MS" w:hAnsi="Arial"/>
      <w:b/>
      <w:snapToGrid w:val="0"/>
      <w:spacing w:val="40"/>
      <w:sz w:val="20"/>
      <w:szCs w:val="26"/>
    </w:rPr>
  </w:style>
  <w:style w:type="character" w:customStyle="1" w:styleId="20">
    <w:name w:val="כותרת 2 תו"/>
    <w:basedOn w:val="a0"/>
    <w:link w:val="2"/>
    <w:rsid w:val="002C2052"/>
    <w:rPr>
      <w:rFonts w:asciiTheme="majorHAnsi" w:eastAsiaTheme="majorEastAsia" w:hAnsiTheme="majorHAnsi" w:cs="David"/>
      <w:bCs/>
      <w:sz w:val="26"/>
      <w:szCs w:val="36"/>
      <w:u w:val="single"/>
    </w:rPr>
  </w:style>
  <w:style w:type="character" w:customStyle="1" w:styleId="30">
    <w:name w:val="כותרת 3 תו"/>
    <w:basedOn w:val="a0"/>
    <w:link w:val="3"/>
    <w:rsid w:val="002C2052"/>
    <w:rPr>
      <w:rFonts w:asciiTheme="majorHAnsi" w:eastAsiaTheme="majorEastAsia" w:hAnsiTheme="majorHAnsi" w:cs="David"/>
      <w:sz w:val="24"/>
      <w:szCs w:val="28"/>
      <w:u w:val="double"/>
    </w:rPr>
  </w:style>
  <w:style w:type="character" w:customStyle="1" w:styleId="50">
    <w:name w:val="כותרת 5 תו"/>
    <w:basedOn w:val="a0"/>
    <w:link w:val="5"/>
    <w:uiPriority w:val="9"/>
    <w:rsid w:val="002C2052"/>
    <w:rPr>
      <w:rFonts w:ascii="David" w:hAnsi="David" w:cs="David"/>
      <w:color w:val="000000" w:themeColor="text1"/>
      <w:sz w:val="24"/>
      <w:szCs w:val="24"/>
    </w:rPr>
  </w:style>
  <w:style w:type="paragraph" w:customStyle="1" w:styleId="HeadHatzaotHok4Futer">
    <w:name w:val="Head HatzaotHok4Futer"/>
    <w:basedOn w:val="HeadHatzaotHok"/>
    <w:rsid w:val="002C2052"/>
    <w:pPr>
      <w:spacing w:before="120" w:after="120"/>
    </w:pPr>
    <w:rPr>
      <w:color w:val="FF0000"/>
      <w:w w:val="80"/>
    </w:rPr>
  </w:style>
  <w:style w:type="paragraph" w:styleId="a3">
    <w:name w:val="endnote text"/>
    <w:basedOn w:val="a"/>
    <w:link w:val="a4"/>
    <w:semiHidden/>
    <w:rsid w:val="002C2052"/>
    <w:pPr>
      <w:ind w:left="227" w:hanging="227"/>
    </w:pPr>
    <w:rPr>
      <w:sz w:val="14"/>
      <w:szCs w:val="22"/>
    </w:rPr>
  </w:style>
  <w:style w:type="character" w:customStyle="1" w:styleId="a4">
    <w:name w:val="טקסט הערת סיום תו"/>
    <w:basedOn w:val="a0"/>
    <w:link w:val="a3"/>
    <w:semiHidden/>
    <w:rsid w:val="002C2052"/>
    <w:rPr>
      <w:rFonts w:ascii="David" w:hAnsi="David" w:cs="David"/>
      <w:sz w:val="14"/>
    </w:rPr>
  </w:style>
  <w:style w:type="paragraph" w:customStyle="1" w:styleId="TableInnerSideHeading">
    <w:name w:val="Table InnerSideHeading"/>
    <w:basedOn w:val="TableSideHeading"/>
    <w:rsid w:val="002C2052"/>
    <w:pPr>
      <w:outlineLvl w:val="9"/>
    </w:pPr>
  </w:style>
  <w:style w:type="paragraph" w:customStyle="1" w:styleId="Hesber">
    <w:name w:val="Hesber"/>
    <w:basedOn w:val="a"/>
    <w:rsid w:val="002C2052"/>
    <w:pPr>
      <w:snapToGrid w:val="0"/>
      <w:ind w:left="0" w:firstLine="340"/>
    </w:pPr>
    <w:rPr>
      <w:rFonts w:ascii="Arial" w:eastAsia="Arial Unicode MS" w:hAnsi="Arial"/>
      <w:snapToGrid w:val="0"/>
      <w:sz w:val="20"/>
      <w:szCs w:val="26"/>
    </w:rPr>
  </w:style>
  <w:style w:type="paragraph" w:styleId="a5">
    <w:name w:val="footnote text"/>
    <w:basedOn w:val="a"/>
    <w:link w:val="a6"/>
    <w:autoRedefine/>
    <w:semiHidden/>
    <w:rsid w:val="002C2052"/>
    <w:pPr>
      <w:snapToGrid w:val="0"/>
      <w:spacing w:line="240" w:lineRule="auto"/>
      <w:ind w:left="0"/>
      <w:jc w:val="left"/>
    </w:pPr>
    <w:rPr>
      <w:rFonts w:ascii="Arial" w:eastAsia="Arial Unicode MS" w:hAnsi="Arial"/>
      <w:snapToGrid w:val="0"/>
      <w:sz w:val="14"/>
      <w:szCs w:val="20"/>
    </w:rPr>
  </w:style>
  <w:style w:type="character" w:customStyle="1" w:styleId="a6">
    <w:name w:val="טקסט הערת שוליים תו"/>
    <w:basedOn w:val="a0"/>
    <w:link w:val="a5"/>
    <w:semiHidden/>
    <w:rsid w:val="002C2052"/>
    <w:rPr>
      <w:rFonts w:ascii="Arial" w:eastAsia="Arial Unicode MS" w:hAnsi="Arial" w:cs="David"/>
      <w:snapToGrid w:val="0"/>
      <w:sz w:val="14"/>
      <w:szCs w:val="20"/>
    </w:rPr>
  </w:style>
  <w:style w:type="character" w:styleId="a7">
    <w:name w:val="footnote reference"/>
    <w:aliases w:val="Footnote Reference"/>
    <w:basedOn w:val="a0"/>
    <w:semiHidden/>
    <w:rsid w:val="002C2052"/>
    <w:rPr>
      <w:vertAlign w:val="superscript"/>
    </w:rPr>
  </w:style>
  <w:style w:type="paragraph" w:customStyle="1" w:styleId="HesberHeading">
    <w:name w:val="Hesber Heading"/>
    <w:basedOn w:val="Hesber"/>
    <w:rsid w:val="002C2052"/>
    <w:pPr>
      <w:tabs>
        <w:tab w:val="left" w:pos="624"/>
        <w:tab w:val="left" w:pos="1247"/>
      </w:tabs>
    </w:pPr>
    <w:rPr>
      <w:b/>
      <w:bCs/>
    </w:rPr>
  </w:style>
  <w:style w:type="paragraph" w:customStyle="1" w:styleId="HesberWriters">
    <w:name w:val="Hesber Writers"/>
    <w:basedOn w:val="Hesber"/>
    <w:rsid w:val="002C2052"/>
    <w:pPr>
      <w:spacing w:before="120" w:after="120"/>
      <w:ind w:left="1418"/>
      <w:jc w:val="right"/>
    </w:pPr>
    <w:rPr>
      <w:b/>
      <w:bCs/>
    </w:rPr>
  </w:style>
  <w:style w:type="character" w:styleId="a8">
    <w:name w:val="endnote reference"/>
    <w:basedOn w:val="a0"/>
    <w:semiHidden/>
    <w:rsid w:val="002C2052"/>
    <w:rPr>
      <w:vertAlign w:val="superscript"/>
    </w:rPr>
  </w:style>
  <w:style w:type="paragraph" w:customStyle="1" w:styleId="TableBlockOutdent">
    <w:name w:val="Table BlockOutdent"/>
    <w:basedOn w:val="TableBlock"/>
    <w:rsid w:val="002C2052"/>
    <w:pPr>
      <w:ind w:left="624" w:hanging="624"/>
    </w:pPr>
  </w:style>
  <w:style w:type="paragraph" w:styleId="a9">
    <w:name w:val="header"/>
    <w:basedOn w:val="a"/>
    <w:link w:val="aa"/>
    <w:rsid w:val="002C2052"/>
    <w:pPr>
      <w:tabs>
        <w:tab w:val="center" w:pos="4153"/>
        <w:tab w:val="right" w:pos="8306"/>
      </w:tabs>
    </w:pPr>
  </w:style>
  <w:style w:type="character" w:customStyle="1" w:styleId="aa">
    <w:name w:val="כותרת עליונה תו"/>
    <w:basedOn w:val="a0"/>
    <w:link w:val="a9"/>
    <w:rsid w:val="002C2052"/>
    <w:rPr>
      <w:rFonts w:ascii="David" w:hAnsi="David" w:cs="David"/>
      <w:sz w:val="24"/>
      <w:szCs w:val="24"/>
    </w:rPr>
  </w:style>
  <w:style w:type="paragraph" w:styleId="ab">
    <w:name w:val="footer"/>
    <w:basedOn w:val="a"/>
    <w:link w:val="ac"/>
    <w:rsid w:val="002C2052"/>
    <w:pPr>
      <w:tabs>
        <w:tab w:val="center" w:pos="4153"/>
        <w:tab w:val="right" w:pos="8306"/>
      </w:tabs>
    </w:pPr>
  </w:style>
  <w:style w:type="character" w:customStyle="1" w:styleId="ac">
    <w:name w:val="כותרת תחתונה תו"/>
    <w:basedOn w:val="a0"/>
    <w:link w:val="ab"/>
    <w:rsid w:val="002C2052"/>
    <w:rPr>
      <w:rFonts w:ascii="David" w:hAnsi="David" w:cs="David"/>
      <w:sz w:val="24"/>
      <w:szCs w:val="24"/>
    </w:rPr>
  </w:style>
  <w:style w:type="character" w:styleId="ad">
    <w:name w:val="page number"/>
    <w:basedOn w:val="a0"/>
    <w:rsid w:val="002C2052"/>
  </w:style>
  <w:style w:type="paragraph" w:customStyle="1" w:styleId="Cover1-Reshumot">
    <w:name w:val="Cover 1-Reshumot"/>
    <w:basedOn w:val="a"/>
    <w:rsid w:val="002C205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2C2052"/>
    <w:rPr>
      <w:sz w:val="36"/>
      <w:szCs w:val="52"/>
    </w:rPr>
  </w:style>
  <w:style w:type="paragraph" w:customStyle="1" w:styleId="Cover3-Haknesset">
    <w:name w:val="Cover 3-Haknesset"/>
    <w:basedOn w:val="Cover1-Reshumot"/>
    <w:rsid w:val="002C2052"/>
    <w:rPr>
      <w:b/>
      <w:bCs/>
      <w:spacing w:val="60"/>
    </w:rPr>
  </w:style>
  <w:style w:type="paragraph" w:customStyle="1" w:styleId="Cover4-Date">
    <w:name w:val="Cover 4-Date"/>
    <w:basedOn w:val="a"/>
    <w:rsid w:val="002C205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2C2052"/>
    <w:pPr>
      <w:snapToGrid w:val="0"/>
      <w:jc w:val="left"/>
    </w:pPr>
    <w:rPr>
      <w:rFonts w:ascii="Arial" w:eastAsia="Arial Unicode MS" w:hAnsi="Arial"/>
      <w:snapToGrid w:val="0"/>
      <w:sz w:val="20"/>
      <w:szCs w:val="26"/>
    </w:rPr>
  </w:style>
  <w:style w:type="paragraph" w:styleId="ae">
    <w:name w:val="TOC Heading"/>
    <w:basedOn w:val="1"/>
    <w:next w:val="a"/>
    <w:uiPriority w:val="39"/>
    <w:unhideWhenUsed/>
    <w:qFormat/>
    <w:rsid w:val="002C2052"/>
    <w:pPr>
      <w:widowControl/>
      <w:spacing w:before="120" w:after="120"/>
      <w:outlineLvl w:val="9"/>
    </w:pPr>
    <w:rPr>
      <w:rtl/>
      <w:cs/>
    </w:rPr>
  </w:style>
  <w:style w:type="paragraph" w:styleId="TOC1">
    <w:name w:val="toc 1"/>
    <w:basedOn w:val="a"/>
    <w:next w:val="a"/>
    <w:autoRedefine/>
    <w:uiPriority w:val="39"/>
    <w:unhideWhenUsed/>
    <w:rsid w:val="002C2052"/>
    <w:pPr>
      <w:tabs>
        <w:tab w:val="right" w:leader="dot" w:pos="9629"/>
      </w:tabs>
      <w:spacing w:after="100"/>
    </w:pPr>
    <w:rPr>
      <w:bCs/>
      <w:szCs w:val="22"/>
    </w:rPr>
  </w:style>
  <w:style w:type="paragraph" w:styleId="TOC2">
    <w:name w:val="toc 2"/>
    <w:basedOn w:val="a"/>
    <w:next w:val="a"/>
    <w:uiPriority w:val="39"/>
    <w:unhideWhenUsed/>
    <w:rsid w:val="002C2052"/>
    <w:pPr>
      <w:tabs>
        <w:tab w:val="right" w:leader="dot" w:pos="9628"/>
      </w:tabs>
      <w:spacing w:after="100"/>
    </w:pPr>
    <w:rPr>
      <w:szCs w:val="22"/>
    </w:rPr>
  </w:style>
  <w:style w:type="character" w:styleId="Hyperlink">
    <w:name w:val="Hyperlink"/>
    <w:basedOn w:val="a0"/>
    <w:uiPriority w:val="99"/>
    <w:unhideWhenUsed/>
    <w:rsid w:val="002C2052"/>
    <w:rPr>
      <w:color w:val="0563C1" w:themeColor="hyperlink"/>
      <w:u w:val="single"/>
    </w:rPr>
  </w:style>
  <w:style w:type="paragraph" w:styleId="TOC3">
    <w:name w:val="toc 3"/>
    <w:basedOn w:val="a"/>
    <w:next w:val="a"/>
    <w:uiPriority w:val="39"/>
    <w:unhideWhenUsed/>
    <w:rsid w:val="002C2052"/>
    <w:pPr>
      <w:numPr>
        <w:numId w:val="19"/>
      </w:numPr>
      <w:tabs>
        <w:tab w:val="right" w:leader="dot" w:pos="9629"/>
      </w:tabs>
      <w:spacing w:after="100"/>
      <w:ind w:left="811" w:hanging="357"/>
    </w:pPr>
    <w:rPr>
      <w:szCs w:val="22"/>
    </w:rPr>
  </w:style>
  <w:style w:type="paragraph" w:styleId="TOC4">
    <w:name w:val="toc 4"/>
    <w:basedOn w:val="a"/>
    <w:next w:val="a"/>
    <w:autoRedefine/>
    <w:unhideWhenUsed/>
    <w:qFormat/>
    <w:rsid w:val="002C205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2C2052"/>
    <w:pPr>
      <w:tabs>
        <w:tab w:val="right" w:leader="dot" w:pos="9628"/>
      </w:tabs>
      <w:spacing w:after="100"/>
      <w:ind w:left="567"/>
    </w:pPr>
    <w:rPr>
      <w:szCs w:val="22"/>
    </w:rPr>
  </w:style>
  <w:style w:type="paragraph" w:styleId="TOC6">
    <w:name w:val="toc 6"/>
    <w:basedOn w:val="a"/>
    <w:next w:val="a"/>
    <w:autoRedefine/>
    <w:semiHidden/>
    <w:unhideWhenUsed/>
    <w:rsid w:val="002C2052"/>
    <w:pPr>
      <w:spacing w:after="100"/>
      <w:ind w:left="850"/>
    </w:pPr>
  </w:style>
  <w:style w:type="paragraph" w:styleId="TOC7">
    <w:name w:val="toc 7"/>
    <w:basedOn w:val="a"/>
    <w:next w:val="a"/>
    <w:autoRedefine/>
    <w:semiHidden/>
    <w:unhideWhenUsed/>
    <w:rsid w:val="002C2052"/>
    <w:pPr>
      <w:spacing w:after="100"/>
      <w:ind w:left="1020"/>
    </w:pPr>
  </w:style>
  <w:style w:type="paragraph" w:styleId="TOC8">
    <w:name w:val="toc 8"/>
    <w:basedOn w:val="a"/>
    <w:next w:val="a"/>
    <w:autoRedefine/>
    <w:semiHidden/>
    <w:unhideWhenUsed/>
    <w:rsid w:val="002C2052"/>
    <w:pPr>
      <w:spacing w:after="100"/>
      <w:ind w:left="1190"/>
    </w:pPr>
  </w:style>
  <w:style w:type="paragraph" w:styleId="TOC9">
    <w:name w:val="toc 9"/>
    <w:basedOn w:val="a"/>
    <w:next w:val="a"/>
    <w:autoRedefine/>
    <w:semiHidden/>
    <w:unhideWhenUsed/>
    <w:rsid w:val="002C2052"/>
    <w:pPr>
      <w:spacing w:after="100"/>
      <w:ind w:left="1360"/>
    </w:pPr>
  </w:style>
  <w:style w:type="paragraph" w:customStyle="1" w:styleId="TableHead2">
    <w:name w:val="Table Head2"/>
    <w:basedOn w:val="TableHead"/>
    <w:qFormat/>
    <w:rsid w:val="002C2052"/>
    <w:pPr>
      <w:outlineLvl w:val="9"/>
    </w:pPr>
  </w:style>
  <w:style w:type="paragraph" w:customStyle="1" w:styleId="TableSideHeading2">
    <w:name w:val="Table SideHeading2"/>
    <w:basedOn w:val="TableSideHeading"/>
    <w:autoRedefine/>
    <w:qFormat/>
    <w:rsid w:val="002C2052"/>
    <w:pPr>
      <w:keepLines w:val="0"/>
      <w:outlineLvl w:val="9"/>
    </w:pPr>
  </w:style>
  <w:style w:type="paragraph" w:customStyle="1" w:styleId="0">
    <w:name w:val="סגנון שורה ראשונה:  0  ס''מ"/>
    <w:basedOn w:val="2"/>
    <w:rsid w:val="002C2052"/>
    <w:rPr>
      <w:rFonts w:eastAsia="Times New Roman"/>
    </w:rPr>
  </w:style>
  <w:style w:type="paragraph" w:styleId="af">
    <w:name w:val="List Paragraph"/>
    <w:basedOn w:val="a"/>
    <w:uiPriority w:val="34"/>
    <w:qFormat/>
    <w:rsid w:val="002C2052"/>
    <w:pPr>
      <w:widowControl/>
      <w:spacing w:line="259" w:lineRule="auto"/>
    </w:pPr>
    <w:rPr>
      <w:rFonts w:asciiTheme="minorHAnsi" w:hAnsiTheme="minorHAnsi"/>
      <w:sz w:val="22"/>
    </w:rPr>
  </w:style>
  <w:style w:type="table" w:styleId="af0">
    <w:name w:val="Table Grid"/>
    <w:basedOn w:val="a1"/>
    <w:rsid w:val="002C2052"/>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2C2052"/>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2C2052"/>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2C2052"/>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2C2052"/>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character" w:customStyle="1" w:styleId="default">
    <w:name w:val="default"/>
    <w:rsid w:val="009D5FAA"/>
    <w:rPr>
      <w:rFonts w:ascii="Times New Roman" w:hAnsi="Times New Roman" w:cs="Times New Roman" w:hint="default"/>
      <w:sz w:val="20"/>
      <w:szCs w:val="26"/>
    </w:rPr>
  </w:style>
  <w:style w:type="paragraph" w:customStyle="1" w:styleId="P00">
    <w:name w:val="P00"/>
    <w:link w:val="P000"/>
    <w:rsid w:val="00D601D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styleId="af2">
    <w:name w:val="annotation reference"/>
    <w:uiPriority w:val="99"/>
    <w:semiHidden/>
    <w:rsid w:val="00D601DE"/>
    <w:rPr>
      <w:sz w:val="16"/>
      <w:szCs w:val="16"/>
    </w:rPr>
  </w:style>
  <w:style w:type="paragraph" w:styleId="af3">
    <w:name w:val="annotation text"/>
    <w:basedOn w:val="a"/>
    <w:link w:val="af4"/>
    <w:uiPriority w:val="99"/>
    <w:rsid w:val="00D601DE"/>
    <w:pPr>
      <w:widowControl/>
      <w:autoSpaceDE w:val="0"/>
      <w:autoSpaceDN w:val="0"/>
      <w:ind w:left="0"/>
      <w:contextualSpacing w:val="0"/>
    </w:pPr>
    <w:rPr>
      <w:rFonts w:ascii="Times New Roman" w:eastAsia="Times New Roman" w:hAnsi="Times New Roman"/>
      <w:sz w:val="20"/>
      <w:szCs w:val="20"/>
      <w:lang w:eastAsia="he-IL"/>
    </w:rPr>
  </w:style>
  <w:style w:type="character" w:customStyle="1" w:styleId="af4">
    <w:name w:val="טקסט הערה תו"/>
    <w:basedOn w:val="a0"/>
    <w:link w:val="af3"/>
    <w:uiPriority w:val="99"/>
    <w:rsid w:val="00D601DE"/>
    <w:rPr>
      <w:rFonts w:ascii="Times New Roman" w:eastAsia="Times New Roman" w:hAnsi="Times New Roman" w:cs="David"/>
      <w:sz w:val="20"/>
      <w:szCs w:val="20"/>
      <w:lang w:eastAsia="he-IL"/>
    </w:rPr>
  </w:style>
  <w:style w:type="paragraph" w:styleId="af5">
    <w:name w:val="Balloon Text"/>
    <w:basedOn w:val="a"/>
    <w:link w:val="af6"/>
    <w:uiPriority w:val="99"/>
    <w:semiHidden/>
    <w:unhideWhenUsed/>
    <w:rsid w:val="00D601DE"/>
    <w:pPr>
      <w:spacing w:line="240" w:lineRule="auto"/>
    </w:pPr>
    <w:rPr>
      <w:rFonts w:ascii="Tahoma" w:hAnsi="Tahoma" w:cs="Tahoma"/>
      <w:sz w:val="18"/>
      <w:szCs w:val="18"/>
    </w:rPr>
  </w:style>
  <w:style w:type="character" w:customStyle="1" w:styleId="af6">
    <w:name w:val="טקסט בלונים תו"/>
    <w:basedOn w:val="a0"/>
    <w:link w:val="af5"/>
    <w:uiPriority w:val="99"/>
    <w:semiHidden/>
    <w:rsid w:val="00D601DE"/>
    <w:rPr>
      <w:rFonts w:ascii="Tahoma" w:hAnsi="Tahoma" w:cs="Tahoma"/>
      <w:sz w:val="18"/>
      <w:szCs w:val="18"/>
    </w:rPr>
  </w:style>
  <w:style w:type="character" w:customStyle="1" w:styleId="P000">
    <w:name w:val="P00 תו"/>
    <w:link w:val="P00"/>
    <w:locked/>
    <w:rsid w:val="0065699D"/>
    <w:rPr>
      <w:rFonts w:ascii="Times New Roman" w:eastAsia="Times New Roman" w:hAnsi="Times New Roman" w:cs="FrankRuehl"/>
      <w:noProof/>
      <w:sz w:val="20"/>
      <w:szCs w:val="26"/>
      <w:lang w:eastAsia="he-IL"/>
    </w:rPr>
  </w:style>
  <w:style w:type="character" w:customStyle="1" w:styleId="big-number">
    <w:name w:val="big-number"/>
    <w:basedOn w:val="default"/>
    <w:rsid w:val="004A6ACD"/>
    <w:rPr>
      <w:rFonts w:ascii="Times New Roman" w:hAnsi="Times New Roman" w:cs="Times New Roman" w:hint="default"/>
      <w:sz w:val="32"/>
      <w:szCs w:val="32"/>
    </w:rPr>
  </w:style>
  <w:style w:type="paragraph" w:styleId="af7">
    <w:name w:val="annotation subject"/>
    <w:basedOn w:val="af3"/>
    <w:next w:val="af3"/>
    <w:link w:val="af8"/>
    <w:uiPriority w:val="99"/>
    <w:semiHidden/>
    <w:unhideWhenUsed/>
    <w:rsid w:val="009E614C"/>
    <w:pPr>
      <w:widowControl w:val="0"/>
      <w:autoSpaceDE/>
      <w:autoSpaceDN/>
      <w:spacing w:line="240" w:lineRule="auto"/>
      <w:ind w:left="340"/>
      <w:contextualSpacing/>
    </w:pPr>
    <w:rPr>
      <w:rFonts w:ascii="David" w:eastAsiaTheme="minorHAnsi" w:hAnsi="David"/>
      <w:b/>
      <w:bCs/>
      <w:lang w:eastAsia="en-US"/>
    </w:rPr>
  </w:style>
  <w:style w:type="character" w:customStyle="1" w:styleId="af8">
    <w:name w:val="נושא הערה תו"/>
    <w:basedOn w:val="af4"/>
    <w:link w:val="af7"/>
    <w:uiPriority w:val="99"/>
    <w:semiHidden/>
    <w:rsid w:val="009E614C"/>
    <w:rPr>
      <w:rFonts w:ascii="David" w:eastAsia="Times New Roman" w:hAnsi="David" w:cs="David"/>
      <w:b/>
      <w:bCs/>
      <w:sz w:val="20"/>
      <w:szCs w:val="20"/>
      <w:lang w:eastAsia="he-IL"/>
    </w:rPr>
  </w:style>
  <w:style w:type="paragraph" w:customStyle="1" w:styleId="P22">
    <w:name w:val="P22"/>
    <w:basedOn w:val="a"/>
    <w:rsid w:val="00273F99"/>
    <w:pPr>
      <w:tabs>
        <w:tab w:val="left" w:pos="1474"/>
        <w:tab w:val="left" w:pos="1928"/>
        <w:tab w:val="left" w:pos="2381"/>
        <w:tab w:val="left" w:pos="2835"/>
        <w:tab w:val="right" w:leader="dot" w:pos="6259"/>
      </w:tabs>
      <w:suppressAutoHyphens/>
      <w:autoSpaceDE w:val="0"/>
      <w:autoSpaceDN w:val="0"/>
      <w:spacing w:before="60" w:line="240" w:lineRule="auto"/>
      <w:ind w:left="2835" w:right="1021"/>
      <w:contextualSpacing w:val="0"/>
    </w:pPr>
    <w:rPr>
      <w:rFonts w:ascii="Times New Roman" w:eastAsia="Times New Roman" w:hAnsi="Times New Roman" w:cs="Times New Roman"/>
      <w:noProof/>
      <w:sz w:val="20"/>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365171">
      <w:bodyDiv w:val="1"/>
      <w:marLeft w:val="0"/>
      <w:marRight w:val="0"/>
      <w:marTop w:val="0"/>
      <w:marBottom w:val="0"/>
      <w:divBdr>
        <w:top w:val="none" w:sz="0" w:space="0" w:color="auto"/>
        <w:left w:val="none" w:sz="0" w:space="0" w:color="auto"/>
        <w:bottom w:val="none" w:sz="0" w:space="0" w:color="auto"/>
        <w:right w:val="none" w:sz="0" w:space="0" w:color="auto"/>
      </w:divBdr>
    </w:div>
    <w:div w:id="6967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FC5E-9B6B-42EB-A0F5-5905D56E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4062</Words>
  <Characters>20310</Characters>
  <Application>Microsoft Office Word</Application>
  <DocSecurity>0</DocSecurity>
  <Lines>169</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דפנה  טיש-פיגנבוים [Daphna Tish-feigenboim]</dc:creator>
  <cp:keywords/>
  <dc:description/>
  <cp:lastModifiedBy>Merav Kaplan - Chamber Of Commerce</cp:lastModifiedBy>
  <cp:revision>2</cp:revision>
  <dcterms:created xsi:type="dcterms:W3CDTF">2022-02-20T07:16:00Z</dcterms:created>
  <dcterms:modified xsi:type="dcterms:W3CDTF">2022-02-20T07:16:00Z</dcterms:modified>
</cp:coreProperties>
</file>