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44" w:rsidRPr="00854BDD" w:rsidRDefault="008B7344" w:rsidP="008B7344">
      <w:pPr>
        <w:shd w:val="clear" w:color="auto" w:fill="FFFFFF"/>
        <w:spacing w:before="180" w:after="300" w:line="240" w:lineRule="auto"/>
        <w:jc w:val="center"/>
        <w:outlineLvl w:val="0"/>
        <w:rPr>
          <w:rFonts w:ascii="Arial" w:eastAsia="Times New Roman" w:hAnsi="Arial" w:cs="Arial"/>
          <w:b/>
          <w:bCs/>
          <w:color w:val="000000"/>
          <w:kern w:val="36"/>
          <w:sz w:val="44"/>
          <w:szCs w:val="44"/>
          <w:lang w:val="en-US" w:eastAsia="ru-RU"/>
        </w:rPr>
      </w:pPr>
      <w:bookmarkStart w:id="0" w:name="_GoBack"/>
      <w:bookmarkEnd w:id="0"/>
      <w:r w:rsidRPr="00854BDD">
        <w:rPr>
          <w:rFonts w:ascii="Arial" w:eastAsia="Times New Roman" w:hAnsi="Arial" w:cs="Arial"/>
          <w:b/>
          <w:bCs/>
          <w:color w:val="000000"/>
          <w:kern w:val="36"/>
          <w:sz w:val="44"/>
          <w:szCs w:val="44"/>
          <w:lang w:val="en-US" w:eastAsia="ru-RU"/>
        </w:rPr>
        <w:t xml:space="preserve">How the demand for real estate has changed in Uzbekistan </w:t>
      </w:r>
    </w:p>
    <w:p w:rsidR="008B7344" w:rsidRDefault="008B7344" w:rsidP="002A2244">
      <w:pPr>
        <w:ind w:firstLine="708"/>
        <w:jc w:val="both"/>
        <w:rPr>
          <w:rFonts w:ascii="Arial" w:hAnsi="Arial" w:cs="Arial"/>
          <w:color w:val="343434"/>
          <w:sz w:val="31"/>
          <w:szCs w:val="31"/>
          <w:shd w:val="clear" w:color="auto" w:fill="FFFFFF"/>
          <w:lang w:val="en-US"/>
        </w:rPr>
      </w:pPr>
      <w:r w:rsidRPr="008B7344">
        <w:rPr>
          <w:rFonts w:ascii="Arial" w:hAnsi="Arial" w:cs="Arial"/>
          <w:i/>
          <w:iCs/>
          <w:color w:val="343434"/>
          <w:sz w:val="28"/>
          <w:szCs w:val="28"/>
          <w:shd w:val="clear" w:color="auto" w:fill="FFFFFF"/>
          <w:lang w:val="en-US"/>
        </w:rPr>
        <w:t>The Center for Economic Research and Reforms analyzed changes in the real estate market in Uzbekistan in June 2021</w:t>
      </w:r>
      <w:r>
        <w:rPr>
          <w:rFonts w:ascii="Arial" w:hAnsi="Arial" w:cs="Arial"/>
          <w:i/>
          <w:iCs/>
          <w:color w:val="343434"/>
          <w:sz w:val="28"/>
          <w:szCs w:val="28"/>
          <w:shd w:val="clear" w:color="auto" w:fill="FFFFFF"/>
          <w:lang w:val="en-US"/>
        </w:rPr>
        <w:t>.</w:t>
      </w:r>
    </w:p>
    <w:p w:rsidR="008B7344" w:rsidRPr="00A01AEC" w:rsidRDefault="00A01AEC" w:rsidP="00A01AEC">
      <w:pPr>
        <w:jc w:val="both"/>
        <w:rPr>
          <w:rFonts w:ascii="Arial" w:hAnsi="Arial" w:cs="Arial"/>
          <w:color w:val="343434"/>
          <w:sz w:val="28"/>
          <w:szCs w:val="28"/>
          <w:shd w:val="clear" w:color="auto" w:fill="FFFFFF"/>
          <w:lang w:val="en-US"/>
        </w:rPr>
      </w:pPr>
      <w:r w:rsidRPr="00A01AEC">
        <w:rPr>
          <w:rFonts w:ascii="Arial" w:hAnsi="Arial" w:cs="Arial"/>
          <w:b/>
          <w:bCs/>
          <w:color w:val="343434"/>
          <w:sz w:val="28"/>
          <w:szCs w:val="28"/>
          <w:shd w:val="clear" w:color="auto" w:fill="FFFFFF"/>
          <w:lang w:val="en-US"/>
        </w:rPr>
        <w:t>July 23, 2021 Tashkent.</w:t>
      </w:r>
      <w:r w:rsidRPr="00A01AEC">
        <w:rPr>
          <w:rFonts w:ascii="Arial" w:hAnsi="Arial" w:cs="Arial"/>
          <w:color w:val="343434"/>
          <w:sz w:val="28"/>
          <w:szCs w:val="28"/>
          <w:shd w:val="clear" w:color="auto" w:fill="FFFFFF"/>
          <w:lang w:val="en-US"/>
        </w:rPr>
        <w:t xml:space="preserve"> The Center for Economic Research and Reforms (C</w:t>
      </w:r>
      <w:r>
        <w:rPr>
          <w:rFonts w:ascii="Arial" w:hAnsi="Arial" w:cs="Arial"/>
          <w:color w:val="343434"/>
          <w:sz w:val="28"/>
          <w:szCs w:val="28"/>
          <w:shd w:val="clear" w:color="auto" w:fill="FFFFFF"/>
          <w:lang w:val="en-US"/>
        </w:rPr>
        <w:t>ER</w:t>
      </w:r>
      <w:r w:rsidRPr="00A01AEC">
        <w:rPr>
          <w:rFonts w:ascii="Arial" w:hAnsi="Arial" w:cs="Arial"/>
          <w:color w:val="343434"/>
          <w:sz w:val="28"/>
          <w:szCs w:val="28"/>
          <w:shd w:val="clear" w:color="auto" w:fill="FFFFFF"/>
          <w:lang w:val="en-US"/>
        </w:rPr>
        <w:t xml:space="preserve">R) regularly analyzes changes </w:t>
      </w:r>
      <w:r>
        <w:rPr>
          <w:rFonts w:ascii="Arial" w:hAnsi="Arial" w:cs="Arial"/>
          <w:color w:val="343434"/>
          <w:sz w:val="28"/>
          <w:szCs w:val="28"/>
          <w:shd w:val="clear" w:color="auto" w:fill="FFFFFF"/>
          <w:lang w:val="en-US"/>
        </w:rPr>
        <w:t>of</w:t>
      </w:r>
      <w:r w:rsidRPr="00A01AEC">
        <w:rPr>
          <w:rFonts w:ascii="Arial" w:hAnsi="Arial" w:cs="Arial"/>
          <w:color w:val="343434"/>
          <w:sz w:val="28"/>
          <w:szCs w:val="28"/>
          <w:shd w:val="clear" w:color="auto" w:fill="FFFFFF"/>
          <w:lang w:val="en-US"/>
        </w:rPr>
        <w:t xml:space="preserve"> demand in the real estate and car markets. Changes </w:t>
      </w:r>
      <w:r>
        <w:rPr>
          <w:rFonts w:ascii="Arial" w:hAnsi="Arial" w:cs="Arial"/>
          <w:color w:val="343434"/>
          <w:sz w:val="28"/>
          <w:szCs w:val="28"/>
          <w:shd w:val="clear" w:color="auto" w:fill="FFFFFF"/>
          <w:lang w:val="en-US"/>
        </w:rPr>
        <w:t>of</w:t>
      </w:r>
      <w:r w:rsidRPr="00A01AEC">
        <w:rPr>
          <w:rFonts w:ascii="Arial" w:hAnsi="Arial" w:cs="Arial"/>
          <w:color w:val="343434"/>
          <w:sz w:val="28"/>
          <w:szCs w:val="28"/>
          <w:shd w:val="clear" w:color="auto" w:fill="FFFFFF"/>
          <w:lang w:val="en-US"/>
        </w:rPr>
        <w:t xml:space="preserve"> demand in these markets indicate a recovery </w:t>
      </w:r>
      <w:r>
        <w:rPr>
          <w:rFonts w:ascii="Arial" w:hAnsi="Arial" w:cs="Arial"/>
          <w:color w:val="343434"/>
          <w:sz w:val="28"/>
          <w:szCs w:val="28"/>
          <w:shd w:val="clear" w:color="auto" w:fill="FFFFFF"/>
          <w:lang w:val="en-US"/>
        </w:rPr>
        <w:t>of</w:t>
      </w:r>
      <w:r w:rsidRPr="00A01AEC">
        <w:rPr>
          <w:rFonts w:ascii="Arial" w:hAnsi="Arial" w:cs="Arial"/>
          <w:color w:val="343434"/>
          <w:sz w:val="28"/>
          <w:szCs w:val="28"/>
          <w:shd w:val="clear" w:color="auto" w:fill="FFFFFF"/>
          <w:lang w:val="en-US"/>
        </w:rPr>
        <w:t xml:space="preserve"> economic activity in Uzbekistan.</w:t>
      </w:r>
    </w:p>
    <w:p w:rsidR="008B7344" w:rsidRDefault="00A01AEC" w:rsidP="00A01AEC">
      <w:pPr>
        <w:jc w:val="both"/>
        <w:rPr>
          <w:rFonts w:ascii="Arial" w:hAnsi="Arial" w:cs="Arial"/>
          <w:sz w:val="30"/>
          <w:szCs w:val="30"/>
          <w:lang w:val="en-US"/>
        </w:rPr>
      </w:pPr>
      <w:r w:rsidRPr="00A01AEC">
        <w:rPr>
          <w:rFonts w:ascii="Arial" w:hAnsi="Arial" w:cs="Arial"/>
          <w:sz w:val="30"/>
          <w:szCs w:val="30"/>
          <w:lang w:val="en-US"/>
        </w:rPr>
        <w:t>In June this year</w:t>
      </w:r>
      <w:r>
        <w:rPr>
          <w:rFonts w:ascii="Arial" w:hAnsi="Arial" w:cs="Arial"/>
          <w:sz w:val="30"/>
          <w:szCs w:val="30"/>
          <w:lang w:val="en-US"/>
        </w:rPr>
        <w:t>,</w:t>
      </w:r>
      <w:r w:rsidRPr="00A01AEC">
        <w:rPr>
          <w:rFonts w:ascii="Arial" w:hAnsi="Arial" w:cs="Arial"/>
          <w:sz w:val="30"/>
          <w:szCs w:val="30"/>
          <w:lang w:val="en-US"/>
        </w:rPr>
        <w:t xml:space="preserve"> the number of </w:t>
      </w:r>
      <w:r>
        <w:rPr>
          <w:rFonts w:ascii="Arial" w:hAnsi="Arial" w:cs="Arial"/>
          <w:sz w:val="30"/>
          <w:szCs w:val="30"/>
          <w:lang w:val="en-US"/>
        </w:rPr>
        <w:t xml:space="preserve">concluded </w:t>
      </w:r>
      <w:r w:rsidRPr="00A01AEC">
        <w:rPr>
          <w:rFonts w:ascii="Arial" w:hAnsi="Arial" w:cs="Arial"/>
          <w:sz w:val="30"/>
          <w:szCs w:val="30"/>
          <w:lang w:val="en-US"/>
        </w:rPr>
        <w:t>real estate contracts amounted to 21.5 thousand, which is 16.8% more than in May</w:t>
      </w:r>
      <w:r>
        <w:rPr>
          <w:rFonts w:ascii="Arial" w:hAnsi="Arial" w:cs="Arial"/>
          <w:sz w:val="30"/>
          <w:szCs w:val="30"/>
          <w:lang w:val="en-US"/>
        </w:rPr>
        <w:t>.</w:t>
      </w:r>
      <w:r w:rsidRPr="00A01AEC">
        <w:rPr>
          <w:rFonts w:ascii="Arial" w:hAnsi="Arial" w:cs="Arial"/>
          <w:sz w:val="30"/>
          <w:szCs w:val="30"/>
          <w:lang w:val="en-US"/>
        </w:rPr>
        <w:t xml:space="preserve"> Compared to June 2019 (14.3 thousand), the number of concluded contracts for real estate increased by 50.6%. However, compared to June 2020, a decline was recorded by 36% (33.6 thousand), this is due to the fact that that last year a breakthrough was recorded in the real estate market, due to the gradual easing of strict quarantine measures after the imposed lockdown. At the same time, in June 2020, the number of real estate contracts in the country increased by 135.2% compared to June 2019 (14.3 thousand), while in Tashkent this figure (4.5 thousand in June 2019) increased by 148.7%.</w:t>
      </w:r>
    </w:p>
    <w:p w:rsidR="00A01AEC" w:rsidRPr="00A01AEC" w:rsidRDefault="00A01AEC" w:rsidP="002A2244">
      <w:pPr>
        <w:ind w:firstLine="708"/>
        <w:jc w:val="both"/>
        <w:rPr>
          <w:rFonts w:ascii="Arial" w:hAnsi="Arial" w:cs="Arial"/>
          <w:sz w:val="30"/>
          <w:szCs w:val="30"/>
          <w:lang w:val="en-US"/>
        </w:rPr>
      </w:pPr>
      <w:r w:rsidRPr="00A41DF9">
        <w:rPr>
          <w:rStyle w:val="a6"/>
          <w:rFonts w:ascii="Arial" w:hAnsi="Arial" w:cs="Arial"/>
          <w:b/>
          <w:bCs/>
          <w:color w:val="343434"/>
          <w:sz w:val="24"/>
          <w:szCs w:val="24"/>
          <w:shd w:val="clear" w:color="auto" w:fill="FFFFFF"/>
          <w:lang w:val="en-US"/>
        </w:rPr>
        <w:t>Fig. 1. Index of changes in the number of executed contracts for the purchase and sale of real estate in June 2021</w:t>
      </w:r>
      <w:r w:rsidRPr="00A01AEC">
        <w:rPr>
          <w:rStyle w:val="a6"/>
          <w:rFonts w:ascii="Arial" w:hAnsi="Arial" w:cs="Arial"/>
          <w:b/>
          <w:bCs/>
          <w:color w:val="343434"/>
          <w:shd w:val="clear" w:color="auto" w:fill="FFFFFF"/>
          <w:lang w:val="en-US"/>
        </w:rPr>
        <w:t>.</w:t>
      </w:r>
    </w:p>
    <w:p w:rsidR="00A01AEC" w:rsidRDefault="00A41DF9" w:rsidP="002A2244">
      <w:pPr>
        <w:ind w:firstLine="708"/>
        <w:jc w:val="both"/>
        <w:rPr>
          <w:rFonts w:ascii="Arial" w:hAnsi="Arial" w:cs="Arial"/>
          <w:sz w:val="30"/>
          <w:szCs w:val="30"/>
          <w:lang w:val="en-US"/>
        </w:rPr>
      </w:pPr>
      <w:r>
        <w:rPr>
          <w:noProof/>
          <w:lang w:val="en-US" w:bidi="he-IL"/>
        </w:rPr>
        <w:drawing>
          <wp:inline distT="0" distB="0" distL="0" distR="0">
            <wp:extent cx="6039356" cy="3990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3350" cy="3992979"/>
                    </a:xfrm>
                    <a:prstGeom prst="rect">
                      <a:avLst/>
                    </a:prstGeom>
                    <a:noFill/>
                    <a:ln>
                      <a:noFill/>
                    </a:ln>
                  </pic:spPr>
                </pic:pic>
              </a:graphicData>
            </a:graphic>
          </wp:inline>
        </w:drawing>
      </w:r>
    </w:p>
    <w:p w:rsidR="005C280A" w:rsidRDefault="005C280A" w:rsidP="002A2244">
      <w:pPr>
        <w:ind w:firstLine="708"/>
        <w:jc w:val="both"/>
        <w:rPr>
          <w:rFonts w:ascii="Arial" w:hAnsi="Arial" w:cs="Arial"/>
          <w:sz w:val="30"/>
          <w:szCs w:val="30"/>
          <w:lang w:val="en-US"/>
        </w:rPr>
      </w:pPr>
    </w:p>
    <w:p w:rsidR="005C280A" w:rsidRDefault="005C280A" w:rsidP="002A2244">
      <w:pPr>
        <w:ind w:firstLine="708"/>
        <w:jc w:val="both"/>
        <w:rPr>
          <w:rFonts w:ascii="Arial" w:hAnsi="Arial" w:cs="Arial"/>
          <w:sz w:val="30"/>
          <w:szCs w:val="30"/>
          <w:lang w:val="en-US"/>
        </w:rPr>
      </w:pPr>
    </w:p>
    <w:p w:rsidR="00A01AEC" w:rsidRDefault="00A41DF9" w:rsidP="002A2244">
      <w:pPr>
        <w:ind w:firstLine="708"/>
        <w:jc w:val="both"/>
        <w:rPr>
          <w:rFonts w:ascii="Arial" w:hAnsi="Arial" w:cs="Arial"/>
          <w:sz w:val="30"/>
          <w:szCs w:val="30"/>
          <w:lang w:val="en-US"/>
        </w:rPr>
      </w:pPr>
      <w:r w:rsidRPr="00A41DF9">
        <w:rPr>
          <w:rFonts w:ascii="Arial" w:hAnsi="Arial" w:cs="Arial"/>
          <w:sz w:val="30"/>
          <w:szCs w:val="30"/>
          <w:lang w:val="en-US"/>
        </w:rPr>
        <w:t xml:space="preserve">In the context of regions, growth in comparison with May was observed in all regions of the republic. The highest growth rates were observed in Samarkand (31.7%), Fergana (27.1%), Namangan (26.2%), </w:t>
      </w:r>
      <w:proofErr w:type="spellStart"/>
      <w:r w:rsidRPr="00A41DF9">
        <w:rPr>
          <w:rFonts w:ascii="Arial" w:hAnsi="Arial" w:cs="Arial"/>
          <w:sz w:val="30"/>
          <w:szCs w:val="30"/>
          <w:lang w:val="en-US"/>
        </w:rPr>
        <w:t>Jizzakh</w:t>
      </w:r>
      <w:proofErr w:type="spellEnd"/>
      <w:r w:rsidRPr="00A41DF9">
        <w:rPr>
          <w:rFonts w:ascii="Arial" w:hAnsi="Arial" w:cs="Arial"/>
          <w:sz w:val="30"/>
          <w:szCs w:val="30"/>
          <w:lang w:val="en-US"/>
        </w:rPr>
        <w:t xml:space="preserve"> (25.7%) and </w:t>
      </w:r>
      <w:proofErr w:type="spellStart"/>
      <w:r w:rsidRPr="00A41DF9">
        <w:rPr>
          <w:rFonts w:ascii="Arial" w:hAnsi="Arial" w:cs="Arial"/>
          <w:sz w:val="30"/>
          <w:szCs w:val="30"/>
          <w:lang w:val="en-US"/>
        </w:rPr>
        <w:t>Navoi</w:t>
      </w:r>
      <w:proofErr w:type="spellEnd"/>
      <w:r w:rsidRPr="00A41DF9">
        <w:rPr>
          <w:rFonts w:ascii="Arial" w:hAnsi="Arial" w:cs="Arial"/>
          <w:sz w:val="30"/>
          <w:szCs w:val="30"/>
          <w:lang w:val="en-US"/>
        </w:rPr>
        <w:t xml:space="preserve"> (22.6%) regions.</w:t>
      </w:r>
    </w:p>
    <w:p w:rsidR="00A01AEC" w:rsidRPr="00A41DF9" w:rsidRDefault="00A41DF9" w:rsidP="002A2244">
      <w:pPr>
        <w:ind w:firstLine="708"/>
        <w:jc w:val="both"/>
        <w:rPr>
          <w:rFonts w:ascii="Arial" w:hAnsi="Arial" w:cs="Arial"/>
          <w:b/>
          <w:bCs/>
          <w:i/>
          <w:iCs/>
          <w:sz w:val="24"/>
          <w:szCs w:val="24"/>
          <w:lang w:val="en-US"/>
        </w:rPr>
      </w:pPr>
      <w:r w:rsidRPr="00A41DF9">
        <w:rPr>
          <w:rStyle w:val="a6"/>
          <w:rFonts w:ascii="Arial" w:hAnsi="Arial" w:cs="Arial"/>
          <w:b/>
          <w:bCs/>
          <w:i w:val="0"/>
          <w:iCs w:val="0"/>
          <w:color w:val="343434"/>
          <w:sz w:val="24"/>
          <w:szCs w:val="24"/>
          <w:shd w:val="clear" w:color="auto" w:fill="FFFFFF"/>
          <w:lang w:val="en-US"/>
        </w:rPr>
        <w:t>Fig. 2</w:t>
      </w:r>
      <w:r w:rsidRPr="00A41DF9">
        <w:rPr>
          <w:rFonts w:ascii="Arial" w:hAnsi="Arial" w:cs="Arial"/>
          <w:b/>
          <w:bCs/>
          <w:i/>
          <w:iCs/>
          <w:sz w:val="24"/>
          <w:szCs w:val="24"/>
          <w:lang w:val="en-US"/>
        </w:rPr>
        <w:t>. The relationship between mortgages and real estate sales</w:t>
      </w:r>
    </w:p>
    <w:p w:rsidR="00A01AEC" w:rsidRPr="008B7344" w:rsidRDefault="00A41DF9" w:rsidP="002A2244">
      <w:pPr>
        <w:ind w:firstLine="708"/>
        <w:jc w:val="both"/>
        <w:rPr>
          <w:rFonts w:ascii="Arial" w:hAnsi="Arial" w:cs="Arial"/>
          <w:sz w:val="30"/>
          <w:szCs w:val="30"/>
          <w:lang w:val="en-US"/>
        </w:rPr>
      </w:pPr>
      <w:r>
        <w:rPr>
          <w:noProof/>
          <w:lang w:val="en-US" w:bidi="he-IL"/>
        </w:rPr>
        <w:drawing>
          <wp:inline distT="0" distB="0" distL="0" distR="0">
            <wp:extent cx="6077726" cy="43668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4018" cy="4371419"/>
                    </a:xfrm>
                    <a:prstGeom prst="rect">
                      <a:avLst/>
                    </a:prstGeom>
                    <a:noFill/>
                    <a:ln>
                      <a:noFill/>
                    </a:ln>
                  </pic:spPr>
                </pic:pic>
              </a:graphicData>
            </a:graphic>
          </wp:inline>
        </w:drawing>
      </w:r>
    </w:p>
    <w:p w:rsidR="00A41DF9" w:rsidRPr="00A41DF9" w:rsidRDefault="00A41DF9" w:rsidP="00A41DF9">
      <w:pPr>
        <w:jc w:val="both"/>
        <w:rPr>
          <w:rFonts w:ascii="Arial" w:hAnsi="Arial" w:cs="Arial"/>
          <w:sz w:val="28"/>
          <w:szCs w:val="28"/>
          <w:lang w:val="uz-Cyrl-UZ"/>
        </w:rPr>
      </w:pPr>
      <w:bookmarkStart w:id="1" w:name="_Hlk64364883"/>
      <w:bookmarkStart w:id="2" w:name="_Hlk64365009"/>
      <w:r w:rsidRPr="00A41DF9">
        <w:rPr>
          <w:rFonts w:ascii="Arial" w:hAnsi="Arial" w:cs="Arial"/>
          <w:sz w:val="28"/>
          <w:szCs w:val="28"/>
          <w:lang w:val="uz-Cyrl-UZ"/>
        </w:rPr>
        <w:t>The analysis shows that there is a significant correlation between mortgage lending and real estate sales. An increase in the number of mortgage loans by 10% leads to an increase in real estate sales by an average of 6.7%.</w:t>
      </w:r>
    </w:p>
    <w:p w:rsidR="00A41DF9" w:rsidRPr="00A41DF9" w:rsidRDefault="00A41DF9" w:rsidP="00A41DF9">
      <w:pPr>
        <w:jc w:val="both"/>
        <w:rPr>
          <w:rFonts w:ascii="Arial" w:hAnsi="Arial" w:cs="Arial"/>
          <w:sz w:val="28"/>
          <w:szCs w:val="28"/>
          <w:lang w:val="uz-Cyrl-UZ"/>
        </w:rPr>
      </w:pPr>
      <w:r w:rsidRPr="00A41DF9">
        <w:rPr>
          <w:rFonts w:ascii="Arial" w:hAnsi="Arial" w:cs="Arial"/>
          <w:sz w:val="28"/>
          <w:szCs w:val="28"/>
          <w:lang w:val="uz-Cyrl-UZ"/>
        </w:rPr>
        <w:t>The volume of mortgage loans provided to the population in January-May 2021 amounted to 2.77 trillion.soums, while the number of these loans reached 21.1 thousand.</w:t>
      </w:r>
    </w:p>
    <w:p w:rsidR="00A41DF9" w:rsidRDefault="00A41DF9" w:rsidP="00A41DF9">
      <w:pPr>
        <w:jc w:val="both"/>
        <w:rPr>
          <w:rFonts w:ascii="Arial" w:hAnsi="Arial" w:cs="Arial"/>
          <w:sz w:val="28"/>
          <w:szCs w:val="28"/>
          <w:lang w:val="uz-Cyrl-UZ"/>
        </w:rPr>
      </w:pPr>
      <w:r w:rsidRPr="00A41DF9">
        <w:rPr>
          <w:rFonts w:ascii="Arial" w:hAnsi="Arial" w:cs="Arial"/>
          <w:sz w:val="28"/>
          <w:szCs w:val="28"/>
          <w:lang w:val="uz-Cyrl-UZ"/>
        </w:rPr>
        <w:t>In the context of regions, the largest number of mortgage loans fell on the city of Tashkent (4012, and the volume - 809.4 billion soums), Fergana (2122, and the volume - 248.1 billion soums), Surkhandarya (1782, and the volume - 185, 1 billion soums), Tashkent (1524, and the volume - 185.1 billion soums) and Andijan (1508, and the volume - 226.7 billion soums) regions.</w:t>
      </w:r>
    </w:p>
    <w:p w:rsidR="00A41DF9" w:rsidRDefault="00A41DF9" w:rsidP="00A41DF9">
      <w:pPr>
        <w:jc w:val="both"/>
        <w:rPr>
          <w:rFonts w:ascii="Arial" w:hAnsi="Arial" w:cs="Arial"/>
          <w:sz w:val="28"/>
          <w:szCs w:val="28"/>
          <w:lang w:val="uz-Cyrl-UZ"/>
        </w:rPr>
      </w:pPr>
    </w:p>
    <w:p w:rsidR="00A41DF9" w:rsidRDefault="00A41DF9" w:rsidP="00A41DF9">
      <w:pPr>
        <w:jc w:val="both"/>
        <w:rPr>
          <w:rFonts w:ascii="Arial" w:hAnsi="Arial" w:cs="Arial"/>
          <w:sz w:val="28"/>
          <w:szCs w:val="28"/>
          <w:lang w:val="uz-Cyrl-UZ"/>
        </w:rPr>
      </w:pPr>
    </w:p>
    <w:p w:rsidR="00A41DF9" w:rsidRDefault="00A41DF9" w:rsidP="00A41DF9">
      <w:pPr>
        <w:jc w:val="both"/>
        <w:rPr>
          <w:rFonts w:ascii="Arial" w:hAnsi="Arial" w:cs="Arial"/>
          <w:sz w:val="28"/>
          <w:szCs w:val="28"/>
          <w:lang w:val="uz-Cyrl-UZ"/>
        </w:rPr>
      </w:pPr>
    </w:p>
    <w:p w:rsidR="00A41DF9" w:rsidRDefault="00A41DF9" w:rsidP="00A41DF9">
      <w:pPr>
        <w:jc w:val="both"/>
        <w:rPr>
          <w:rFonts w:ascii="Arial" w:hAnsi="Arial" w:cs="Arial"/>
          <w:sz w:val="28"/>
          <w:szCs w:val="28"/>
          <w:lang w:val="uz-Cyrl-UZ"/>
        </w:rPr>
      </w:pPr>
    </w:p>
    <w:p w:rsidR="00A41DF9" w:rsidRPr="00A41DF9" w:rsidRDefault="00A41DF9" w:rsidP="00A41DF9">
      <w:pPr>
        <w:jc w:val="both"/>
        <w:rPr>
          <w:rFonts w:ascii="Arial" w:hAnsi="Arial" w:cs="Arial"/>
          <w:sz w:val="28"/>
          <w:szCs w:val="28"/>
          <w:lang w:val="uz-Cyrl-UZ"/>
        </w:rPr>
      </w:pPr>
    </w:p>
    <w:p w:rsidR="00A41DF9" w:rsidRPr="00A41DF9" w:rsidRDefault="00A41DF9" w:rsidP="00C3522F">
      <w:pPr>
        <w:jc w:val="center"/>
        <w:rPr>
          <w:rFonts w:ascii="Arial" w:hAnsi="Arial" w:cs="Arial"/>
          <w:b/>
          <w:bCs/>
          <w:i/>
          <w:iCs/>
          <w:sz w:val="24"/>
          <w:szCs w:val="24"/>
          <w:lang w:val="uz-Cyrl-UZ"/>
        </w:rPr>
      </w:pPr>
      <w:r w:rsidRPr="00A41DF9">
        <w:rPr>
          <w:rFonts w:ascii="Arial" w:hAnsi="Arial" w:cs="Arial"/>
          <w:b/>
          <w:bCs/>
          <w:i/>
          <w:iCs/>
          <w:sz w:val="24"/>
          <w:szCs w:val="24"/>
          <w:lang w:val="en-US"/>
        </w:rPr>
        <w:t>Fig.</w:t>
      </w:r>
      <w:r w:rsidR="00B751C7">
        <w:rPr>
          <w:rFonts w:ascii="Arial" w:hAnsi="Arial" w:cs="Arial"/>
          <w:b/>
          <w:bCs/>
          <w:i/>
          <w:iCs/>
          <w:sz w:val="24"/>
          <w:szCs w:val="24"/>
          <w:lang w:val="en-US"/>
        </w:rPr>
        <w:t>3.</w:t>
      </w:r>
      <w:r w:rsidRPr="00A41DF9">
        <w:rPr>
          <w:rFonts w:ascii="Arial" w:hAnsi="Arial" w:cs="Arial"/>
          <w:b/>
          <w:bCs/>
          <w:i/>
          <w:iCs/>
          <w:sz w:val="24"/>
          <w:szCs w:val="24"/>
          <w:lang w:val="uz-Cyrl-UZ"/>
        </w:rPr>
        <w:t xml:space="preserve"> Mortgage loans provided to the population in January-</w:t>
      </w:r>
      <w:r w:rsidR="005C280A">
        <w:rPr>
          <w:rFonts w:ascii="Arial" w:hAnsi="Arial" w:cs="Arial"/>
          <w:b/>
          <w:bCs/>
          <w:i/>
          <w:iCs/>
          <w:sz w:val="24"/>
          <w:szCs w:val="24"/>
          <w:lang w:val="en-US"/>
        </w:rPr>
        <w:t>May</w:t>
      </w:r>
      <w:r w:rsidRPr="00A41DF9">
        <w:rPr>
          <w:rFonts w:ascii="Arial" w:hAnsi="Arial" w:cs="Arial"/>
          <w:b/>
          <w:bCs/>
          <w:i/>
          <w:iCs/>
          <w:sz w:val="24"/>
          <w:szCs w:val="24"/>
          <w:lang w:val="uz-Cyrl-UZ"/>
        </w:rPr>
        <w:t xml:space="preserve"> 2021</w:t>
      </w:r>
    </w:p>
    <w:p w:rsidR="00A41DF9" w:rsidRDefault="00A41DF9" w:rsidP="00C3522F">
      <w:pPr>
        <w:jc w:val="center"/>
        <w:rPr>
          <w:rFonts w:ascii="Arial" w:hAnsi="Arial" w:cs="Arial"/>
          <w:b/>
          <w:bCs/>
          <w:sz w:val="30"/>
          <w:szCs w:val="30"/>
          <w:lang w:val="uz-Cyrl-UZ"/>
        </w:rPr>
      </w:pPr>
      <w:r>
        <w:rPr>
          <w:noProof/>
          <w:lang w:val="en-US" w:bidi="he-IL"/>
        </w:rPr>
        <w:drawing>
          <wp:inline distT="0" distB="0" distL="0" distR="0" wp14:anchorId="4E6387F7" wp14:editId="5B63EBCA">
            <wp:extent cx="6543675" cy="4276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3675" cy="4276725"/>
                    </a:xfrm>
                    <a:prstGeom prst="rect">
                      <a:avLst/>
                    </a:prstGeom>
                    <a:noFill/>
                    <a:ln>
                      <a:noFill/>
                    </a:ln>
                  </pic:spPr>
                </pic:pic>
              </a:graphicData>
            </a:graphic>
          </wp:inline>
        </w:drawing>
      </w:r>
    </w:p>
    <w:p w:rsidR="00A41DF9" w:rsidRDefault="00A41DF9" w:rsidP="00854BDD">
      <w:pPr>
        <w:jc w:val="right"/>
        <w:rPr>
          <w:rFonts w:ascii="Arial" w:hAnsi="Arial" w:cs="Arial"/>
          <w:b/>
          <w:bCs/>
          <w:sz w:val="30"/>
          <w:szCs w:val="30"/>
          <w:lang w:val="uz-Cyrl-UZ"/>
        </w:rPr>
      </w:pPr>
    </w:p>
    <w:p w:rsidR="00854BDD" w:rsidRDefault="00854BDD" w:rsidP="00854BDD">
      <w:pPr>
        <w:jc w:val="right"/>
        <w:rPr>
          <w:rFonts w:ascii="Arial" w:hAnsi="Arial" w:cs="Arial"/>
          <w:b/>
          <w:bCs/>
          <w:sz w:val="30"/>
          <w:szCs w:val="30"/>
          <w:lang w:val="uz-Cyrl-UZ"/>
        </w:rPr>
      </w:pPr>
    </w:p>
    <w:p w:rsidR="00A41DF9" w:rsidRPr="00A41DF9" w:rsidRDefault="00A41DF9" w:rsidP="00854BDD">
      <w:pPr>
        <w:jc w:val="right"/>
        <w:rPr>
          <w:rFonts w:ascii="Arial" w:hAnsi="Arial" w:cs="Arial"/>
          <w:i/>
          <w:iCs/>
          <w:sz w:val="28"/>
          <w:szCs w:val="28"/>
          <w:lang w:val="uz-Cyrl-UZ"/>
        </w:rPr>
      </w:pPr>
      <w:r w:rsidRPr="00A41DF9">
        <w:rPr>
          <w:rFonts w:ascii="Arial" w:hAnsi="Arial" w:cs="Arial"/>
          <w:i/>
          <w:iCs/>
          <w:sz w:val="28"/>
          <w:szCs w:val="28"/>
          <w:lang w:val="uz-Cyrl-UZ"/>
        </w:rPr>
        <w:t>Khalilullokh Khamidov, Chief Researcher, CE</w:t>
      </w:r>
      <w:r w:rsidRPr="00854BDD">
        <w:rPr>
          <w:rFonts w:ascii="Arial" w:hAnsi="Arial" w:cs="Arial"/>
          <w:i/>
          <w:iCs/>
          <w:sz w:val="28"/>
          <w:szCs w:val="28"/>
          <w:lang w:val="uz-Cyrl-UZ"/>
        </w:rPr>
        <w:t>R</w:t>
      </w:r>
      <w:r w:rsidRPr="00A41DF9">
        <w:rPr>
          <w:rFonts w:ascii="Arial" w:hAnsi="Arial" w:cs="Arial"/>
          <w:i/>
          <w:iCs/>
          <w:sz w:val="28"/>
          <w:szCs w:val="28"/>
          <w:lang w:val="uz-Cyrl-UZ"/>
        </w:rPr>
        <w:t>R</w:t>
      </w:r>
    </w:p>
    <w:p w:rsidR="00A41DF9" w:rsidRDefault="00A41DF9" w:rsidP="00C3522F">
      <w:pPr>
        <w:jc w:val="center"/>
        <w:rPr>
          <w:rFonts w:ascii="Arial" w:hAnsi="Arial" w:cs="Arial"/>
          <w:b/>
          <w:bCs/>
          <w:sz w:val="30"/>
          <w:szCs w:val="30"/>
          <w:lang w:val="uz-Cyrl-UZ"/>
        </w:rPr>
      </w:pPr>
    </w:p>
    <w:p w:rsidR="00A41DF9" w:rsidRDefault="00A41DF9" w:rsidP="00C3522F">
      <w:pPr>
        <w:jc w:val="center"/>
        <w:rPr>
          <w:rFonts w:ascii="Arial" w:hAnsi="Arial" w:cs="Arial"/>
          <w:b/>
          <w:bCs/>
          <w:sz w:val="30"/>
          <w:szCs w:val="30"/>
          <w:lang w:val="uz-Cyrl-UZ"/>
        </w:rPr>
      </w:pPr>
    </w:p>
    <w:bookmarkEnd w:id="1"/>
    <w:bookmarkEnd w:id="2"/>
    <w:p w:rsidR="007419F7" w:rsidRPr="00690598" w:rsidRDefault="007419F7" w:rsidP="00690598">
      <w:pPr>
        <w:rPr>
          <w:rFonts w:ascii="Arial" w:hAnsi="Arial" w:cs="Arial"/>
          <w:b/>
          <w:bCs/>
          <w:sz w:val="30"/>
          <w:szCs w:val="30"/>
          <w:lang w:val="uz-Cyrl-UZ"/>
        </w:rPr>
      </w:pPr>
    </w:p>
    <w:sectPr w:rsidR="007419F7" w:rsidRPr="00690598" w:rsidSect="00C3522F">
      <w:pgSz w:w="11906" w:h="16838"/>
      <w:pgMar w:top="709" w:right="568"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56E"/>
    <w:multiLevelType w:val="hybridMultilevel"/>
    <w:tmpl w:val="6BC28EC4"/>
    <w:lvl w:ilvl="0" w:tplc="1C9E2D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1426B22"/>
    <w:multiLevelType w:val="hybridMultilevel"/>
    <w:tmpl w:val="62560DEE"/>
    <w:lvl w:ilvl="0" w:tplc="23EC8F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30"/>
    <w:rsid w:val="000176B6"/>
    <w:rsid w:val="00033EEE"/>
    <w:rsid w:val="00072001"/>
    <w:rsid w:val="00077262"/>
    <w:rsid w:val="00086430"/>
    <w:rsid w:val="000B13D1"/>
    <w:rsid w:val="00101C29"/>
    <w:rsid w:val="00135B9B"/>
    <w:rsid w:val="00141481"/>
    <w:rsid w:val="0015766B"/>
    <w:rsid w:val="001615D8"/>
    <w:rsid w:val="00162998"/>
    <w:rsid w:val="00165E5C"/>
    <w:rsid w:val="00173277"/>
    <w:rsid w:val="001822EC"/>
    <w:rsid w:val="001B6EE9"/>
    <w:rsid w:val="001E3AD5"/>
    <w:rsid w:val="001E7C23"/>
    <w:rsid w:val="001F5F1E"/>
    <w:rsid w:val="00217FF4"/>
    <w:rsid w:val="002429F5"/>
    <w:rsid w:val="00246A5F"/>
    <w:rsid w:val="00260B13"/>
    <w:rsid w:val="00292E57"/>
    <w:rsid w:val="00295FE4"/>
    <w:rsid w:val="002A2244"/>
    <w:rsid w:val="002A2CEE"/>
    <w:rsid w:val="002A3617"/>
    <w:rsid w:val="002C3CC1"/>
    <w:rsid w:val="002D2A39"/>
    <w:rsid w:val="002E4089"/>
    <w:rsid w:val="002F00AB"/>
    <w:rsid w:val="002F3B5F"/>
    <w:rsid w:val="0032703C"/>
    <w:rsid w:val="00337919"/>
    <w:rsid w:val="003452A5"/>
    <w:rsid w:val="00352FD0"/>
    <w:rsid w:val="0037267C"/>
    <w:rsid w:val="003734B2"/>
    <w:rsid w:val="003800F7"/>
    <w:rsid w:val="00381857"/>
    <w:rsid w:val="003C21C6"/>
    <w:rsid w:val="003D4987"/>
    <w:rsid w:val="003E2B24"/>
    <w:rsid w:val="003F4ECC"/>
    <w:rsid w:val="004725D3"/>
    <w:rsid w:val="004823E9"/>
    <w:rsid w:val="004836DE"/>
    <w:rsid w:val="004B5D15"/>
    <w:rsid w:val="004C523C"/>
    <w:rsid w:val="004D1CE7"/>
    <w:rsid w:val="004D49B8"/>
    <w:rsid w:val="004D5A0E"/>
    <w:rsid w:val="004E0FB0"/>
    <w:rsid w:val="005003A1"/>
    <w:rsid w:val="00506734"/>
    <w:rsid w:val="00513317"/>
    <w:rsid w:val="00526262"/>
    <w:rsid w:val="005420D9"/>
    <w:rsid w:val="00543D5D"/>
    <w:rsid w:val="00573BD8"/>
    <w:rsid w:val="005C2204"/>
    <w:rsid w:val="005C280A"/>
    <w:rsid w:val="005C4CF6"/>
    <w:rsid w:val="005F0127"/>
    <w:rsid w:val="006060E5"/>
    <w:rsid w:val="006354DC"/>
    <w:rsid w:val="00650EEC"/>
    <w:rsid w:val="0068782E"/>
    <w:rsid w:val="00690598"/>
    <w:rsid w:val="00697946"/>
    <w:rsid w:val="006C1E0E"/>
    <w:rsid w:val="006C4407"/>
    <w:rsid w:val="006C5868"/>
    <w:rsid w:val="006E5ECF"/>
    <w:rsid w:val="006F4628"/>
    <w:rsid w:val="00717232"/>
    <w:rsid w:val="00732146"/>
    <w:rsid w:val="007373DF"/>
    <w:rsid w:val="007419F7"/>
    <w:rsid w:val="00741C90"/>
    <w:rsid w:val="007434E4"/>
    <w:rsid w:val="00746C1D"/>
    <w:rsid w:val="007541CA"/>
    <w:rsid w:val="00775E2E"/>
    <w:rsid w:val="00785D61"/>
    <w:rsid w:val="00790CF4"/>
    <w:rsid w:val="007B54AF"/>
    <w:rsid w:val="007C5C75"/>
    <w:rsid w:val="007D650A"/>
    <w:rsid w:val="007D7C2B"/>
    <w:rsid w:val="007F4BE4"/>
    <w:rsid w:val="00845EF8"/>
    <w:rsid w:val="00852672"/>
    <w:rsid w:val="00854BDD"/>
    <w:rsid w:val="00864FBC"/>
    <w:rsid w:val="008A46C0"/>
    <w:rsid w:val="008B44B0"/>
    <w:rsid w:val="008B7344"/>
    <w:rsid w:val="008C1E20"/>
    <w:rsid w:val="008E57A9"/>
    <w:rsid w:val="008E69D7"/>
    <w:rsid w:val="008F1284"/>
    <w:rsid w:val="009153A0"/>
    <w:rsid w:val="0099638C"/>
    <w:rsid w:val="009A52E7"/>
    <w:rsid w:val="009A7634"/>
    <w:rsid w:val="009B38B6"/>
    <w:rsid w:val="00A01AEC"/>
    <w:rsid w:val="00A106A3"/>
    <w:rsid w:val="00A14A9A"/>
    <w:rsid w:val="00A15C87"/>
    <w:rsid w:val="00A21EF9"/>
    <w:rsid w:val="00A22F1D"/>
    <w:rsid w:val="00A25F1B"/>
    <w:rsid w:val="00A348D0"/>
    <w:rsid w:val="00A41DF9"/>
    <w:rsid w:val="00A9244E"/>
    <w:rsid w:val="00AB2BAE"/>
    <w:rsid w:val="00AD17B9"/>
    <w:rsid w:val="00AD492C"/>
    <w:rsid w:val="00AD6155"/>
    <w:rsid w:val="00B150E7"/>
    <w:rsid w:val="00B207D7"/>
    <w:rsid w:val="00B222A2"/>
    <w:rsid w:val="00B355BE"/>
    <w:rsid w:val="00B41CE5"/>
    <w:rsid w:val="00B6604C"/>
    <w:rsid w:val="00B751C7"/>
    <w:rsid w:val="00B91B41"/>
    <w:rsid w:val="00BA2E41"/>
    <w:rsid w:val="00BD63B0"/>
    <w:rsid w:val="00C04A69"/>
    <w:rsid w:val="00C22821"/>
    <w:rsid w:val="00C26B9B"/>
    <w:rsid w:val="00C30C89"/>
    <w:rsid w:val="00C3522F"/>
    <w:rsid w:val="00C41850"/>
    <w:rsid w:val="00C73ADC"/>
    <w:rsid w:val="00C901B8"/>
    <w:rsid w:val="00CC78C3"/>
    <w:rsid w:val="00CD7444"/>
    <w:rsid w:val="00D04D73"/>
    <w:rsid w:val="00D14551"/>
    <w:rsid w:val="00D202B0"/>
    <w:rsid w:val="00D2272D"/>
    <w:rsid w:val="00D43FA7"/>
    <w:rsid w:val="00D524F6"/>
    <w:rsid w:val="00D67FBF"/>
    <w:rsid w:val="00D7254B"/>
    <w:rsid w:val="00D74F15"/>
    <w:rsid w:val="00D81080"/>
    <w:rsid w:val="00D93485"/>
    <w:rsid w:val="00DB4618"/>
    <w:rsid w:val="00DC0546"/>
    <w:rsid w:val="00DC167F"/>
    <w:rsid w:val="00E072E7"/>
    <w:rsid w:val="00E10FB6"/>
    <w:rsid w:val="00E30842"/>
    <w:rsid w:val="00E32A52"/>
    <w:rsid w:val="00E4613E"/>
    <w:rsid w:val="00E51606"/>
    <w:rsid w:val="00E553C8"/>
    <w:rsid w:val="00E55F08"/>
    <w:rsid w:val="00E679E4"/>
    <w:rsid w:val="00EB67B5"/>
    <w:rsid w:val="00EC27D6"/>
    <w:rsid w:val="00ED6E93"/>
    <w:rsid w:val="00F158B1"/>
    <w:rsid w:val="00F30FBF"/>
    <w:rsid w:val="00F94332"/>
    <w:rsid w:val="00FA1FBF"/>
    <w:rsid w:val="00FD6F1F"/>
    <w:rsid w:val="00FE6CA3"/>
    <w:rsid w:val="00FE73C1"/>
    <w:rsid w:val="00FE7ABC"/>
    <w:rsid w:val="00FF3FF5"/>
    <w:rsid w:val="00FF4DB7"/>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50231-2480-44F8-A3B6-11018C88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D0"/>
  </w:style>
  <w:style w:type="paragraph" w:styleId="1">
    <w:name w:val="heading 1"/>
    <w:basedOn w:val="a"/>
    <w:link w:val="10"/>
    <w:uiPriority w:val="9"/>
    <w:qFormat/>
    <w:rsid w:val="008B73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0D9"/>
    <w:pPr>
      <w:ind w:left="720"/>
      <w:contextualSpacing/>
    </w:pPr>
  </w:style>
  <w:style w:type="paragraph" w:styleId="a4">
    <w:name w:val="Balloon Text"/>
    <w:basedOn w:val="a"/>
    <w:link w:val="a5"/>
    <w:uiPriority w:val="99"/>
    <w:semiHidden/>
    <w:unhideWhenUsed/>
    <w:rsid w:val="007D650A"/>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7D650A"/>
    <w:rPr>
      <w:rFonts w:ascii="Segoe UI" w:hAnsi="Segoe UI" w:cs="Segoe UI"/>
      <w:sz w:val="18"/>
      <w:szCs w:val="18"/>
    </w:rPr>
  </w:style>
  <w:style w:type="character" w:customStyle="1" w:styleId="10">
    <w:name w:val="כותרת 1 תו"/>
    <w:basedOn w:val="a0"/>
    <w:link w:val="1"/>
    <w:uiPriority w:val="9"/>
    <w:rsid w:val="008B7344"/>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A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44534">
      <w:bodyDiv w:val="1"/>
      <w:marLeft w:val="0"/>
      <w:marRight w:val="0"/>
      <w:marTop w:val="0"/>
      <w:marBottom w:val="0"/>
      <w:divBdr>
        <w:top w:val="none" w:sz="0" w:space="0" w:color="auto"/>
        <w:left w:val="none" w:sz="0" w:space="0" w:color="auto"/>
        <w:bottom w:val="none" w:sz="0" w:space="0" w:color="auto"/>
        <w:right w:val="none" w:sz="0" w:space="0" w:color="auto"/>
      </w:divBdr>
    </w:div>
    <w:div w:id="1120297562">
      <w:bodyDiv w:val="1"/>
      <w:marLeft w:val="0"/>
      <w:marRight w:val="0"/>
      <w:marTop w:val="0"/>
      <w:marBottom w:val="0"/>
      <w:divBdr>
        <w:top w:val="none" w:sz="0" w:space="0" w:color="auto"/>
        <w:left w:val="none" w:sz="0" w:space="0" w:color="auto"/>
        <w:bottom w:val="none" w:sz="0" w:space="0" w:color="auto"/>
        <w:right w:val="none" w:sz="0" w:space="0" w:color="auto"/>
      </w:divBdr>
    </w:div>
    <w:div w:id="19396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2039</Characters>
  <Application>Microsoft Office Word</Application>
  <DocSecurity>0</DocSecurity>
  <Lines>16</Lines>
  <Paragraphs>4</Paragraphs>
  <ScaleCrop>false</ScaleCrop>
  <HeadingPairs>
    <vt:vector size="6" baseType="variant">
      <vt:variant>
        <vt:lpstr>שם</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Khalilillo Khamidov</dc:creator>
  <cp:lastModifiedBy>Yonat Keren - Chamber of Commerce</cp:lastModifiedBy>
  <cp:revision>2</cp:revision>
  <cp:lastPrinted>2021-02-15T07:37:00Z</cp:lastPrinted>
  <dcterms:created xsi:type="dcterms:W3CDTF">2021-08-09T10:26:00Z</dcterms:created>
  <dcterms:modified xsi:type="dcterms:W3CDTF">2021-08-09T10:26:00Z</dcterms:modified>
</cp:coreProperties>
</file>