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B" w:rsidRDefault="002012AB" w:rsidP="005F0271">
      <w:pPr>
        <w:jc w:val="center"/>
        <w:rPr>
          <w:b/>
          <w:bCs/>
          <w:sz w:val="26"/>
          <w:szCs w:val="26"/>
          <w:rtl/>
        </w:rPr>
      </w:pPr>
      <w:bookmarkStart w:id="0" w:name="_Toc54025541"/>
      <w:bookmarkStart w:id="1" w:name="_Toc54025558"/>
      <w:bookmarkStart w:id="2" w:name="_Toc55819461"/>
      <w:bookmarkStart w:id="3" w:name="_Toc55819478"/>
      <w:bookmarkStart w:id="4" w:name="_GoBack"/>
      <w:bookmarkEnd w:id="4"/>
      <w:r>
        <w:rPr>
          <w:noProof/>
        </w:rPr>
        <w:drawing>
          <wp:inline distT="0" distB="0" distL="0" distR="0" wp14:anchorId="6534A29F" wp14:editId="2F4F8E92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AB" w:rsidRDefault="002012AB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2012AB" w:rsidRDefault="002012AB" w:rsidP="002012AB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56710594" w:history="1">
        <w:r w:rsidRPr="00B46831">
          <w:rPr>
            <w:rStyle w:val="Hyperlink"/>
            <w:rFonts w:hint="eastAsia"/>
            <w:noProof/>
            <w:rtl/>
          </w:rPr>
          <w:t>טיוטת</w:t>
        </w:r>
        <w:r w:rsidRPr="00B46831">
          <w:rPr>
            <w:rStyle w:val="Hyperlink"/>
            <w:noProof/>
            <w:rtl/>
          </w:rPr>
          <w:t xml:space="preserve"> </w:t>
        </w:r>
        <w:r w:rsidRPr="00B46831">
          <w:rPr>
            <w:rStyle w:val="Hyperlink"/>
            <w:rFonts w:hint="eastAsia"/>
            <w:noProof/>
            <w:rtl/>
          </w:rPr>
          <w:t>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Toc56710594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2012AB" w:rsidRDefault="00104603" w:rsidP="002012AB">
      <w:pPr>
        <w:pStyle w:val="TOC4"/>
        <w:rPr>
          <w:rFonts w:cstheme="minorBidi"/>
          <w:rtl/>
        </w:rPr>
      </w:pPr>
      <w:hyperlink w:anchor="_Toc56710595" w:history="1">
        <w:r w:rsidR="002012AB" w:rsidRPr="00B46831">
          <w:rPr>
            <w:rStyle w:val="Hyperlink"/>
            <w:rFonts w:hint="eastAsia"/>
            <w:rtl/>
          </w:rPr>
          <w:t>א</w:t>
        </w:r>
        <w:r w:rsidR="002012AB" w:rsidRPr="00B46831">
          <w:rPr>
            <w:rStyle w:val="Hyperlink"/>
            <w:rtl/>
          </w:rPr>
          <w:t xml:space="preserve">. </w:t>
        </w:r>
        <w:r w:rsidR="002012AB" w:rsidRPr="00B46831">
          <w:rPr>
            <w:rStyle w:val="Hyperlink"/>
            <w:rFonts w:hint="eastAsia"/>
            <w:rtl/>
          </w:rPr>
          <w:t>שם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הצו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המוצע</w:t>
        </w:r>
        <w:r w:rsidR="002012AB">
          <w:rPr>
            <w:webHidden/>
            <w:rtl/>
          </w:rPr>
          <w:tab/>
        </w:r>
        <w:r w:rsidR="002012AB">
          <w:rPr>
            <w:webHidden/>
            <w:rtl/>
          </w:rPr>
          <w:fldChar w:fldCharType="begin"/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</w:rPr>
          <w:instrText>PAGEREF</w:instrText>
        </w:r>
        <w:r w:rsidR="002012AB">
          <w:rPr>
            <w:webHidden/>
            <w:rtl/>
          </w:rPr>
          <w:instrText xml:space="preserve"> _</w:instrText>
        </w:r>
        <w:r w:rsidR="002012AB">
          <w:rPr>
            <w:webHidden/>
          </w:rPr>
          <w:instrText>Toc56710595 \h</w:instrText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  <w:rtl/>
          </w:rPr>
        </w:r>
        <w:r w:rsidR="002012AB">
          <w:rPr>
            <w:webHidden/>
            <w:rtl/>
          </w:rPr>
          <w:fldChar w:fldCharType="separate"/>
        </w:r>
        <w:r w:rsidR="002012AB">
          <w:rPr>
            <w:webHidden/>
            <w:rtl/>
          </w:rPr>
          <w:t>2</w:t>
        </w:r>
        <w:r w:rsidR="002012AB">
          <w:rPr>
            <w:webHidden/>
            <w:rtl/>
          </w:rPr>
          <w:fldChar w:fldCharType="end"/>
        </w:r>
      </w:hyperlink>
    </w:p>
    <w:p w:rsidR="002012AB" w:rsidRDefault="00104603" w:rsidP="002012AB">
      <w:pPr>
        <w:pStyle w:val="TOC4"/>
        <w:rPr>
          <w:rFonts w:cstheme="minorBidi"/>
          <w:rtl/>
        </w:rPr>
      </w:pPr>
      <w:hyperlink w:anchor="_Toc56710596" w:history="1">
        <w:r w:rsidR="002012AB" w:rsidRPr="00B46831">
          <w:rPr>
            <w:rStyle w:val="Hyperlink"/>
            <w:rFonts w:hint="eastAsia"/>
            <w:rtl/>
          </w:rPr>
          <w:t>ב</w:t>
        </w:r>
        <w:r w:rsidR="002012AB" w:rsidRPr="00B46831">
          <w:rPr>
            <w:rStyle w:val="Hyperlink"/>
            <w:rtl/>
          </w:rPr>
          <w:t xml:space="preserve">. </w:t>
        </w:r>
        <w:r w:rsidR="002012AB" w:rsidRPr="00B46831">
          <w:rPr>
            <w:rStyle w:val="Hyperlink"/>
            <w:rFonts w:hint="eastAsia"/>
            <w:rtl/>
          </w:rPr>
          <w:t>מטרת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הצו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המוצע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והצורך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בו</w:t>
        </w:r>
        <w:r w:rsidR="002012AB">
          <w:rPr>
            <w:webHidden/>
            <w:rtl/>
          </w:rPr>
          <w:tab/>
        </w:r>
        <w:r w:rsidR="002012AB">
          <w:rPr>
            <w:webHidden/>
            <w:rtl/>
          </w:rPr>
          <w:fldChar w:fldCharType="begin"/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</w:rPr>
          <w:instrText>PAGEREF</w:instrText>
        </w:r>
        <w:r w:rsidR="002012AB">
          <w:rPr>
            <w:webHidden/>
            <w:rtl/>
          </w:rPr>
          <w:instrText xml:space="preserve"> _</w:instrText>
        </w:r>
        <w:r w:rsidR="002012AB">
          <w:rPr>
            <w:webHidden/>
          </w:rPr>
          <w:instrText>Toc56710596 \h</w:instrText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  <w:rtl/>
          </w:rPr>
        </w:r>
        <w:r w:rsidR="002012AB">
          <w:rPr>
            <w:webHidden/>
            <w:rtl/>
          </w:rPr>
          <w:fldChar w:fldCharType="separate"/>
        </w:r>
        <w:r w:rsidR="002012AB">
          <w:rPr>
            <w:webHidden/>
            <w:rtl/>
          </w:rPr>
          <w:t>2</w:t>
        </w:r>
        <w:r w:rsidR="002012AB">
          <w:rPr>
            <w:webHidden/>
            <w:rtl/>
          </w:rPr>
          <w:fldChar w:fldCharType="end"/>
        </w:r>
      </w:hyperlink>
    </w:p>
    <w:p w:rsidR="002012AB" w:rsidRDefault="00104603" w:rsidP="002012AB">
      <w:pPr>
        <w:pStyle w:val="TOC4"/>
        <w:rPr>
          <w:rFonts w:cstheme="minorBidi"/>
          <w:rtl/>
        </w:rPr>
      </w:pPr>
      <w:hyperlink w:anchor="_Toc56710597" w:history="1">
        <w:r w:rsidR="002012AB" w:rsidRPr="00B46831">
          <w:rPr>
            <w:rStyle w:val="Hyperlink"/>
            <w:rFonts w:hint="eastAsia"/>
            <w:rtl/>
          </w:rPr>
          <w:t>ג</w:t>
        </w:r>
        <w:r w:rsidR="002012AB" w:rsidRPr="00B46831">
          <w:rPr>
            <w:rStyle w:val="Hyperlink"/>
            <w:rtl/>
          </w:rPr>
          <w:t xml:space="preserve">. </w:t>
        </w:r>
        <w:r w:rsidR="002012AB" w:rsidRPr="00B46831">
          <w:rPr>
            <w:rStyle w:val="Hyperlink"/>
            <w:rFonts w:hint="eastAsia"/>
            <w:rtl/>
          </w:rPr>
          <w:t>להלן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נוסח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טיוטת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הצו</w:t>
        </w:r>
        <w:r w:rsidR="002012AB" w:rsidRPr="00B46831">
          <w:rPr>
            <w:rStyle w:val="Hyperlink"/>
            <w:rtl/>
          </w:rPr>
          <w:t xml:space="preserve"> </w:t>
        </w:r>
        <w:r w:rsidR="002012AB" w:rsidRPr="00B46831">
          <w:rPr>
            <w:rStyle w:val="Hyperlink"/>
            <w:rFonts w:hint="eastAsia"/>
            <w:rtl/>
          </w:rPr>
          <w:t>המוצע</w:t>
        </w:r>
        <w:r w:rsidR="002012AB" w:rsidRPr="00B46831">
          <w:rPr>
            <w:rStyle w:val="Hyperlink"/>
            <w:rtl/>
          </w:rPr>
          <w:t>:</w:t>
        </w:r>
        <w:r w:rsidR="002012AB">
          <w:rPr>
            <w:webHidden/>
            <w:rtl/>
          </w:rPr>
          <w:tab/>
        </w:r>
        <w:r w:rsidR="002012AB">
          <w:rPr>
            <w:webHidden/>
            <w:rtl/>
          </w:rPr>
          <w:fldChar w:fldCharType="begin"/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</w:rPr>
          <w:instrText>PAGEREF</w:instrText>
        </w:r>
        <w:r w:rsidR="002012AB">
          <w:rPr>
            <w:webHidden/>
            <w:rtl/>
          </w:rPr>
          <w:instrText xml:space="preserve"> _</w:instrText>
        </w:r>
        <w:r w:rsidR="002012AB">
          <w:rPr>
            <w:webHidden/>
          </w:rPr>
          <w:instrText>Toc56710597 \h</w:instrText>
        </w:r>
        <w:r w:rsidR="002012AB">
          <w:rPr>
            <w:webHidden/>
            <w:rtl/>
          </w:rPr>
          <w:instrText xml:space="preserve"> </w:instrText>
        </w:r>
        <w:r w:rsidR="002012AB">
          <w:rPr>
            <w:webHidden/>
            <w:rtl/>
          </w:rPr>
        </w:r>
        <w:r w:rsidR="002012AB">
          <w:rPr>
            <w:webHidden/>
            <w:rtl/>
          </w:rPr>
          <w:fldChar w:fldCharType="separate"/>
        </w:r>
        <w:r w:rsidR="002012AB">
          <w:rPr>
            <w:webHidden/>
            <w:rtl/>
          </w:rPr>
          <w:t>2</w:t>
        </w:r>
        <w:r w:rsidR="002012AB">
          <w:rPr>
            <w:webHidden/>
            <w:rtl/>
          </w:rPr>
          <w:fldChar w:fldCharType="end"/>
        </w:r>
      </w:hyperlink>
    </w:p>
    <w:p w:rsidR="002012AB" w:rsidRDefault="00104603" w:rsidP="002012AB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56710598" w:history="1">
        <w:r w:rsidR="002012AB" w:rsidRPr="00B46831">
          <w:rPr>
            <w:rStyle w:val="Hyperlink"/>
            <w:rFonts w:hint="eastAsia"/>
            <w:noProof/>
            <w:rtl/>
          </w:rPr>
          <w:t>טיוטת</w:t>
        </w:r>
        <w:r w:rsidR="002012AB" w:rsidRPr="00B46831">
          <w:rPr>
            <w:rStyle w:val="Hyperlink"/>
            <w:noProof/>
            <w:rtl/>
          </w:rPr>
          <w:t xml:space="preserve"> </w:t>
        </w:r>
        <w:r w:rsidR="002012AB" w:rsidRPr="00B46831">
          <w:rPr>
            <w:rStyle w:val="Hyperlink"/>
            <w:rFonts w:hint="eastAsia"/>
            <w:noProof/>
            <w:rtl/>
          </w:rPr>
          <w:t>צו</w:t>
        </w:r>
        <w:r w:rsidR="002012AB" w:rsidRPr="00B46831">
          <w:rPr>
            <w:rStyle w:val="Hyperlink"/>
            <w:noProof/>
            <w:rtl/>
          </w:rPr>
          <w:t xml:space="preserve"> </w:t>
        </w:r>
        <w:r w:rsidR="002012AB" w:rsidRPr="00B46831">
          <w:rPr>
            <w:rStyle w:val="Hyperlink"/>
            <w:rFonts w:hint="eastAsia"/>
            <w:noProof/>
            <w:rtl/>
          </w:rPr>
          <w:t>יבוא</w:t>
        </w:r>
        <w:r w:rsidR="002012AB" w:rsidRPr="00B46831">
          <w:rPr>
            <w:rStyle w:val="Hyperlink"/>
            <w:noProof/>
            <w:rtl/>
          </w:rPr>
          <w:t xml:space="preserve"> </w:t>
        </w:r>
        <w:r w:rsidR="002012AB" w:rsidRPr="00B46831">
          <w:rPr>
            <w:rStyle w:val="Hyperlink"/>
            <w:rFonts w:hint="eastAsia"/>
            <w:noProof/>
            <w:rtl/>
          </w:rPr>
          <w:t>חופשי</w:t>
        </w:r>
        <w:r w:rsidR="002012AB" w:rsidRPr="00B46831">
          <w:rPr>
            <w:rStyle w:val="Hyperlink"/>
            <w:noProof/>
            <w:rtl/>
          </w:rPr>
          <w:t xml:space="preserve"> (</w:t>
        </w:r>
        <w:r w:rsidR="002012AB" w:rsidRPr="00B46831">
          <w:rPr>
            <w:rStyle w:val="Hyperlink"/>
            <w:rFonts w:hint="eastAsia"/>
            <w:noProof/>
            <w:rtl/>
          </w:rPr>
          <w:t>הוראת</w:t>
        </w:r>
        <w:r w:rsidR="002012AB" w:rsidRPr="00B46831">
          <w:rPr>
            <w:rStyle w:val="Hyperlink"/>
            <w:noProof/>
            <w:rtl/>
          </w:rPr>
          <w:t xml:space="preserve"> </w:t>
        </w:r>
        <w:r w:rsidR="002012AB" w:rsidRPr="00B46831">
          <w:rPr>
            <w:rStyle w:val="Hyperlink"/>
            <w:rFonts w:hint="eastAsia"/>
            <w:noProof/>
            <w:rtl/>
          </w:rPr>
          <w:t>שעה</w:t>
        </w:r>
        <w:r w:rsidR="002012AB" w:rsidRPr="00B46831">
          <w:rPr>
            <w:rStyle w:val="Hyperlink"/>
            <w:noProof/>
            <w:rtl/>
          </w:rPr>
          <w:t>)</w:t>
        </w:r>
        <w:r w:rsidR="00123962">
          <w:rPr>
            <w:rStyle w:val="Hyperlink"/>
            <w:rFonts w:hint="cs"/>
            <w:noProof/>
            <w:rtl/>
          </w:rPr>
          <w:t>, התש"ף - 2020</w:t>
        </w:r>
        <w:r w:rsidR="002012AB" w:rsidRPr="00B46831">
          <w:rPr>
            <w:rStyle w:val="Hyperlink"/>
            <w:noProof/>
            <w:rtl/>
          </w:rPr>
          <w:t xml:space="preserve"> (</w:t>
        </w:r>
        <w:r w:rsidR="002012AB" w:rsidRPr="00B46831">
          <w:rPr>
            <w:rStyle w:val="Hyperlink"/>
            <w:rFonts w:hint="eastAsia"/>
            <w:noProof/>
            <w:rtl/>
          </w:rPr>
          <w:t>תיקון</w:t>
        </w:r>
        <w:r w:rsidR="002012AB" w:rsidRPr="00B46831">
          <w:rPr>
            <w:rStyle w:val="Hyperlink"/>
            <w:noProof/>
            <w:rtl/>
          </w:rPr>
          <w:t xml:space="preserve">), </w:t>
        </w:r>
        <w:r w:rsidR="002012AB" w:rsidRPr="00B46831">
          <w:rPr>
            <w:rStyle w:val="Hyperlink"/>
            <w:rFonts w:hint="eastAsia"/>
            <w:noProof/>
            <w:rtl/>
          </w:rPr>
          <w:t>התשפ</w:t>
        </w:r>
        <w:r w:rsidR="002012AB" w:rsidRPr="00B46831">
          <w:rPr>
            <w:rStyle w:val="Hyperlink"/>
            <w:noProof/>
            <w:rtl/>
          </w:rPr>
          <w:t>"</w:t>
        </w:r>
        <w:r w:rsidR="002012AB" w:rsidRPr="00B46831">
          <w:rPr>
            <w:rStyle w:val="Hyperlink"/>
            <w:rFonts w:hint="eastAsia"/>
            <w:noProof/>
            <w:rtl/>
          </w:rPr>
          <w:t>א</w:t>
        </w:r>
        <w:r w:rsidR="002012AB" w:rsidRPr="00B46831">
          <w:rPr>
            <w:rStyle w:val="Hyperlink"/>
            <w:noProof/>
            <w:rtl/>
          </w:rPr>
          <w:t xml:space="preserve"> - 2020</w:t>
        </w:r>
        <w:r w:rsidR="002012AB">
          <w:rPr>
            <w:noProof/>
            <w:webHidden/>
            <w:rtl/>
          </w:rPr>
          <w:tab/>
        </w:r>
        <w:r w:rsidR="002012AB">
          <w:rPr>
            <w:noProof/>
            <w:webHidden/>
            <w:rtl/>
          </w:rPr>
          <w:fldChar w:fldCharType="begin"/>
        </w:r>
        <w:r w:rsidR="002012AB">
          <w:rPr>
            <w:noProof/>
            <w:webHidden/>
            <w:rtl/>
          </w:rPr>
          <w:instrText xml:space="preserve"> </w:instrText>
        </w:r>
        <w:r w:rsidR="002012AB">
          <w:rPr>
            <w:noProof/>
            <w:webHidden/>
          </w:rPr>
          <w:instrText>PAGEREF</w:instrText>
        </w:r>
        <w:r w:rsidR="002012AB">
          <w:rPr>
            <w:noProof/>
            <w:webHidden/>
            <w:rtl/>
          </w:rPr>
          <w:instrText xml:space="preserve"> _</w:instrText>
        </w:r>
        <w:r w:rsidR="002012AB">
          <w:rPr>
            <w:noProof/>
            <w:webHidden/>
          </w:rPr>
          <w:instrText>Toc56710598 \h</w:instrText>
        </w:r>
        <w:r w:rsidR="002012AB">
          <w:rPr>
            <w:noProof/>
            <w:webHidden/>
            <w:rtl/>
          </w:rPr>
          <w:instrText xml:space="preserve"> </w:instrText>
        </w:r>
        <w:r w:rsidR="002012AB">
          <w:rPr>
            <w:noProof/>
            <w:webHidden/>
            <w:rtl/>
          </w:rPr>
        </w:r>
        <w:r w:rsidR="002012AB">
          <w:rPr>
            <w:noProof/>
            <w:webHidden/>
            <w:rtl/>
          </w:rPr>
          <w:fldChar w:fldCharType="separate"/>
        </w:r>
        <w:r w:rsidR="002012AB">
          <w:rPr>
            <w:noProof/>
            <w:webHidden/>
            <w:rtl/>
          </w:rPr>
          <w:t>3</w:t>
        </w:r>
        <w:r w:rsidR="002012AB">
          <w:rPr>
            <w:noProof/>
            <w:webHidden/>
            <w:rtl/>
          </w:rPr>
          <w:fldChar w:fldCharType="end"/>
        </w:r>
      </w:hyperlink>
    </w:p>
    <w:p w:rsidR="002012AB" w:rsidRDefault="00104603" w:rsidP="002012AB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56710600" w:history="1">
        <w:r w:rsidR="002012AB" w:rsidRPr="00B46831">
          <w:rPr>
            <w:rStyle w:val="Hyperlink"/>
            <w:rFonts w:hint="eastAsia"/>
            <w:noProof/>
            <w:rtl/>
          </w:rPr>
          <w:t>תיקון</w:t>
        </w:r>
        <w:r w:rsidR="002012AB" w:rsidRPr="00B46831">
          <w:rPr>
            <w:rStyle w:val="Hyperlink"/>
            <w:noProof/>
            <w:rtl/>
          </w:rPr>
          <w:t xml:space="preserve"> </w:t>
        </w:r>
        <w:r w:rsidR="002012AB" w:rsidRPr="00B46831">
          <w:rPr>
            <w:rStyle w:val="Hyperlink"/>
            <w:rFonts w:hint="eastAsia"/>
            <w:noProof/>
            <w:rtl/>
          </w:rPr>
          <w:t>סעיף</w:t>
        </w:r>
        <w:r w:rsidR="002012AB" w:rsidRPr="00B46831">
          <w:rPr>
            <w:rStyle w:val="Hyperlink"/>
            <w:noProof/>
            <w:rtl/>
          </w:rPr>
          <w:t xml:space="preserve"> 2</w:t>
        </w:r>
        <w:r w:rsidR="002012AB">
          <w:rPr>
            <w:noProof/>
            <w:webHidden/>
            <w:rtl/>
          </w:rPr>
          <w:tab/>
        </w:r>
        <w:r w:rsidR="002012AB">
          <w:rPr>
            <w:noProof/>
            <w:webHidden/>
            <w:rtl/>
          </w:rPr>
          <w:fldChar w:fldCharType="begin"/>
        </w:r>
        <w:r w:rsidR="002012AB">
          <w:rPr>
            <w:noProof/>
            <w:webHidden/>
            <w:rtl/>
          </w:rPr>
          <w:instrText xml:space="preserve"> </w:instrText>
        </w:r>
        <w:r w:rsidR="002012AB">
          <w:rPr>
            <w:noProof/>
            <w:webHidden/>
          </w:rPr>
          <w:instrText>PAGEREF</w:instrText>
        </w:r>
        <w:r w:rsidR="002012AB">
          <w:rPr>
            <w:noProof/>
            <w:webHidden/>
            <w:rtl/>
          </w:rPr>
          <w:instrText xml:space="preserve"> _</w:instrText>
        </w:r>
        <w:r w:rsidR="002012AB">
          <w:rPr>
            <w:noProof/>
            <w:webHidden/>
          </w:rPr>
          <w:instrText>Toc56710600 \h</w:instrText>
        </w:r>
        <w:r w:rsidR="002012AB">
          <w:rPr>
            <w:noProof/>
            <w:webHidden/>
            <w:rtl/>
          </w:rPr>
          <w:instrText xml:space="preserve"> </w:instrText>
        </w:r>
        <w:r w:rsidR="002012AB">
          <w:rPr>
            <w:noProof/>
            <w:webHidden/>
            <w:rtl/>
          </w:rPr>
        </w:r>
        <w:r w:rsidR="002012AB">
          <w:rPr>
            <w:noProof/>
            <w:webHidden/>
            <w:rtl/>
          </w:rPr>
          <w:fldChar w:fldCharType="separate"/>
        </w:r>
        <w:r w:rsidR="002012AB">
          <w:rPr>
            <w:noProof/>
            <w:webHidden/>
            <w:rtl/>
          </w:rPr>
          <w:t>3</w:t>
        </w:r>
        <w:r w:rsidR="002012AB">
          <w:rPr>
            <w:noProof/>
            <w:webHidden/>
            <w:rtl/>
          </w:rPr>
          <w:fldChar w:fldCharType="end"/>
        </w:r>
      </w:hyperlink>
    </w:p>
    <w:p w:rsidR="002012AB" w:rsidRDefault="002012AB" w:rsidP="002012AB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AF21A0" w:rsidRDefault="00AF21A0" w:rsidP="00307E94">
      <w:pPr>
        <w:pStyle w:val="1"/>
        <w:keepNext w:val="0"/>
        <w:keepLines w:val="0"/>
      </w:pPr>
      <w:bookmarkStart w:id="5" w:name="_Toc56710583"/>
      <w:bookmarkStart w:id="6" w:name="_Toc56710594"/>
      <w:r>
        <w:rPr>
          <w:rtl/>
        </w:rPr>
        <w:lastRenderedPageBreak/>
        <w:t>טיוטת צו</w:t>
      </w:r>
      <w:bookmarkEnd w:id="0"/>
      <w:bookmarkEnd w:id="1"/>
      <w:bookmarkEnd w:id="2"/>
      <w:bookmarkEnd w:id="3"/>
      <w:bookmarkEnd w:id="5"/>
      <w:bookmarkEnd w:id="6"/>
    </w:p>
    <w:p w:rsidR="00AF21A0" w:rsidRDefault="00AF21A0" w:rsidP="00307E94">
      <w:pPr>
        <w:rPr>
          <w:rtl/>
        </w:rPr>
      </w:pPr>
    </w:p>
    <w:p w:rsidR="00AF21A0" w:rsidRDefault="00AF21A0" w:rsidP="00F24A78">
      <w:pPr>
        <w:pStyle w:val="4"/>
        <w:rPr>
          <w:rtl/>
        </w:rPr>
      </w:pPr>
      <w:bookmarkStart w:id="7" w:name="_Toc54025559"/>
      <w:bookmarkStart w:id="8" w:name="_Toc55819479"/>
      <w:bookmarkStart w:id="9" w:name="_Toc56710595"/>
      <w:r>
        <w:rPr>
          <w:rFonts w:hint="cs"/>
          <w:rtl/>
        </w:rPr>
        <w:t>שם הצו המוצע</w:t>
      </w:r>
      <w:bookmarkEnd w:id="7"/>
      <w:bookmarkEnd w:id="8"/>
      <w:bookmarkEnd w:id="9"/>
    </w:p>
    <w:p w:rsidR="00AF21A0" w:rsidRDefault="00AF21A0" w:rsidP="00AF21A0">
      <w:r>
        <w:rPr>
          <w:rFonts w:hint="cs"/>
          <w:rtl/>
        </w:rPr>
        <w:t>צו יבוא חופשי</w:t>
      </w:r>
      <w:r w:rsidR="002012AB">
        <w:rPr>
          <w:rFonts w:hint="cs"/>
          <w:rtl/>
        </w:rPr>
        <w:t xml:space="preserve"> (הוראת שעה)</w:t>
      </w:r>
      <w:r w:rsidR="00123962">
        <w:rPr>
          <w:rFonts w:hint="cs"/>
          <w:rtl/>
        </w:rPr>
        <w:t xml:space="preserve">, </w:t>
      </w:r>
      <w:proofErr w:type="spellStart"/>
      <w:r w:rsidR="00123962">
        <w:rPr>
          <w:rFonts w:hint="cs"/>
          <w:rtl/>
        </w:rPr>
        <w:t>התש"ף</w:t>
      </w:r>
      <w:proofErr w:type="spellEnd"/>
      <w:r w:rsidR="00123962">
        <w:rPr>
          <w:rFonts w:hint="cs"/>
          <w:rtl/>
        </w:rPr>
        <w:t xml:space="preserve"> - 2020</w:t>
      </w:r>
      <w:r>
        <w:rPr>
          <w:rFonts w:hint="cs"/>
          <w:rtl/>
        </w:rPr>
        <w:t xml:space="preserve"> (תיקון),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 xml:space="preserve"> - 2020</w:t>
      </w:r>
    </w:p>
    <w:p w:rsidR="00AF21A0" w:rsidRDefault="00AF21A0" w:rsidP="00307E94">
      <w:pPr>
        <w:rPr>
          <w:rtl/>
        </w:rPr>
      </w:pPr>
    </w:p>
    <w:p w:rsidR="00AF21A0" w:rsidRDefault="00AF21A0" w:rsidP="00307E94">
      <w:pPr>
        <w:rPr>
          <w:rtl/>
        </w:rPr>
      </w:pPr>
    </w:p>
    <w:p w:rsidR="00AF21A0" w:rsidRDefault="00AF21A0" w:rsidP="00F24A78">
      <w:pPr>
        <w:pStyle w:val="4"/>
        <w:rPr>
          <w:rtl/>
        </w:rPr>
      </w:pPr>
      <w:bookmarkStart w:id="10" w:name="_Toc54025560"/>
      <w:bookmarkStart w:id="11" w:name="_Toc55819480"/>
      <w:bookmarkStart w:id="12" w:name="_Toc56710596"/>
      <w:r>
        <w:rPr>
          <w:rFonts w:hint="cs"/>
          <w:rtl/>
        </w:rPr>
        <w:t>מטרת הצו המוצע והצורך בו</w:t>
      </w:r>
      <w:bookmarkEnd w:id="10"/>
      <w:bookmarkEnd w:id="11"/>
      <w:bookmarkEnd w:id="12"/>
    </w:p>
    <w:p w:rsidR="00AF21A0" w:rsidRDefault="002012AB" w:rsidP="002012AB">
      <w:pPr>
        <w:rPr>
          <w:rtl/>
        </w:rPr>
      </w:pPr>
      <w:r>
        <w:rPr>
          <w:rFonts w:hint="cs"/>
          <w:rtl/>
        </w:rPr>
        <w:t xml:space="preserve">בעקבות כינון יחסים דיפלומטיים בין מדינת ישראל לבין איחוד האמירויות ובחריין, יש לתקן את צו יבוא חופשי (הוראת שעה), </w:t>
      </w:r>
      <w:proofErr w:type="spellStart"/>
      <w:r>
        <w:rPr>
          <w:rFonts w:hint="cs"/>
          <w:rtl/>
        </w:rPr>
        <w:t>תש"ף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2020 באופן שבו המגבלות על יבוא מאיחוד האמירויות ובחריין, יוסרו.</w:t>
      </w:r>
    </w:p>
    <w:p w:rsidR="00AF21A0" w:rsidRDefault="00AF21A0" w:rsidP="00307E94">
      <w:pPr>
        <w:rPr>
          <w:rtl/>
        </w:rPr>
      </w:pPr>
    </w:p>
    <w:p w:rsidR="00AF21A0" w:rsidRDefault="00AF21A0" w:rsidP="00F24A78">
      <w:pPr>
        <w:pStyle w:val="4"/>
        <w:rPr>
          <w:rtl/>
        </w:rPr>
      </w:pPr>
      <w:bookmarkStart w:id="13" w:name="_Toc54025561"/>
      <w:bookmarkStart w:id="14" w:name="_Toc55819481"/>
      <w:bookmarkStart w:id="15" w:name="_Toc56710597"/>
      <w:r>
        <w:rPr>
          <w:rFonts w:hint="cs"/>
          <w:rtl/>
        </w:rPr>
        <w:t>להלן נוסח טיוטת הצו המוצע:</w:t>
      </w:r>
      <w:bookmarkEnd w:id="13"/>
      <w:bookmarkEnd w:id="14"/>
      <w:bookmarkEnd w:id="15"/>
      <w:r>
        <w:rPr>
          <w:rFonts w:hint="cs"/>
          <w:rtl/>
        </w:rPr>
        <w:t xml:space="preserve"> </w:t>
      </w:r>
    </w:p>
    <w:p w:rsidR="00AF21A0" w:rsidRPr="00AF21A0" w:rsidRDefault="00AF21A0" w:rsidP="00307E94">
      <w:pPr>
        <w:bidi w:val="0"/>
        <w:rPr>
          <w:rFonts w:asciiTheme="minorHAnsi" w:hAnsiTheme="minorHAnsi"/>
        </w:rPr>
      </w:pPr>
      <w:r>
        <w:rPr>
          <w:rtl/>
        </w:rPr>
        <w:br w:type="page"/>
      </w:r>
    </w:p>
    <w:p w:rsidR="00AF21A0" w:rsidRDefault="00AF21A0" w:rsidP="00AF21A0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הכלכלה והתעשייה</w:t>
      </w:r>
      <w:r>
        <w:rPr>
          <w:rtl/>
        </w:rPr>
        <w:t xml:space="preserve">: </w:t>
      </w:r>
    </w:p>
    <w:p w:rsidR="00AF21A0" w:rsidRDefault="00AF21A0" w:rsidP="00AF21A0">
      <w:pPr>
        <w:pStyle w:val="HeadHatzaotHok"/>
        <w:keepNext w:val="0"/>
        <w:keepLines w:val="0"/>
        <w:rPr>
          <w:rtl/>
        </w:rPr>
      </w:pPr>
      <w:bookmarkStart w:id="16" w:name="_Toc54025542"/>
      <w:bookmarkStart w:id="17" w:name="_Toc54025562"/>
      <w:bookmarkStart w:id="18" w:name="_Toc55819462"/>
      <w:bookmarkStart w:id="19" w:name="_Toc55819482"/>
      <w:bookmarkStart w:id="20" w:name="_Toc56710584"/>
      <w:bookmarkStart w:id="21" w:name="_Toc56710598"/>
      <w:r>
        <w:rPr>
          <w:rtl/>
        </w:rPr>
        <w:t xml:space="preserve">טיוטת צו </w:t>
      </w:r>
      <w:r>
        <w:rPr>
          <w:rFonts w:hint="cs"/>
          <w:rtl/>
        </w:rPr>
        <w:t>יבוא חופשי</w:t>
      </w:r>
      <w:r w:rsidR="002012AB">
        <w:rPr>
          <w:rFonts w:hint="cs"/>
          <w:rtl/>
        </w:rPr>
        <w:t xml:space="preserve"> (הוראת שעה)</w:t>
      </w:r>
      <w:r w:rsidR="00123962">
        <w:rPr>
          <w:rFonts w:hint="cs"/>
          <w:rtl/>
        </w:rPr>
        <w:t xml:space="preserve">, </w:t>
      </w:r>
      <w:proofErr w:type="spellStart"/>
      <w:r w:rsidR="00123962">
        <w:rPr>
          <w:rFonts w:hint="cs"/>
          <w:rtl/>
        </w:rPr>
        <w:t>התש"ף</w:t>
      </w:r>
      <w:proofErr w:type="spellEnd"/>
      <w:r w:rsidR="00123962">
        <w:rPr>
          <w:rFonts w:hint="cs"/>
          <w:rtl/>
        </w:rPr>
        <w:t xml:space="preserve"> - 2020</w:t>
      </w:r>
      <w:r>
        <w:rPr>
          <w:rFonts w:hint="cs"/>
          <w:rtl/>
        </w:rPr>
        <w:t xml:space="preserve"> </w:t>
      </w:r>
      <w:r>
        <w:rPr>
          <w:rtl/>
        </w:rPr>
        <w:t>(תיקו</w:t>
      </w:r>
      <w:r>
        <w:rPr>
          <w:rFonts w:hint="cs"/>
          <w:rtl/>
        </w:rPr>
        <w:t>ן</w:t>
      </w:r>
      <w:r>
        <w:rPr>
          <w:rtl/>
        </w:rPr>
        <w:t>)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 xml:space="preserve"> - 2020</w:t>
      </w:r>
      <w:bookmarkEnd w:id="16"/>
      <w:bookmarkEnd w:id="17"/>
      <w:bookmarkEnd w:id="18"/>
      <w:bookmarkEnd w:id="19"/>
      <w:bookmarkEnd w:id="20"/>
      <w:bookmarkEnd w:id="21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762487" w:rsidTr="00613F3B">
        <w:trPr>
          <w:cantSplit/>
          <w:trHeight w:val="60"/>
        </w:trPr>
        <w:tc>
          <w:tcPr>
            <w:tcW w:w="1871" w:type="dxa"/>
          </w:tcPr>
          <w:p w:rsidR="00762487" w:rsidRPr="00044DAE" w:rsidRDefault="00762487" w:rsidP="007671E7">
            <w:pPr>
              <w:pStyle w:val="TableSideHeading"/>
              <w:keepLines w:val="0"/>
              <w:jc w:val="both"/>
              <w:rPr>
                <w:sz w:val="26"/>
                <w:rtl/>
              </w:rPr>
            </w:pPr>
          </w:p>
        </w:tc>
        <w:tc>
          <w:tcPr>
            <w:tcW w:w="624" w:type="dxa"/>
          </w:tcPr>
          <w:p w:rsidR="00762487" w:rsidRPr="00044DAE" w:rsidRDefault="00762487" w:rsidP="007671E7">
            <w:pPr>
              <w:pStyle w:val="TableText"/>
              <w:keepLines w:val="0"/>
              <w:jc w:val="both"/>
              <w:rPr>
                <w:sz w:val="26"/>
                <w:rtl/>
              </w:rPr>
            </w:pPr>
          </w:p>
        </w:tc>
        <w:tc>
          <w:tcPr>
            <w:tcW w:w="7146" w:type="dxa"/>
            <w:hideMark/>
          </w:tcPr>
          <w:p w:rsidR="00762487" w:rsidRPr="00044DAE" w:rsidRDefault="00762487" w:rsidP="007671E7">
            <w:pPr>
              <w:pStyle w:val="TableHead"/>
              <w:keepLines w:val="0"/>
              <w:jc w:val="both"/>
              <w:rPr>
                <w:b w:val="0"/>
                <w:bCs w:val="0"/>
                <w:sz w:val="26"/>
                <w:rtl/>
              </w:rPr>
            </w:pPr>
            <w:bookmarkStart w:id="22" w:name="_Toc39391316"/>
            <w:bookmarkStart w:id="23" w:name="_Toc55819463"/>
            <w:bookmarkStart w:id="24" w:name="_Toc55819483"/>
            <w:bookmarkStart w:id="25" w:name="_Toc56710585"/>
            <w:bookmarkStart w:id="26" w:name="_Toc56710599"/>
            <w:r w:rsidRPr="00044DAE">
              <w:rPr>
                <w:rFonts w:hint="cs"/>
                <w:b w:val="0"/>
                <w:bCs w:val="0"/>
                <w:sz w:val="26"/>
                <w:rtl/>
              </w:rPr>
              <w:t xml:space="preserve">בתוקף סמכותי לפי סעיף 2 לפקודת היבוא והיצוא [נוסח חדש], </w:t>
            </w:r>
            <w:proofErr w:type="spellStart"/>
            <w:r w:rsidRPr="00044DAE">
              <w:rPr>
                <w:rFonts w:hint="cs"/>
                <w:b w:val="0"/>
                <w:bCs w:val="0"/>
                <w:sz w:val="26"/>
                <w:rtl/>
              </w:rPr>
              <w:t>התשל"ט</w:t>
            </w:r>
            <w:proofErr w:type="spellEnd"/>
            <w:r w:rsidRPr="00044DAE">
              <w:rPr>
                <w:rFonts w:hint="eastAsia"/>
                <w:b w:val="0"/>
                <w:bCs w:val="0"/>
                <w:sz w:val="26"/>
                <w:rtl/>
              </w:rPr>
              <w:t>–</w:t>
            </w:r>
            <w:r w:rsidRPr="00044DAE">
              <w:rPr>
                <w:rFonts w:hint="cs"/>
                <w:b w:val="0"/>
                <w:bCs w:val="0"/>
                <w:sz w:val="26"/>
                <w:rtl/>
              </w:rPr>
              <w:t>1979</w:t>
            </w:r>
            <w:r w:rsidRPr="00044DAE">
              <w:rPr>
                <w:rStyle w:val="a7"/>
                <w:b w:val="0"/>
                <w:bCs w:val="0"/>
                <w:sz w:val="26"/>
                <w:rtl/>
              </w:rPr>
              <w:footnoteReference w:id="1"/>
            </w:r>
            <w:r w:rsidRPr="00044DAE">
              <w:rPr>
                <w:rFonts w:hint="cs"/>
                <w:b w:val="0"/>
                <w:bCs w:val="0"/>
                <w:sz w:val="26"/>
                <w:rtl/>
              </w:rPr>
              <w:t>, אני מצווה לאמור: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762487" w:rsidTr="00613F3B">
        <w:trPr>
          <w:cantSplit/>
          <w:trHeight w:val="60"/>
        </w:trPr>
        <w:tc>
          <w:tcPr>
            <w:tcW w:w="1871" w:type="dxa"/>
          </w:tcPr>
          <w:p w:rsidR="00762487" w:rsidRPr="00044DAE" w:rsidRDefault="002012AB" w:rsidP="007671E7">
            <w:pPr>
              <w:pStyle w:val="TableSideHeading"/>
              <w:keepLines w:val="0"/>
              <w:jc w:val="both"/>
              <w:rPr>
                <w:sz w:val="26"/>
                <w:rtl/>
              </w:rPr>
            </w:pPr>
            <w:bookmarkStart w:id="27" w:name="_Toc56710586"/>
            <w:bookmarkStart w:id="28" w:name="_Toc56710600"/>
            <w:r>
              <w:rPr>
                <w:rFonts w:hint="cs"/>
                <w:sz w:val="26"/>
                <w:rtl/>
              </w:rPr>
              <w:t>תיקון סעיף 2</w:t>
            </w:r>
            <w:bookmarkEnd w:id="27"/>
            <w:bookmarkEnd w:id="28"/>
          </w:p>
        </w:tc>
        <w:tc>
          <w:tcPr>
            <w:tcW w:w="624" w:type="dxa"/>
          </w:tcPr>
          <w:p w:rsidR="00762487" w:rsidRPr="00044DAE" w:rsidRDefault="00762487" w:rsidP="007671E7">
            <w:pPr>
              <w:pStyle w:val="TableText"/>
              <w:keepLines w:val="0"/>
              <w:jc w:val="both"/>
              <w:rPr>
                <w:sz w:val="26"/>
                <w:rtl/>
              </w:rPr>
            </w:pPr>
            <w:r w:rsidRPr="00044DAE">
              <w:rPr>
                <w:rFonts w:hint="cs"/>
                <w:sz w:val="26"/>
                <w:rtl/>
              </w:rPr>
              <w:t>1.</w:t>
            </w:r>
          </w:p>
        </w:tc>
        <w:tc>
          <w:tcPr>
            <w:tcW w:w="7146" w:type="dxa"/>
          </w:tcPr>
          <w:p w:rsidR="00762487" w:rsidRPr="00044DAE" w:rsidRDefault="00762487" w:rsidP="00123962">
            <w:pPr>
              <w:pStyle w:val="TableBlock"/>
              <w:rPr>
                <w:rtl/>
              </w:rPr>
            </w:pPr>
            <w:r w:rsidRPr="00044DAE">
              <w:rPr>
                <w:rFonts w:hint="cs"/>
                <w:rtl/>
              </w:rPr>
              <w:t>בצו יבוא חופשי</w:t>
            </w:r>
            <w:r w:rsidR="002012AB">
              <w:rPr>
                <w:rStyle w:val="a7"/>
                <w:rFonts w:hint="cs"/>
                <w:rtl/>
              </w:rPr>
              <w:t xml:space="preserve"> </w:t>
            </w:r>
            <w:r w:rsidR="002012AB">
              <w:rPr>
                <w:rFonts w:hint="cs"/>
                <w:rtl/>
              </w:rPr>
              <w:t>(הוראת שעה)</w:t>
            </w:r>
            <w:r w:rsidRPr="00044DAE">
              <w:rPr>
                <w:rFonts w:hint="cs"/>
                <w:rtl/>
              </w:rPr>
              <w:t xml:space="preserve">, </w:t>
            </w:r>
            <w:proofErr w:type="spellStart"/>
            <w:r w:rsidR="002012AB">
              <w:rPr>
                <w:rFonts w:hint="cs"/>
                <w:rtl/>
              </w:rPr>
              <w:t>תש"ף</w:t>
            </w:r>
            <w:proofErr w:type="spellEnd"/>
            <w:r w:rsidRPr="00044DAE">
              <w:rPr>
                <w:rFonts w:hint="eastAsia"/>
                <w:rtl/>
              </w:rPr>
              <w:t>–</w:t>
            </w:r>
            <w:r w:rsidRPr="00044DAE">
              <w:rPr>
                <w:rFonts w:hint="cs"/>
                <w:rtl/>
              </w:rPr>
              <w:t>20</w:t>
            </w:r>
            <w:r w:rsidR="002012AB">
              <w:rPr>
                <w:rFonts w:hint="cs"/>
                <w:rtl/>
              </w:rPr>
              <w:t>20</w:t>
            </w:r>
            <w:r w:rsidR="002012AB">
              <w:rPr>
                <w:rStyle w:val="a7"/>
                <w:rtl/>
              </w:rPr>
              <w:footnoteReference w:id="2"/>
            </w:r>
            <w:r w:rsidR="002012AB">
              <w:rPr>
                <w:rFonts w:hint="cs"/>
                <w:rtl/>
              </w:rPr>
              <w:t xml:space="preserve">, בסעיף 2(2), </w:t>
            </w:r>
            <w:r w:rsidR="00123962">
              <w:rPr>
                <w:rFonts w:hint="cs"/>
                <w:rtl/>
              </w:rPr>
              <w:t>ברישה, במקום "מאיחוד נסיכויות ערב, בחריין, כווית" יבוא "מכווית".</w:t>
            </w:r>
            <w:r w:rsidR="002012AB">
              <w:rPr>
                <w:rFonts w:hint="cs"/>
                <w:rtl/>
              </w:rPr>
              <w:t xml:space="preserve"> </w:t>
            </w:r>
          </w:p>
        </w:tc>
      </w:tr>
    </w:tbl>
    <w:p w:rsidR="00AF21A0" w:rsidRDefault="00AF21A0" w:rsidP="00307E94"/>
    <w:p w:rsidR="00AF21A0" w:rsidRDefault="00AF21A0" w:rsidP="00307E94">
      <w:pPr>
        <w:rPr>
          <w:rtl/>
        </w:rPr>
      </w:pPr>
    </w:p>
    <w:p w:rsidR="00AF21A0" w:rsidRDefault="00AF21A0" w:rsidP="00613F3B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 ב________ </w:t>
      </w:r>
      <w:proofErr w:type="spellStart"/>
      <w:r>
        <w:rPr>
          <w:rFonts w:eastAsia="Calibri" w:hint="cs"/>
          <w:rtl/>
        </w:rPr>
        <w:t>התש</w:t>
      </w:r>
      <w:r w:rsidR="00613F3B">
        <w:rPr>
          <w:rFonts w:eastAsia="Calibri" w:hint="cs"/>
          <w:rtl/>
        </w:rPr>
        <w:t>פ"א</w:t>
      </w:r>
      <w:proofErr w:type="spellEnd"/>
      <w:r>
        <w:rPr>
          <w:rFonts w:eastAsia="Calibri" w:hint="cs"/>
          <w:rtl/>
        </w:rPr>
        <w:t xml:space="preserve"> (___ ב________ </w:t>
      </w:r>
      <w:r w:rsidR="00613F3B">
        <w:rPr>
          <w:rFonts w:eastAsia="Calibri" w:hint="cs"/>
          <w:rtl/>
        </w:rPr>
        <w:t>20</w:t>
      </w:r>
      <w:r>
        <w:rPr>
          <w:rFonts w:eastAsia="Calibri" w:hint="cs"/>
          <w:rtl/>
        </w:rPr>
        <w:t>20)</w:t>
      </w:r>
    </w:p>
    <w:p w:rsidR="00AF21A0" w:rsidRDefault="00123962" w:rsidP="00307E94">
      <w:pPr>
        <w:rPr>
          <w:rFonts w:eastAsia="Calibri"/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חמ</w:t>
      </w:r>
      <w:proofErr w:type="spellEnd"/>
      <w:r>
        <w:rPr>
          <w:rFonts w:hint="cs"/>
          <w:rtl/>
        </w:rPr>
        <w:t xml:space="preserve"> 3-522-ת1)</w:t>
      </w:r>
    </w:p>
    <w:p w:rsidR="00613F3B" w:rsidRPr="00C94D2A" w:rsidRDefault="00613F3B" w:rsidP="00613F3B">
      <w:pPr>
        <w:ind w:left="5040" w:firstLine="720"/>
        <w:rPr>
          <w:rtl/>
        </w:rPr>
      </w:pPr>
      <w:r>
        <w:rPr>
          <w:rFonts w:hint="cs"/>
          <w:rtl/>
        </w:rPr>
        <w:t>עמיר פרץ</w:t>
      </w:r>
    </w:p>
    <w:p w:rsidR="00613F3B" w:rsidRPr="00C94D2A" w:rsidRDefault="00613F3B" w:rsidP="00613F3B">
      <w:pPr>
        <w:rPr>
          <w:rtl/>
        </w:rPr>
      </w:pP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</w:r>
      <w:r w:rsidRPr="00C94D2A">
        <w:rPr>
          <w:rFonts w:hint="cs"/>
          <w:rtl/>
        </w:rPr>
        <w:tab/>
        <w:t xml:space="preserve">  שר הכלכלה והתעשייה</w:t>
      </w:r>
    </w:p>
    <w:p w:rsidR="00613F3B" w:rsidRDefault="00613F3B">
      <w:pPr>
        <w:widowControl/>
        <w:bidi w:val="0"/>
        <w:spacing w:after="200" w:line="276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r>
        <w:rPr>
          <w:rtl/>
        </w:rPr>
        <w:br w:type="page"/>
      </w:r>
    </w:p>
    <w:p w:rsidR="00224267" w:rsidRDefault="00613F3B" w:rsidP="00224267">
      <w:pPr>
        <w:jc w:val="center"/>
        <w:rPr>
          <w:b/>
          <w:bCs/>
          <w:u w:val="single"/>
        </w:rPr>
      </w:pPr>
      <w:r>
        <w:rPr>
          <w:rtl/>
        </w:rPr>
        <w:lastRenderedPageBreak/>
        <w:tab/>
      </w:r>
      <w:r w:rsidR="00224267" w:rsidRPr="000364F7">
        <w:rPr>
          <w:rFonts w:hint="cs"/>
          <w:b/>
          <w:bCs/>
          <w:sz w:val="26"/>
          <w:szCs w:val="26"/>
          <w:u w:val="single"/>
          <w:rtl/>
        </w:rPr>
        <w:t>דברי הסבר</w:t>
      </w:r>
    </w:p>
    <w:p w:rsidR="002012AB" w:rsidRPr="002012AB" w:rsidRDefault="002012AB" w:rsidP="002012AB">
      <w:pPr>
        <w:rPr>
          <w:rtl/>
        </w:rPr>
      </w:pPr>
      <w:r>
        <w:rPr>
          <w:rFonts w:hint="cs"/>
          <w:rtl/>
        </w:rPr>
        <w:t xml:space="preserve">בעקבות כינון יחסים דיפלומטיים בין מדינת ישראל לבין איחוד האמירויות ובחריין, יש לתקן את צו יבוא חופשי (הוראת שעה), </w:t>
      </w:r>
      <w:proofErr w:type="spellStart"/>
      <w:r>
        <w:rPr>
          <w:rFonts w:hint="cs"/>
          <w:rtl/>
        </w:rPr>
        <w:t>תש"ף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2020 באופן שבו המגבלות על יבוא מאיחוד האמירויות ובחריין, יוסרו. על כן, תוסר מהצו הדרישה </w:t>
      </w:r>
      <w:proofErr w:type="spellStart"/>
      <w:r>
        <w:rPr>
          <w:rFonts w:hint="cs"/>
          <w:rtl/>
        </w:rPr>
        <w:t>לרשיון</w:t>
      </w:r>
      <w:proofErr w:type="spellEnd"/>
      <w:r>
        <w:rPr>
          <w:rFonts w:hint="cs"/>
          <w:rtl/>
        </w:rPr>
        <w:t xml:space="preserve"> יבוא לשם יבוא פרטי המכס 39.01.1000, 39.02.1000, 39.20.1000, 68.09.1100, ו </w:t>
      </w:r>
      <w:r>
        <w:rPr>
          <w:rtl/>
        </w:rPr>
        <w:t>–</w:t>
      </w:r>
      <w:r>
        <w:rPr>
          <w:rFonts w:hint="cs"/>
          <w:rtl/>
        </w:rPr>
        <w:t xml:space="preserve"> 68.09.1900.</w:t>
      </w:r>
    </w:p>
    <w:sectPr w:rsidR="002012AB" w:rsidRPr="002012AB" w:rsidSect="00AF21A0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03" w:rsidRDefault="00104603" w:rsidP="00AF21A0">
      <w:pPr>
        <w:spacing w:line="240" w:lineRule="auto"/>
      </w:pPr>
      <w:r>
        <w:separator/>
      </w:r>
    </w:p>
  </w:endnote>
  <w:endnote w:type="continuationSeparator" w:id="0">
    <w:p w:rsidR="00104603" w:rsidRDefault="00104603" w:rsidP="00AF2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03" w:rsidRDefault="00104603" w:rsidP="00AF21A0">
      <w:pPr>
        <w:spacing w:line="240" w:lineRule="auto"/>
      </w:pPr>
      <w:r>
        <w:separator/>
      </w:r>
    </w:p>
  </w:footnote>
  <w:footnote w:type="continuationSeparator" w:id="0">
    <w:p w:rsidR="00104603" w:rsidRDefault="00104603" w:rsidP="00AF21A0">
      <w:pPr>
        <w:spacing w:line="240" w:lineRule="auto"/>
      </w:pPr>
      <w:r>
        <w:continuationSeparator/>
      </w:r>
    </w:p>
  </w:footnote>
  <w:footnote w:id="1">
    <w:p w:rsidR="00762487" w:rsidRDefault="00762487" w:rsidP="00AA331C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דיני מדינת ישראל, נוסח חדש 32, עמ' 625; ס"ח </w:t>
      </w:r>
      <w:proofErr w:type="spellStart"/>
      <w:r>
        <w:rPr>
          <w:rFonts w:hint="cs"/>
          <w:rtl/>
        </w:rPr>
        <w:t>התשע"ד</w:t>
      </w:r>
      <w:proofErr w:type="spellEnd"/>
      <w:r>
        <w:rPr>
          <w:rFonts w:hint="cs"/>
          <w:rtl/>
        </w:rPr>
        <w:t>, עמ' 20.</w:t>
      </w:r>
    </w:p>
  </w:footnote>
  <w:footnote w:id="2">
    <w:p w:rsidR="002012AB" w:rsidRDefault="002012AB" w:rsidP="002012AB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שיעורי </w:t>
      </w:r>
      <w:proofErr w:type="spellStart"/>
      <w:r>
        <w:rPr>
          <w:rFonts w:hint="cs"/>
          <w:rtl/>
        </w:rPr>
        <w:t>מק"ח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 , עמ' 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8EF304D"/>
    <w:multiLevelType w:val="hybridMultilevel"/>
    <w:tmpl w:val="7E40EF98"/>
    <w:lvl w:ilvl="0" w:tplc="E5B01D8C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9453A"/>
    <w:multiLevelType w:val="hybridMultilevel"/>
    <w:tmpl w:val="7C8A51C4"/>
    <w:lvl w:ilvl="0" w:tplc="19042DAC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F3085"/>
    <w:multiLevelType w:val="hybridMultilevel"/>
    <w:tmpl w:val="6D3E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76161"/>
    <w:multiLevelType w:val="hybridMultilevel"/>
    <w:tmpl w:val="8A0A450E"/>
    <w:lvl w:ilvl="0" w:tplc="33083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7805"/>
    <w:multiLevelType w:val="hybridMultilevel"/>
    <w:tmpl w:val="96025CDE"/>
    <w:lvl w:ilvl="0" w:tplc="590EFB26">
      <w:start w:val="1"/>
      <w:numFmt w:val="hebrew1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536EC"/>
    <w:multiLevelType w:val="hybridMultilevel"/>
    <w:tmpl w:val="FE768850"/>
    <w:lvl w:ilvl="0" w:tplc="333CD21C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D73"/>
    <w:multiLevelType w:val="hybridMultilevel"/>
    <w:tmpl w:val="CB7E4F4A"/>
    <w:lvl w:ilvl="0" w:tplc="07D2582A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E0A5D"/>
    <w:multiLevelType w:val="hybridMultilevel"/>
    <w:tmpl w:val="8A0A450E"/>
    <w:lvl w:ilvl="0" w:tplc="33083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33536"/>
    <w:multiLevelType w:val="hybridMultilevel"/>
    <w:tmpl w:val="704C7C7A"/>
    <w:lvl w:ilvl="0" w:tplc="B4966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71EE1"/>
    <w:multiLevelType w:val="hybridMultilevel"/>
    <w:tmpl w:val="7804D440"/>
    <w:lvl w:ilvl="0" w:tplc="2F72AE12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F0692"/>
    <w:multiLevelType w:val="hybridMultilevel"/>
    <w:tmpl w:val="8A0A450E"/>
    <w:lvl w:ilvl="0" w:tplc="33083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CB05D9"/>
    <w:multiLevelType w:val="hybridMultilevel"/>
    <w:tmpl w:val="281E6A24"/>
    <w:lvl w:ilvl="0" w:tplc="CC7E99D0">
      <w:start w:val="1"/>
      <w:numFmt w:val="hebrew1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DA68EC"/>
    <w:multiLevelType w:val="hybridMultilevel"/>
    <w:tmpl w:val="CCEE4888"/>
    <w:lvl w:ilvl="0" w:tplc="E5B01D8C">
      <w:start w:val="1"/>
      <w:numFmt w:val="hebrew1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31375"/>
    <w:multiLevelType w:val="hybridMultilevel"/>
    <w:tmpl w:val="F15E3A8A"/>
    <w:lvl w:ilvl="0" w:tplc="7CCE6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13"/>
  </w:num>
  <w:num w:numId="6">
    <w:abstractNumId w:val="2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24"/>
  </w:num>
  <w:num w:numId="20">
    <w:abstractNumId w:val="18"/>
  </w:num>
  <w:num w:numId="21">
    <w:abstractNumId w:val="15"/>
  </w:num>
  <w:num w:numId="22">
    <w:abstractNumId w:val="19"/>
  </w:num>
  <w:num w:numId="23">
    <w:abstractNumId w:val="23"/>
  </w:num>
  <w:num w:numId="24">
    <w:abstractNumId w:val="16"/>
  </w:num>
  <w:num w:numId="25">
    <w:abstractNumId w:val="25"/>
  </w:num>
  <w:num w:numId="26">
    <w:abstractNumId w:val="17"/>
  </w:num>
  <w:num w:numId="27">
    <w:abstractNumId w:val="11"/>
  </w:num>
  <w:num w:numId="28">
    <w:abstractNumId w:val="27"/>
  </w:num>
  <w:num w:numId="29">
    <w:abstractNumId w:val="22"/>
  </w:num>
  <w:num w:numId="30">
    <w:abstractNumId w:val="26"/>
  </w:num>
  <w:num w:numId="31">
    <w:abstractNumId w:val="1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0"/>
    <w:rsid w:val="0001231F"/>
    <w:rsid w:val="00104603"/>
    <w:rsid w:val="00123962"/>
    <w:rsid w:val="001B43D5"/>
    <w:rsid w:val="002012AB"/>
    <w:rsid w:val="00224267"/>
    <w:rsid w:val="00373BAC"/>
    <w:rsid w:val="00601088"/>
    <w:rsid w:val="00613F3B"/>
    <w:rsid w:val="00762487"/>
    <w:rsid w:val="00841DD0"/>
    <w:rsid w:val="00996289"/>
    <w:rsid w:val="009B7EFB"/>
    <w:rsid w:val="00A06F32"/>
    <w:rsid w:val="00AF21A0"/>
    <w:rsid w:val="00BD4F22"/>
    <w:rsid w:val="00E43643"/>
    <w:rsid w:val="00E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D4EDB-8B75-4C68-B2E4-F605FC7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AB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12AB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2012AB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2012AB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2012AB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012AB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012AB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2012AB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2012AB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2012AB"/>
    <w:pPr>
      <w:outlineLvl w:val="2"/>
    </w:pPr>
  </w:style>
  <w:style w:type="paragraph" w:customStyle="1" w:styleId="TableBlock">
    <w:name w:val="Table Block"/>
    <w:basedOn w:val="TableText"/>
    <w:rsid w:val="002012AB"/>
    <w:pPr>
      <w:jc w:val="both"/>
    </w:pPr>
  </w:style>
  <w:style w:type="paragraph" w:customStyle="1" w:styleId="TableHead">
    <w:name w:val="Table Head"/>
    <w:basedOn w:val="TableText"/>
    <w:rsid w:val="002012AB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2012AB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2012AB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2012AB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2012AB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2012AB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2012AB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2012AB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2012AB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2012AB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AF21A0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2012AB"/>
    <w:pPr>
      <w:outlineLvl w:val="9"/>
    </w:pPr>
  </w:style>
  <w:style w:type="paragraph" w:customStyle="1" w:styleId="Hesber">
    <w:name w:val="Hesber"/>
    <w:basedOn w:val="a"/>
    <w:rsid w:val="002012AB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2012AB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AF21A0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2012AB"/>
    <w:rPr>
      <w:vertAlign w:val="superscript"/>
    </w:rPr>
  </w:style>
  <w:style w:type="paragraph" w:customStyle="1" w:styleId="HesberHeading">
    <w:name w:val="Hesber Heading"/>
    <w:basedOn w:val="Hesber"/>
    <w:rsid w:val="002012AB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2012AB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2012AB"/>
    <w:rPr>
      <w:vertAlign w:val="superscript"/>
    </w:rPr>
  </w:style>
  <w:style w:type="paragraph" w:customStyle="1" w:styleId="TableBlockOutdent">
    <w:name w:val="Table BlockOutdent"/>
    <w:basedOn w:val="TableBlock"/>
    <w:rsid w:val="002012AB"/>
    <w:pPr>
      <w:ind w:left="624" w:hanging="624"/>
    </w:pPr>
  </w:style>
  <w:style w:type="paragraph" w:styleId="a9">
    <w:name w:val="header"/>
    <w:basedOn w:val="a"/>
    <w:link w:val="aa"/>
    <w:rsid w:val="002012AB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AF21A0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2012AB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AF21A0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2012AB"/>
  </w:style>
  <w:style w:type="paragraph" w:customStyle="1" w:styleId="Cover1-Reshumot">
    <w:name w:val="Cover 1-Reshumot"/>
    <w:basedOn w:val="a"/>
    <w:rsid w:val="002012AB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2012AB"/>
    <w:rPr>
      <w:sz w:val="36"/>
      <w:szCs w:val="52"/>
    </w:rPr>
  </w:style>
  <w:style w:type="paragraph" w:customStyle="1" w:styleId="Cover3-Haknesset">
    <w:name w:val="Cover 3-Haknesset"/>
    <w:basedOn w:val="Cover1-Reshumot"/>
    <w:rsid w:val="002012AB"/>
    <w:rPr>
      <w:b/>
      <w:bCs/>
      <w:spacing w:val="60"/>
    </w:rPr>
  </w:style>
  <w:style w:type="paragraph" w:customStyle="1" w:styleId="Cover4-Date">
    <w:name w:val="Cover 4-Date"/>
    <w:basedOn w:val="a"/>
    <w:rsid w:val="002012AB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2012AB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2012AB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012AB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2012AB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2012AB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2012AB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2012AB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2012AB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2012AB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2012AB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2012AB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2012AB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2012AB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2012AB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2012AB"/>
    <w:rPr>
      <w:rFonts w:eastAsia="Times New Roman"/>
    </w:rPr>
  </w:style>
  <w:style w:type="paragraph" w:styleId="af">
    <w:name w:val="List Paragraph"/>
    <w:basedOn w:val="a"/>
    <w:link w:val="af0"/>
    <w:uiPriority w:val="34"/>
    <w:qFormat/>
    <w:rsid w:val="002012AB"/>
    <w:pPr>
      <w:widowControl/>
      <w:spacing w:line="259" w:lineRule="auto"/>
    </w:pPr>
    <w:rPr>
      <w:rFonts w:asciiTheme="minorHAnsi" w:hAnsiTheme="minorHAnsi"/>
      <w:sz w:val="22"/>
    </w:rPr>
  </w:style>
  <w:style w:type="table" w:styleId="af1">
    <w:name w:val="Table Grid"/>
    <w:basedOn w:val="a1"/>
    <w:rsid w:val="002012A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ה רגילה 11"/>
    <w:basedOn w:val="a1"/>
    <w:uiPriority w:val="41"/>
    <w:rsid w:val="002012A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0">
    <w:name w:val="טבלת רשת 1 בהירה1"/>
    <w:basedOn w:val="a1"/>
    <w:uiPriority w:val="46"/>
    <w:rsid w:val="002012A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2">
    <w:name w:val="טבלת חקיקה"/>
    <w:basedOn w:val="a1"/>
    <w:uiPriority w:val="99"/>
    <w:rsid w:val="002012AB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2">
    <w:name w:val="סגנון1"/>
    <w:basedOn w:val="a1"/>
    <w:uiPriority w:val="99"/>
    <w:rsid w:val="002012A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customStyle="1" w:styleId="af0">
    <w:name w:val="פיסקת רשימה תו"/>
    <w:link w:val="af"/>
    <w:uiPriority w:val="34"/>
    <w:locked/>
    <w:rsid w:val="00AF21A0"/>
    <w:rPr>
      <w:rFonts w:cs="David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1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0"/>
    <w:link w:val="af3"/>
    <w:uiPriority w:val="99"/>
    <w:semiHidden/>
    <w:rsid w:val="00613F3B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semiHidden/>
    <w:unhideWhenUsed/>
    <w:rsid w:val="00224267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24267"/>
    <w:pPr>
      <w:spacing w:line="240" w:lineRule="auto"/>
    </w:pPr>
    <w:rPr>
      <w:rFonts w:eastAsia="Calibri"/>
      <w:sz w:val="20"/>
      <w:szCs w:val="20"/>
    </w:rPr>
  </w:style>
  <w:style w:type="character" w:customStyle="1" w:styleId="af7">
    <w:name w:val="טקסט הערה תו"/>
    <w:basedOn w:val="a0"/>
    <w:link w:val="af6"/>
    <w:uiPriority w:val="99"/>
    <w:rsid w:val="00224267"/>
    <w:rPr>
      <w:rFonts w:ascii="David" w:eastAsia="Calibri" w:hAnsi="David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4A5-ADD5-4276-848B-231E8562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1450</Characters>
  <Application>Microsoft Office Word</Application>
  <DocSecurity>0</DocSecurity>
  <Lines>29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Moital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גולדשטיין</dc:creator>
  <cp:lastModifiedBy>Merav Kaplan - Chamber Of Commerce</cp:lastModifiedBy>
  <cp:revision>2</cp:revision>
  <dcterms:created xsi:type="dcterms:W3CDTF">2020-12-22T10:36:00Z</dcterms:created>
  <dcterms:modified xsi:type="dcterms:W3CDTF">2020-12-22T10:36:00Z</dcterms:modified>
</cp:coreProperties>
</file>