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7E" w:rsidRDefault="005A557E" w:rsidP="005A557E">
      <w:pPr>
        <w:pStyle w:val="1"/>
        <w:keepNext w:val="0"/>
        <w:keepLines w:val="0"/>
      </w:pPr>
      <w:r>
        <w:rPr>
          <w:rtl/>
        </w:rPr>
        <w:t>טיוטת צו</w:t>
      </w:r>
    </w:p>
    <w:p w:rsidR="005A557E" w:rsidRDefault="005A557E" w:rsidP="005A557E">
      <w:pPr>
        <w:rPr>
          <w:rtl/>
        </w:rPr>
      </w:pPr>
    </w:p>
    <w:p w:rsidR="005A557E" w:rsidRDefault="005A557E" w:rsidP="005A557E">
      <w:pPr>
        <w:pStyle w:val="4"/>
        <w:rPr>
          <w:rtl/>
        </w:rPr>
      </w:pPr>
      <w:r>
        <w:rPr>
          <w:rFonts w:hint="cs"/>
          <w:rtl/>
        </w:rPr>
        <w:t>שם הצו המוצע</w:t>
      </w:r>
    </w:p>
    <w:p w:rsidR="005A557E" w:rsidRDefault="005A557E" w:rsidP="005A557E">
      <w:pPr>
        <w:rPr>
          <w:rtl/>
        </w:rPr>
      </w:pPr>
      <w:r w:rsidRPr="00A171B2">
        <w:rPr>
          <w:rtl/>
        </w:rPr>
        <w:t xml:space="preserve">צו התקנים (פטור ממילוי אחר דרישות תקנים רשמיים), </w:t>
      </w:r>
      <w:proofErr w:type="spellStart"/>
      <w:r w:rsidRPr="00A171B2">
        <w:rPr>
          <w:rtl/>
        </w:rPr>
        <w:t>התש"ף</w:t>
      </w:r>
      <w:proofErr w:type="spellEnd"/>
      <w:r w:rsidRPr="00A171B2">
        <w:rPr>
          <w:rtl/>
        </w:rPr>
        <w:t>–2020</w:t>
      </w:r>
    </w:p>
    <w:p w:rsidR="005A557E" w:rsidRDefault="005A557E" w:rsidP="005A557E">
      <w:pPr>
        <w:rPr>
          <w:rtl/>
        </w:rPr>
      </w:pPr>
    </w:p>
    <w:p w:rsidR="005A557E" w:rsidRDefault="005A557E" w:rsidP="005A557E">
      <w:pPr>
        <w:pStyle w:val="4"/>
        <w:rPr>
          <w:rtl/>
        </w:rPr>
      </w:pPr>
      <w:r>
        <w:rPr>
          <w:rFonts w:hint="cs"/>
          <w:rtl/>
        </w:rPr>
        <w:t xml:space="preserve">מטרת הצו המוצע והצורך בו </w:t>
      </w:r>
    </w:p>
    <w:p w:rsidR="000274F9" w:rsidRDefault="000274F9" w:rsidP="005A557E">
      <w:pPr>
        <w:rPr>
          <w:rtl/>
        </w:rPr>
      </w:pPr>
      <w:r>
        <w:rPr>
          <w:rFonts w:hint="cs"/>
          <w:rtl/>
        </w:rPr>
        <w:t xml:space="preserve">מתן פטור </w:t>
      </w:r>
      <w:r w:rsidRPr="00D872EA">
        <w:rPr>
          <w:rFonts w:hint="cs"/>
          <w:rtl/>
        </w:rPr>
        <w:t xml:space="preserve">ממילוי אחר דרישות </w:t>
      </w:r>
      <w:r>
        <w:rPr>
          <w:rFonts w:hint="cs"/>
          <w:rtl/>
        </w:rPr>
        <w:t>ה</w:t>
      </w:r>
      <w:r w:rsidRPr="00D872EA">
        <w:rPr>
          <w:rFonts w:hint="cs"/>
          <w:rtl/>
        </w:rPr>
        <w:t xml:space="preserve">תקן </w:t>
      </w:r>
      <w:r>
        <w:rPr>
          <w:rFonts w:hint="cs"/>
          <w:rtl/>
        </w:rPr>
        <w:t>ה</w:t>
      </w:r>
      <w:r w:rsidRPr="00D872EA">
        <w:rPr>
          <w:rFonts w:hint="cs"/>
          <w:rtl/>
        </w:rPr>
        <w:t>רשמי</w:t>
      </w:r>
      <w:r>
        <w:rPr>
          <w:rFonts w:hint="cs"/>
          <w:rtl/>
        </w:rPr>
        <w:t xml:space="preserve"> ת"י 1921 </w:t>
      </w:r>
      <w:r>
        <w:rPr>
          <w:rtl/>
        </w:rPr>
        <w:t>–</w:t>
      </w:r>
      <w:r>
        <w:rPr>
          <w:rFonts w:hint="cs"/>
          <w:rtl/>
        </w:rPr>
        <w:t xml:space="preserve"> וסתי לחץ לגפ"מ, מינואר 2019, וזאת לגבי מוצרים העומדים בדרישות ת"י 1921, מספטמבר 199</w:t>
      </w:r>
      <w:bookmarkStart w:id="0" w:name="_GoBack"/>
      <w:bookmarkEnd w:id="0"/>
      <w:r>
        <w:rPr>
          <w:rFonts w:hint="cs"/>
          <w:rtl/>
        </w:rPr>
        <w:t>9. הפטור שי</w:t>
      </w:r>
      <w:r w:rsidR="002261AD">
        <w:rPr>
          <w:rFonts w:hint="cs"/>
          <w:rtl/>
        </w:rPr>
        <w:t>י</w:t>
      </w:r>
      <w:r>
        <w:rPr>
          <w:rFonts w:hint="cs"/>
          <w:rtl/>
        </w:rPr>
        <w:t xml:space="preserve">נתן יהיה עד יום י"א באייר </w:t>
      </w:r>
      <w:proofErr w:type="spellStart"/>
      <w:r>
        <w:rPr>
          <w:rFonts w:hint="cs"/>
          <w:rtl/>
        </w:rPr>
        <w:t>התש"ף</w:t>
      </w:r>
      <w:proofErr w:type="spellEnd"/>
      <w:r>
        <w:rPr>
          <w:rFonts w:hint="cs"/>
          <w:rtl/>
        </w:rPr>
        <w:t xml:space="preserve"> (5 </w:t>
      </w:r>
      <w:r w:rsidR="0088054D">
        <w:rPr>
          <w:rFonts w:hint="cs"/>
          <w:rtl/>
        </w:rPr>
        <w:t xml:space="preserve">במאי 2020). מטרת הפטור היא לתת אפשרות לסגירת פערים והיערכות לביצוע הבדיקות בהתאם לדרישות התקן החדש וכן מתן תקופת התארגנות ליבואנים להתאים את מוצריהם לדרישות מהדורת התקן החדשה. </w:t>
      </w:r>
    </w:p>
    <w:p w:rsidR="000274F9" w:rsidRDefault="000274F9" w:rsidP="005A557E">
      <w:pPr>
        <w:rPr>
          <w:rtl/>
        </w:rPr>
      </w:pPr>
    </w:p>
    <w:p w:rsidR="005A557E" w:rsidRDefault="005A557E" w:rsidP="005A557E">
      <w:pPr>
        <w:rPr>
          <w:rtl/>
        </w:rPr>
      </w:pPr>
    </w:p>
    <w:p w:rsidR="005A557E" w:rsidRDefault="005A557E" w:rsidP="005A557E">
      <w:pPr>
        <w:pStyle w:val="4"/>
        <w:rPr>
          <w:rtl/>
        </w:rPr>
      </w:pPr>
      <w:r>
        <w:rPr>
          <w:rFonts w:hint="cs"/>
          <w:rtl/>
        </w:rPr>
        <w:t xml:space="preserve">להלן נוסח טיוטת הצו המוצע: </w:t>
      </w:r>
    </w:p>
    <w:p w:rsidR="005A557E" w:rsidRDefault="005A557E" w:rsidP="005A557E">
      <w:pPr>
        <w:bidi w:val="0"/>
        <w:rPr>
          <w:rtl/>
        </w:rPr>
      </w:pPr>
      <w:r>
        <w:rPr>
          <w:rtl/>
        </w:rPr>
        <w:br w:type="page"/>
      </w:r>
    </w:p>
    <w:p w:rsidR="00516364" w:rsidRDefault="00C4699D" w:rsidP="00784075">
      <w:pPr>
        <w:pStyle w:val="HeadHatzaotHok"/>
        <w:keepNext w:val="0"/>
        <w:keepLines w:val="0"/>
        <w:tabs>
          <w:tab w:val="center" w:pos="4989"/>
        </w:tabs>
        <w:jc w:val="both"/>
        <w:rPr>
          <w:rtl/>
        </w:rPr>
      </w:pPr>
      <w:r>
        <w:rPr>
          <w:rtl/>
        </w:rPr>
        <w:lastRenderedPageBreak/>
        <w:tab/>
      </w:r>
      <w:r w:rsidR="00516364">
        <w:rPr>
          <w:rFonts w:hint="cs"/>
          <w:rtl/>
        </w:rPr>
        <w:t>צו התקנים (פטור ממילוי אחר דרישות תקן רשמי)</w:t>
      </w:r>
      <w:r w:rsidR="005760AA">
        <w:rPr>
          <w:rFonts w:hint="cs"/>
          <w:rtl/>
        </w:rPr>
        <w:t>(הוראת שעה)</w:t>
      </w:r>
      <w:r w:rsidR="00784075">
        <w:rPr>
          <w:rFonts w:hint="cs"/>
          <w:rtl/>
        </w:rPr>
        <w:t>(מס' 2)</w:t>
      </w:r>
      <w:r w:rsidR="00D872EA">
        <w:rPr>
          <w:rFonts w:hint="cs"/>
          <w:rtl/>
        </w:rPr>
        <w:t xml:space="preserve">, </w:t>
      </w:r>
      <w:proofErr w:type="spellStart"/>
      <w:r w:rsidR="00D872EA">
        <w:rPr>
          <w:rFonts w:hint="cs"/>
          <w:rtl/>
        </w:rPr>
        <w:t>התש</w:t>
      </w:r>
      <w:r w:rsidR="00784075">
        <w:rPr>
          <w:rFonts w:hint="cs"/>
          <w:rtl/>
        </w:rPr>
        <w:t>"ף</w:t>
      </w:r>
      <w:proofErr w:type="spellEnd"/>
      <w:r w:rsidR="00512484">
        <w:rPr>
          <w:rFonts w:hint="eastAsia"/>
          <w:rtl/>
        </w:rPr>
        <w:t>–</w:t>
      </w:r>
      <w:r w:rsidR="00D8326F">
        <w:rPr>
          <w:rFonts w:hint="cs"/>
          <w:rtl/>
        </w:rPr>
        <w:t>20</w:t>
      </w:r>
      <w:r w:rsidR="0088054D">
        <w:rPr>
          <w:rFonts w:hint="cs"/>
          <w:rtl/>
        </w:rPr>
        <w:t>20</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C4699D" w:rsidRPr="0049306C" w:rsidTr="00D500C6">
        <w:trPr>
          <w:cantSplit/>
        </w:trPr>
        <w:tc>
          <w:tcPr>
            <w:tcW w:w="9638" w:type="dxa"/>
            <w:gridSpan w:val="3"/>
          </w:tcPr>
          <w:p w:rsidR="00C4699D" w:rsidRPr="00EC4C13" w:rsidRDefault="00C4699D" w:rsidP="00BE5C59">
            <w:pPr>
              <w:pStyle w:val="TableBlock"/>
            </w:pPr>
            <w:r>
              <w:rPr>
                <w:rFonts w:hint="cs"/>
                <w:rtl/>
              </w:rPr>
              <w:t xml:space="preserve">      </w:t>
            </w:r>
            <w:r w:rsidRPr="00EC4C13">
              <w:rPr>
                <w:rFonts w:hint="cs"/>
                <w:rtl/>
              </w:rPr>
              <w:t xml:space="preserve">בתוקף סמכותי לפי סעיף 16(א)(1) לחוק התקנים, </w:t>
            </w:r>
            <w:proofErr w:type="spellStart"/>
            <w:r w:rsidRPr="00EC4C13">
              <w:rPr>
                <w:rFonts w:hint="cs"/>
                <w:rtl/>
              </w:rPr>
              <w:t>התשי"ג</w:t>
            </w:r>
            <w:proofErr w:type="spellEnd"/>
            <w:r>
              <w:rPr>
                <w:rFonts w:hint="eastAsia"/>
                <w:rtl/>
              </w:rPr>
              <w:t>–</w:t>
            </w:r>
            <w:r w:rsidRPr="00EC4C13">
              <w:rPr>
                <w:rFonts w:hint="cs"/>
                <w:rtl/>
              </w:rPr>
              <w:t>1953</w:t>
            </w:r>
            <w:r w:rsidRPr="00BE5C59">
              <w:rPr>
                <w:rStyle w:val="a7"/>
                <w:rFonts w:ascii="David" w:hAnsi="David"/>
                <w:sz w:val="26"/>
                <w:rtl/>
              </w:rPr>
              <w:footnoteReference w:id="1"/>
            </w:r>
            <w:r w:rsidRPr="00EC4C13">
              <w:rPr>
                <w:rFonts w:hint="cs"/>
                <w:rtl/>
              </w:rPr>
              <w:t>, אני מצווה לאמור:</w:t>
            </w:r>
          </w:p>
        </w:tc>
      </w:tr>
      <w:tr w:rsidR="00784075" w:rsidTr="00BE5C59">
        <w:trPr>
          <w:cantSplit/>
        </w:trPr>
        <w:tc>
          <w:tcPr>
            <w:tcW w:w="1871" w:type="dxa"/>
          </w:tcPr>
          <w:p w:rsidR="00784075" w:rsidRPr="00B31589" w:rsidRDefault="00784075" w:rsidP="00784075">
            <w:pPr>
              <w:pStyle w:val="TableSideHeading"/>
              <w:keepLines w:val="0"/>
            </w:pPr>
            <w:r w:rsidRPr="00B31589">
              <w:rPr>
                <w:rFonts w:hint="cs"/>
                <w:rtl/>
              </w:rPr>
              <w:t>פטור מדרישות תקן</w:t>
            </w:r>
            <w:r>
              <w:rPr>
                <w:rFonts w:hint="cs"/>
                <w:rtl/>
              </w:rPr>
              <w:t xml:space="preserve"> רשמי</w:t>
            </w:r>
          </w:p>
        </w:tc>
        <w:tc>
          <w:tcPr>
            <w:tcW w:w="624" w:type="dxa"/>
          </w:tcPr>
          <w:p w:rsidR="00784075" w:rsidRPr="00B31589" w:rsidRDefault="00784075" w:rsidP="00784075">
            <w:pPr>
              <w:pStyle w:val="TableText"/>
              <w:keepLines w:val="0"/>
              <w:numPr>
                <w:ilvl w:val="0"/>
                <w:numId w:val="1"/>
              </w:numPr>
            </w:pPr>
          </w:p>
        </w:tc>
        <w:tc>
          <w:tcPr>
            <w:tcW w:w="7143" w:type="dxa"/>
          </w:tcPr>
          <w:p w:rsidR="00784075" w:rsidRPr="00D872EA" w:rsidRDefault="00784075" w:rsidP="00784075">
            <w:pPr>
              <w:pStyle w:val="TableBlock"/>
              <w:rPr>
                <w:highlight w:val="yellow"/>
              </w:rPr>
            </w:pPr>
            <w:r>
              <w:rPr>
                <w:rFonts w:hint="cs"/>
                <w:rtl/>
              </w:rPr>
              <w:t xml:space="preserve">דרישות </w:t>
            </w:r>
            <w:r w:rsidRPr="00B31589">
              <w:rPr>
                <w:rFonts w:hint="cs"/>
                <w:rtl/>
              </w:rPr>
              <w:t xml:space="preserve">תקן </w:t>
            </w:r>
            <w:r>
              <w:rPr>
                <w:rFonts w:hint="cs"/>
                <w:rtl/>
              </w:rPr>
              <w:t>רשמי</w:t>
            </w:r>
            <w:r w:rsidRPr="00B31589">
              <w:rPr>
                <w:rFonts w:hint="cs"/>
                <w:rtl/>
              </w:rPr>
              <w:t xml:space="preserve"> ת"</w:t>
            </w:r>
            <w:r>
              <w:rPr>
                <w:rFonts w:hint="cs"/>
                <w:rtl/>
              </w:rPr>
              <w:t>י 1921</w:t>
            </w:r>
            <w:r w:rsidRPr="00B31589">
              <w:rPr>
                <w:rFonts w:hint="cs"/>
                <w:rtl/>
              </w:rPr>
              <w:t xml:space="preserve"> – </w:t>
            </w:r>
            <w:r>
              <w:rPr>
                <w:rFonts w:hint="cs"/>
                <w:rtl/>
              </w:rPr>
              <w:t>וסתי לחץ לגפ"מ, מינואר 2019</w:t>
            </w:r>
            <w:r w:rsidRPr="00BE5C59">
              <w:rPr>
                <w:rFonts w:ascii="David" w:hAnsi="David"/>
                <w:sz w:val="26"/>
                <w:vertAlign w:val="superscript"/>
                <w:rtl/>
              </w:rPr>
              <w:footnoteReference w:id="2"/>
            </w:r>
            <w:r w:rsidRPr="00B31589">
              <w:rPr>
                <w:rFonts w:hint="cs"/>
                <w:rtl/>
              </w:rPr>
              <w:t xml:space="preserve">, </w:t>
            </w:r>
            <w:r>
              <w:rPr>
                <w:rFonts w:hint="cs"/>
                <w:rtl/>
              </w:rPr>
              <w:t xml:space="preserve">לא </w:t>
            </w:r>
            <w:r w:rsidRPr="00D872EA">
              <w:rPr>
                <w:rFonts w:hint="cs"/>
                <w:rtl/>
              </w:rPr>
              <w:t>יחול</w:t>
            </w:r>
            <w:r>
              <w:rPr>
                <w:rFonts w:hint="cs"/>
                <w:rtl/>
              </w:rPr>
              <w:t>ו</w:t>
            </w:r>
            <w:r w:rsidRPr="00D872EA">
              <w:rPr>
                <w:rFonts w:hint="cs"/>
                <w:rtl/>
              </w:rPr>
              <w:t xml:space="preserve"> </w:t>
            </w:r>
            <w:r>
              <w:rPr>
                <w:rFonts w:hint="cs"/>
                <w:rtl/>
              </w:rPr>
              <w:t xml:space="preserve"> על מוצרים העומדים בדרישות תקן ישראלי </w:t>
            </w:r>
            <w:r w:rsidRPr="00D872EA">
              <w:rPr>
                <w:rFonts w:hint="cs"/>
                <w:rtl/>
              </w:rPr>
              <w:t>ת"י 1921</w:t>
            </w:r>
            <w:r>
              <w:rPr>
                <w:rFonts w:hint="cs"/>
                <w:rtl/>
              </w:rPr>
              <w:t xml:space="preserve"> – וסתי לחץ ווסתים מחליפים אוטומטיים לגפ"מ</w:t>
            </w:r>
            <w:r w:rsidRPr="00D872EA">
              <w:rPr>
                <w:rFonts w:hint="cs"/>
                <w:rtl/>
              </w:rPr>
              <w:t>, מספטמבר 1999, לרבות גיליון תיקון מס' 1, ממאי 2011</w:t>
            </w:r>
            <w:r w:rsidRPr="00BE5C59">
              <w:rPr>
                <w:rStyle w:val="a7"/>
                <w:rFonts w:ascii="David" w:hAnsi="David"/>
                <w:sz w:val="26"/>
                <w:rtl/>
              </w:rPr>
              <w:footnoteReference w:id="3"/>
            </w:r>
            <w:r>
              <w:rPr>
                <w:rFonts w:hint="cs"/>
                <w:rtl/>
              </w:rPr>
              <w:t xml:space="preserve">, כנוסחו ערב תחילתה של </w:t>
            </w:r>
            <w:proofErr w:type="spellStart"/>
            <w:r>
              <w:rPr>
                <w:rFonts w:hint="cs"/>
                <w:rtl/>
              </w:rPr>
              <w:t>אכרזת</w:t>
            </w:r>
            <w:proofErr w:type="spellEnd"/>
            <w:r>
              <w:rPr>
                <w:rFonts w:hint="cs"/>
                <w:rtl/>
              </w:rPr>
              <w:t xml:space="preserve"> התקנים (תקן רשמי)(החלפה)(מס' 19), </w:t>
            </w:r>
            <w:proofErr w:type="spellStart"/>
            <w:r>
              <w:rPr>
                <w:rFonts w:hint="cs"/>
                <w:rtl/>
              </w:rPr>
              <w:t>התשע"ט</w:t>
            </w:r>
            <w:proofErr w:type="spellEnd"/>
            <w:r>
              <w:rPr>
                <w:rFonts w:hint="eastAsia"/>
                <w:rtl/>
              </w:rPr>
              <w:t>–2019</w:t>
            </w:r>
            <w:r>
              <w:rPr>
                <w:rStyle w:val="a7"/>
                <w:rtl/>
              </w:rPr>
              <w:footnoteReference w:id="4"/>
            </w:r>
            <w:r>
              <w:rPr>
                <w:rFonts w:hint="cs"/>
                <w:rtl/>
              </w:rPr>
              <w:t>.</w:t>
            </w:r>
          </w:p>
        </w:tc>
      </w:tr>
      <w:tr w:rsidR="00784075" w:rsidTr="00BE5C59">
        <w:trPr>
          <w:cantSplit/>
        </w:trPr>
        <w:tc>
          <w:tcPr>
            <w:tcW w:w="1871" w:type="dxa"/>
          </w:tcPr>
          <w:p w:rsidR="00784075" w:rsidRPr="00B31589" w:rsidRDefault="00784075" w:rsidP="00784075">
            <w:pPr>
              <w:pStyle w:val="TableSideHeading"/>
              <w:keepLines w:val="0"/>
              <w:rPr>
                <w:rtl/>
              </w:rPr>
            </w:pPr>
            <w:r>
              <w:rPr>
                <w:rFonts w:hint="cs"/>
                <w:rtl/>
              </w:rPr>
              <w:t>תחילה</w:t>
            </w:r>
            <w:r w:rsidR="00733AB3">
              <w:rPr>
                <w:rFonts w:hint="cs"/>
                <w:rtl/>
              </w:rPr>
              <w:t xml:space="preserve"> ותוקף</w:t>
            </w:r>
          </w:p>
        </w:tc>
        <w:tc>
          <w:tcPr>
            <w:tcW w:w="624" w:type="dxa"/>
          </w:tcPr>
          <w:p w:rsidR="00784075" w:rsidRPr="00B31589" w:rsidRDefault="00784075" w:rsidP="00784075">
            <w:pPr>
              <w:pStyle w:val="TableText"/>
            </w:pPr>
            <w:r>
              <w:rPr>
                <w:rFonts w:hint="cs"/>
                <w:rtl/>
              </w:rPr>
              <w:t>2.</w:t>
            </w:r>
          </w:p>
        </w:tc>
        <w:tc>
          <w:tcPr>
            <w:tcW w:w="7143" w:type="dxa"/>
          </w:tcPr>
          <w:p w:rsidR="00784075" w:rsidRPr="00B31589" w:rsidRDefault="00784075" w:rsidP="00733AB3">
            <w:pPr>
              <w:pStyle w:val="TableBlock"/>
              <w:numPr>
                <w:ilvl w:val="0"/>
                <w:numId w:val="22"/>
              </w:numPr>
              <w:tabs>
                <w:tab w:val="left" w:pos="624"/>
              </w:tabs>
              <w:rPr>
                <w:rtl/>
              </w:rPr>
            </w:pPr>
            <w:r>
              <w:rPr>
                <w:rFonts w:hint="cs"/>
                <w:rtl/>
              </w:rPr>
              <w:t xml:space="preserve">תחילתו של צו זה ביום ל' בניסן </w:t>
            </w:r>
            <w:proofErr w:type="spellStart"/>
            <w:r>
              <w:rPr>
                <w:rFonts w:hint="cs"/>
                <w:rtl/>
              </w:rPr>
              <w:t>התשע"ט</w:t>
            </w:r>
            <w:proofErr w:type="spellEnd"/>
            <w:r>
              <w:rPr>
                <w:rFonts w:hint="cs"/>
                <w:rtl/>
              </w:rPr>
              <w:t xml:space="preserve"> (5 במאי 2019)</w:t>
            </w:r>
          </w:p>
        </w:tc>
      </w:tr>
      <w:tr w:rsidR="00784075" w:rsidTr="00BE5C59">
        <w:trPr>
          <w:cantSplit/>
        </w:trPr>
        <w:tc>
          <w:tcPr>
            <w:tcW w:w="1871" w:type="dxa"/>
          </w:tcPr>
          <w:p w:rsidR="00784075" w:rsidRDefault="00784075" w:rsidP="00784075">
            <w:pPr>
              <w:pStyle w:val="TableSideHeading"/>
              <w:keepLines w:val="0"/>
              <w:rPr>
                <w:rtl/>
              </w:rPr>
            </w:pPr>
          </w:p>
        </w:tc>
        <w:tc>
          <w:tcPr>
            <w:tcW w:w="624" w:type="dxa"/>
          </w:tcPr>
          <w:p w:rsidR="00784075" w:rsidRDefault="00784075" w:rsidP="00784075">
            <w:pPr>
              <w:pStyle w:val="TableText"/>
              <w:rPr>
                <w:rtl/>
              </w:rPr>
            </w:pPr>
          </w:p>
        </w:tc>
        <w:tc>
          <w:tcPr>
            <w:tcW w:w="7143" w:type="dxa"/>
          </w:tcPr>
          <w:p w:rsidR="00784075" w:rsidRDefault="00784075" w:rsidP="00784075">
            <w:pPr>
              <w:pStyle w:val="TableBlock"/>
              <w:numPr>
                <w:ilvl w:val="0"/>
                <w:numId w:val="22"/>
              </w:numPr>
              <w:tabs>
                <w:tab w:val="left" w:pos="624"/>
              </w:tabs>
              <w:rPr>
                <w:rtl/>
              </w:rPr>
            </w:pPr>
            <w:r>
              <w:rPr>
                <w:rFonts w:hint="cs"/>
                <w:rtl/>
              </w:rPr>
              <w:t>צו זה</w:t>
            </w:r>
            <w:r w:rsidR="00733AB3">
              <w:rPr>
                <w:rFonts w:hint="cs"/>
                <w:rtl/>
              </w:rPr>
              <w:t xml:space="preserve"> יעמוד בתוקפו עד תום</w:t>
            </w:r>
            <w:r>
              <w:rPr>
                <w:rFonts w:hint="cs"/>
                <w:rtl/>
              </w:rPr>
              <w:t xml:space="preserve"> שנה מיום </w:t>
            </w:r>
            <w:r w:rsidR="00733AB3">
              <w:rPr>
                <w:rFonts w:hint="cs"/>
                <w:rtl/>
              </w:rPr>
              <w:t>פרסומו</w:t>
            </w:r>
            <w:r>
              <w:rPr>
                <w:rFonts w:hint="cs"/>
                <w:rtl/>
              </w:rPr>
              <w:t>.</w:t>
            </w:r>
          </w:p>
        </w:tc>
      </w:tr>
    </w:tbl>
    <w:p w:rsidR="00BE5C59" w:rsidRDefault="00BE5C59" w:rsidP="00BE5C59">
      <w:pPr>
        <w:spacing w:line="240" w:lineRule="auto"/>
        <w:rPr>
          <w:rFonts w:ascii="Arial" w:eastAsia="Arial Unicode MS" w:hAnsi="Arial"/>
          <w:snapToGrid w:val="0"/>
          <w:sz w:val="20"/>
          <w:szCs w:val="26"/>
          <w:rtl/>
        </w:rPr>
      </w:pPr>
    </w:p>
    <w:p w:rsidR="00C4699D" w:rsidRDefault="00C4699D" w:rsidP="00BE5C59">
      <w:pPr>
        <w:spacing w:line="240" w:lineRule="auto"/>
        <w:rPr>
          <w:rFonts w:ascii="Arial" w:eastAsia="Arial Unicode MS" w:hAnsi="Arial"/>
          <w:snapToGrid w:val="0"/>
          <w:sz w:val="20"/>
          <w:szCs w:val="26"/>
          <w:rtl/>
        </w:rPr>
      </w:pPr>
    </w:p>
    <w:p w:rsidR="00C4699D" w:rsidRPr="00743A6E" w:rsidRDefault="00C4699D" w:rsidP="00BE5C59">
      <w:pPr>
        <w:spacing w:line="240" w:lineRule="auto"/>
        <w:rPr>
          <w:rtl/>
        </w:rPr>
      </w:pPr>
    </w:p>
    <w:p w:rsidR="00BE5C59" w:rsidRPr="00743A6E" w:rsidRDefault="00C4699D" w:rsidP="00E51E43">
      <w:pPr>
        <w:spacing w:line="240" w:lineRule="auto"/>
        <w:rPr>
          <w:rtl/>
        </w:rPr>
      </w:pPr>
      <w:r w:rsidRPr="00BE5C59">
        <w:rPr>
          <w:rFonts w:hint="cs"/>
          <w:rtl/>
        </w:rPr>
        <w:t>________</w:t>
      </w:r>
      <w:r w:rsidRPr="00BE5C59">
        <w:rPr>
          <w:rFonts w:hint="cs"/>
        </w:rPr>
        <w:t xml:space="preserve"> </w:t>
      </w:r>
      <w:proofErr w:type="spellStart"/>
      <w:r w:rsidRPr="00BE5C59">
        <w:rPr>
          <w:rFonts w:hint="cs"/>
          <w:rtl/>
        </w:rPr>
        <w:t>התש"ף</w:t>
      </w:r>
      <w:proofErr w:type="spellEnd"/>
      <w:r w:rsidRPr="00BE5C59">
        <w:rPr>
          <w:rFonts w:hint="cs"/>
          <w:rtl/>
        </w:rPr>
        <w:t xml:space="preserve"> (________</w:t>
      </w:r>
      <w:r w:rsidRPr="00BE5C59">
        <w:t>20</w:t>
      </w:r>
      <w:r w:rsidR="00E51E43">
        <w:rPr>
          <w:rFonts w:hint="cs"/>
          <w:rtl/>
        </w:rPr>
        <w:t>20</w:t>
      </w:r>
      <w:r w:rsidRPr="00BE5C59">
        <w:rPr>
          <w:rFonts w:hint="cs"/>
          <w:rtl/>
        </w:rPr>
        <w:t>)</w:t>
      </w:r>
      <w:r w:rsidRPr="00BE5C59">
        <w:rPr>
          <w:rtl/>
        </w:rPr>
        <w:t xml:space="preserve">  </w:t>
      </w:r>
    </w:p>
    <w:p w:rsidR="00BE5C59" w:rsidRPr="00743A6E" w:rsidRDefault="00C4699D" w:rsidP="00784075">
      <w:pPr>
        <w:spacing w:line="240" w:lineRule="auto"/>
        <w:rPr>
          <w:rtl/>
        </w:rPr>
      </w:pPr>
      <w:r w:rsidRPr="00BE5C59">
        <w:rPr>
          <w:rtl/>
        </w:rPr>
        <w:t>(</w:t>
      </w:r>
      <w:proofErr w:type="spellStart"/>
      <w:r w:rsidRPr="00BE5C59">
        <w:rPr>
          <w:rtl/>
        </w:rPr>
        <w:t>חמ</w:t>
      </w:r>
      <w:proofErr w:type="spellEnd"/>
      <w:r w:rsidRPr="00BE5C59">
        <w:rPr>
          <w:rtl/>
        </w:rPr>
        <w:t xml:space="preserve"> 3-95-ת</w:t>
      </w:r>
      <w:r w:rsidR="00784075">
        <w:rPr>
          <w:rFonts w:hint="cs"/>
          <w:rtl/>
        </w:rPr>
        <w:t>2</w:t>
      </w:r>
      <w:r w:rsidRPr="00BE5C59">
        <w:rPr>
          <w:rFonts w:hint="cs"/>
          <w:rtl/>
        </w:rPr>
        <w:t>)</w:t>
      </w:r>
      <w:r w:rsidR="00BE5C59" w:rsidRPr="00743A6E">
        <w:rPr>
          <w:rtl/>
        </w:rPr>
        <w:tab/>
      </w:r>
    </w:p>
    <w:p w:rsidR="00BE5C59" w:rsidRPr="00743A6E" w:rsidRDefault="00BE5C59" w:rsidP="00BE5C59">
      <w:pPr>
        <w:spacing w:line="240" w:lineRule="auto"/>
        <w:rPr>
          <w:rtl/>
        </w:rPr>
      </w:pPr>
      <w:r w:rsidRPr="00743A6E">
        <w:rPr>
          <w:rtl/>
        </w:rPr>
        <w:tab/>
      </w:r>
      <w:r w:rsidRPr="00743A6E">
        <w:rPr>
          <w:rtl/>
        </w:rPr>
        <w:tab/>
      </w:r>
      <w:r w:rsidRPr="00743A6E">
        <w:rPr>
          <w:rtl/>
        </w:rPr>
        <w:tab/>
      </w:r>
      <w:r w:rsidRPr="00743A6E">
        <w:rPr>
          <w:rtl/>
        </w:rPr>
        <w:tab/>
      </w:r>
      <w:r w:rsidRPr="00743A6E">
        <w:rPr>
          <w:rtl/>
        </w:rPr>
        <w:tab/>
      </w:r>
      <w:r w:rsidRPr="00743A6E">
        <w:rPr>
          <w:rtl/>
        </w:rPr>
        <w:tab/>
      </w:r>
      <w:r w:rsidRPr="00743A6E">
        <w:rPr>
          <w:rtl/>
        </w:rPr>
        <w:tab/>
        <w:t xml:space="preserve">  </w:t>
      </w:r>
    </w:p>
    <w:p w:rsidR="00BE5C59" w:rsidRPr="00743A6E" w:rsidRDefault="00BE5C59" w:rsidP="00BE5C59">
      <w:pPr>
        <w:spacing w:line="240" w:lineRule="auto"/>
        <w:rPr>
          <w:b/>
          <w:bCs/>
          <w:rtl/>
        </w:rPr>
      </w:pPr>
      <w:r w:rsidRPr="00743A6E">
        <w:rPr>
          <w:b/>
          <w:bCs/>
          <w:rtl/>
        </w:rPr>
        <w:tab/>
      </w:r>
      <w:r w:rsidRPr="00743A6E">
        <w:rPr>
          <w:b/>
          <w:bCs/>
          <w:rtl/>
        </w:rPr>
        <w:tab/>
      </w:r>
      <w:r w:rsidRPr="00743A6E">
        <w:rPr>
          <w:b/>
          <w:bCs/>
          <w:rtl/>
        </w:rPr>
        <w:tab/>
      </w:r>
      <w:r w:rsidRPr="00743A6E">
        <w:rPr>
          <w:b/>
          <w:bCs/>
          <w:rtl/>
        </w:rPr>
        <w:tab/>
      </w:r>
      <w:r w:rsidRPr="00743A6E">
        <w:rPr>
          <w:b/>
          <w:bCs/>
          <w:rtl/>
        </w:rPr>
        <w:tab/>
      </w:r>
      <w:r w:rsidRPr="00743A6E">
        <w:rPr>
          <w:b/>
          <w:bCs/>
          <w:rtl/>
        </w:rPr>
        <w:tab/>
      </w:r>
      <w:r w:rsidRPr="00743A6E">
        <w:rPr>
          <w:b/>
          <w:bCs/>
          <w:rtl/>
        </w:rPr>
        <w:tab/>
      </w:r>
      <w:r>
        <w:rPr>
          <w:b/>
          <w:bCs/>
          <w:rtl/>
        </w:rPr>
        <w:tab/>
      </w:r>
      <w:r>
        <w:rPr>
          <w:b/>
          <w:bCs/>
          <w:rtl/>
        </w:rPr>
        <w:tab/>
      </w:r>
      <w:r>
        <w:rPr>
          <w:b/>
          <w:bCs/>
          <w:rtl/>
        </w:rPr>
        <w:tab/>
      </w:r>
      <w:r w:rsidRPr="00743A6E">
        <w:rPr>
          <w:b/>
          <w:bCs/>
          <w:rtl/>
        </w:rPr>
        <w:t>אלי כהן</w:t>
      </w:r>
    </w:p>
    <w:p w:rsidR="00BE5C59" w:rsidRPr="00743A6E" w:rsidRDefault="00BE5C59" w:rsidP="00BE5C59">
      <w:pPr>
        <w:spacing w:line="240" w:lineRule="auto"/>
        <w:rPr>
          <w:b/>
          <w:bCs/>
          <w:rtl/>
        </w:rPr>
      </w:pPr>
    </w:p>
    <w:p w:rsidR="00BE5C59" w:rsidRDefault="00BE5C59" w:rsidP="00BE5C59">
      <w:pPr>
        <w:spacing w:line="240" w:lineRule="auto"/>
        <w:ind w:left="5040" w:firstLine="720"/>
        <w:rPr>
          <w:rtl/>
        </w:rPr>
      </w:pPr>
      <w:r w:rsidRPr="00743A6E">
        <w:rPr>
          <w:rtl/>
        </w:rPr>
        <w:t xml:space="preserve"> </w:t>
      </w:r>
      <w:r>
        <w:rPr>
          <w:rtl/>
        </w:rPr>
        <w:tab/>
      </w:r>
      <w:r w:rsidRPr="00743A6E">
        <w:rPr>
          <w:rtl/>
        </w:rPr>
        <w:t>שר הכלכלה והתעשייה</w:t>
      </w:r>
      <w:r>
        <w:rPr>
          <w:rtl/>
        </w:rPr>
        <w:tab/>
      </w:r>
    </w:p>
    <w:p w:rsidR="00E8642F" w:rsidRDefault="00E8642F" w:rsidP="005760AA">
      <w:pPr>
        <w:rPr>
          <w:rtl/>
        </w:rPr>
      </w:pPr>
    </w:p>
    <w:p w:rsidR="0049306C" w:rsidRDefault="0049306C" w:rsidP="0049306C">
      <w:pPr>
        <w:pStyle w:val="HesberHeading"/>
        <w:rPr>
          <w:b w:val="0"/>
          <w:bCs w:val="0"/>
          <w:rtl/>
        </w:rPr>
      </w:pPr>
    </w:p>
    <w:p w:rsidR="005A557E" w:rsidRDefault="005A557E" w:rsidP="005A557E">
      <w:pPr>
        <w:pStyle w:val="HeadDivreiHesber"/>
        <w:rPr>
          <w:rtl/>
        </w:rPr>
      </w:pPr>
      <w:r>
        <w:rPr>
          <w:rtl/>
        </w:rPr>
        <w:t>דברי הסבר</w:t>
      </w:r>
    </w:p>
    <w:p w:rsidR="00B409A0" w:rsidRPr="00B409A0" w:rsidRDefault="00B409A0" w:rsidP="00B409A0">
      <w:pPr>
        <w:pStyle w:val="Hesber1st"/>
        <w:tabs>
          <w:tab w:val="clear" w:pos="680"/>
        </w:tabs>
        <w:spacing w:before="120" w:after="120"/>
        <w:contextualSpacing w:val="0"/>
        <w:rPr>
          <w:rtl/>
        </w:rPr>
      </w:pPr>
      <w:r w:rsidRPr="00B409A0">
        <w:rPr>
          <w:rtl/>
        </w:rPr>
        <w:t xml:space="preserve">הרביזיה </w:t>
      </w:r>
      <w:proofErr w:type="spellStart"/>
      <w:r w:rsidRPr="00B409A0">
        <w:rPr>
          <w:rtl/>
        </w:rPr>
        <w:t>לת"י</w:t>
      </w:r>
      <w:proofErr w:type="spellEnd"/>
      <w:r w:rsidRPr="00B409A0">
        <w:rPr>
          <w:rtl/>
        </w:rPr>
        <w:t xml:space="preserve"> 1921, מהדורת ספטמבר 1999, לרבות גיליון תיקון מס' 1, ממאי 2011, פורסמה להערות הציבור ולאישור השרים הממונים במסגרת העבודה על התיקון ה-13 לחוק התקנים, לצורך החלפת מהדורה קודמת. במסגרת פרסום הרביזיה להערות הציבור לא התקבלה כל פנייה, בנוגע להמלצה לגבי תקופת התארגנות או תקופת מעבר בין המהדורה שבתוקף לבין המהדורה החדשה. </w:t>
      </w:r>
    </w:p>
    <w:p w:rsidR="00B409A0" w:rsidRPr="00B409A0" w:rsidRDefault="00B409A0" w:rsidP="00B409A0">
      <w:pPr>
        <w:pStyle w:val="Hesber1st"/>
        <w:tabs>
          <w:tab w:val="clear" w:pos="680"/>
        </w:tabs>
        <w:spacing w:before="120" w:after="120"/>
        <w:contextualSpacing w:val="0"/>
        <w:rPr>
          <w:rtl/>
        </w:rPr>
      </w:pPr>
      <w:r w:rsidRPr="00B409A0">
        <w:rPr>
          <w:rtl/>
        </w:rPr>
        <w:t>היות ולא התקבלו הסתייגויות, ב</w:t>
      </w:r>
      <w:r w:rsidRPr="00B409A0">
        <w:rPr>
          <w:rFonts w:hint="cs"/>
          <w:rtl/>
        </w:rPr>
        <w:t xml:space="preserve">יום ל' בשבט </w:t>
      </w:r>
      <w:proofErr w:type="spellStart"/>
      <w:r w:rsidRPr="00B409A0">
        <w:rPr>
          <w:rFonts w:hint="cs"/>
          <w:rtl/>
        </w:rPr>
        <w:t>התשע"ט</w:t>
      </w:r>
      <w:proofErr w:type="spellEnd"/>
      <w:r w:rsidRPr="00B409A0">
        <w:rPr>
          <w:rtl/>
        </w:rPr>
        <w:t xml:space="preserve"> </w:t>
      </w:r>
      <w:r w:rsidRPr="00B409A0">
        <w:rPr>
          <w:rFonts w:hint="cs"/>
          <w:rtl/>
        </w:rPr>
        <w:t>(5 בפברואר 2019)</w:t>
      </w:r>
      <w:r w:rsidRPr="00B409A0">
        <w:rPr>
          <w:rtl/>
        </w:rPr>
        <w:t xml:space="preserve"> פורסמה ברשומות </w:t>
      </w:r>
      <w:proofErr w:type="spellStart"/>
      <w:r w:rsidRPr="00B409A0">
        <w:rPr>
          <w:rtl/>
        </w:rPr>
        <w:t>אכרזה</w:t>
      </w:r>
      <w:proofErr w:type="spellEnd"/>
      <w:r w:rsidRPr="00B409A0">
        <w:rPr>
          <w:rtl/>
        </w:rPr>
        <w:t xml:space="preserve"> על החלפת תקנים וניתנה תקופת התארגנות של 90 יום</w:t>
      </w:r>
      <w:r w:rsidRPr="00B409A0">
        <w:rPr>
          <w:rFonts w:hint="cs"/>
          <w:rtl/>
        </w:rPr>
        <w:t xml:space="preserve">. </w:t>
      </w:r>
      <w:r w:rsidRPr="00B409A0">
        <w:rPr>
          <w:rtl/>
        </w:rPr>
        <w:t>הרביזיה נכנסה לתקופה ביום</w:t>
      </w:r>
      <w:r w:rsidRPr="00B409A0">
        <w:rPr>
          <w:rFonts w:hint="cs"/>
          <w:rtl/>
        </w:rPr>
        <w:t xml:space="preserve"> ל' בניסן </w:t>
      </w:r>
      <w:proofErr w:type="spellStart"/>
      <w:r w:rsidRPr="00B409A0">
        <w:rPr>
          <w:rFonts w:hint="cs"/>
          <w:rtl/>
        </w:rPr>
        <w:t>התשע"ט</w:t>
      </w:r>
      <w:proofErr w:type="spellEnd"/>
      <w:r w:rsidRPr="00B409A0">
        <w:rPr>
          <w:rFonts w:hint="cs"/>
          <w:rtl/>
        </w:rPr>
        <w:t xml:space="preserve"> (5 במאי 2019).</w:t>
      </w:r>
    </w:p>
    <w:p w:rsidR="00B409A0" w:rsidRPr="00B409A0" w:rsidRDefault="004751E1" w:rsidP="00B409A0">
      <w:pPr>
        <w:pStyle w:val="Hesber1st"/>
        <w:tabs>
          <w:tab w:val="clear" w:pos="680"/>
        </w:tabs>
        <w:spacing w:before="120" w:after="120"/>
        <w:contextualSpacing w:val="0"/>
        <w:rPr>
          <w:rtl/>
        </w:rPr>
      </w:pPr>
      <w:r>
        <w:rPr>
          <w:rFonts w:hint="cs"/>
          <w:rtl/>
        </w:rPr>
        <w:t>בסמוך לכניסתה</w:t>
      </w:r>
      <w:r w:rsidR="00B409A0" w:rsidRPr="00B409A0">
        <w:rPr>
          <w:rtl/>
        </w:rPr>
        <w:t xml:space="preserve"> של מהדורת התקן החדשה לתוקף, התקבלו אצל הממונה על התקינה מספר פניות של יבו</w:t>
      </w:r>
      <w:r w:rsidR="00A41D1E">
        <w:rPr>
          <w:rtl/>
        </w:rPr>
        <w:t>אנים בהן נטען כי היבואנים ומעבד</w:t>
      </w:r>
      <w:r w:rsidR="00B409A0" w:rsidRPr="00B409A0">
        <w:rPr>
          <w:rtl/>
        </w:rPr>
        <w:t xml:space="preserve">ת מכון התקנים לא נערכו כנדרש לביצוע בדיקות של הווסתים בהתאם למהדורת התקן המעודכנת, והם נאלצים להמשיך לפעול בהתאם למהדורת התקן הישנה לגבי הזמנות והסכמים קיימים עם ספקי וסתים. </w:t>
      </w:r>
    </w:p>
    <w:p w:rsidR="00B409A0" w:rsidRPr="00B409A0" w:rsidRDefault="00B409A0" w:rsidP="00B409A0">
      <w:pPr>
        <w:pStyle w:val="Hesber1st"/>
        <w:tabs>
          <w:tab w:val="clear" w:pos="680"/>
        </w:tabs>
        <w:spacing w:before="120" w:after="120"/>
        <w:contextualSpacing w:val="0"/>
        <w:rPr>
          <w:rtl/>
        </w:rPr>
      </w:pPr>
      <w:r w:rsidRPr="00B409A0">
        <w:rPr>
          <w:rtl/>
        </w:rPr>
        <w:lastRenderedPageBreak/>
        <w:t xml:space="preserve">בנוסף, התקבלה פנייה של </w:t>
      </w:r>
      <w:proofErr w:type="spellStart"/>
      <w:r w:rsidRPr="00B409A0">
        <w:rPr>
          <w:rtl/>
        </w:rPr>
        <w:t>מינהל</w:t>
      </w:r>
      <w:proofErr w:type="spellEnd"/>
      <w:r w:rsidRPr="00B409A0">
        <w:rPr>
          <w:rtl/>
        </w:rPr>
        <w:t xml:space="preserve"> הדלק והגז, לפטור מחובת העמידה בדרישות התקן הרשמי לתקופה של 12 חודשים מיום פרסום </w:t>
      </w:r>
      <w:proofErr w:type="spellStart"/>
      <w:r w:rsidRPr="00B409A0">
        <w:rPr>
          <w:rtl/>
        </w:rPr>
        <w:t>האכרזה</w:t>
      </w:r>
      <w:proofErr w:type="spellEnd"/>
      <w:r w:rsidRPr="00B409A0">
        <w:rPr>
          <w:rtl/>
        </w:rPr>
        <w:t>. ואולם, בתקופה ש</w:t>
      </w:r>
      <w:r w:rsidR="002261AD">
        <w:rPr>
          <w:rFonts w:hint="cs"/>
          <w:rtl/>
        </w:rPr>
        <w:t>מ</w:t>
      </w:r>
      <w:r w:rsidRPr="00B409A0">
        <w:rPr>
          <w:rtl/>
        </w:rPr>
        <w:t xml:space="preserve">יום תחילת </w:t>
      </w:r>
      <w:proofErr w:type="spellStart"/>
      <w:r w:rsidRPr="00B409A0">
        <w:rPr>
          <w:rtl/>
        </w:rPr>
        <w:t>האכרזה</w:t>
      </w:r>
      <w:proofErr w:type="spellEnd"/>
      <w:r w:rsidRPr="00B409A0">
        <w:rPr>
          <w:rtl/>
        </w:rPr>
        <w:t xml:space="preserve"> ולמשך 12 חודשים, ימשיכו לחול ת"י 1921, מספטמבר 1999, לרבות גיליון התיקון, ממאי 2011, לצד התקן הרשמי מינואר 2019.</w:t>
      </w:r>
    </w:p>
    <w:p w:rsidR="00B409A0" w:rsidRPr="00B409A0" w:rsidRDefault="00B409A0" w:rsidP="002430FB">
      <w:pPr>
        <w:pStyle w:val="Hesber1st"/>
        <w:tabs>
          <w:tab w:val="clear" w:pos="680"/>
        </w:tabs>
        <w:spacing w:before="120" w:after="120"/>
        <w:contextualSpacing w:val="0"/>
        <w:rPr>
          <w:rtl/>
        </w:rPr>
      </w:pPr>
      <w:r w:rsidRPr="00B409A0">
        <w:rPr>
          <w:rFonts w:hint="cs"/>
          <w:rtl/>
        </w:rPr>
        <w:t>לנ</w:t>
      </w:r>
      <w:r w:rsidRPr="00B409A0">
        <w:rPr>
          <w:rtl/>
        </w:rPr>
        <w:t xml:space="preserve">וכח המצב שנוצר ולאור פניית </w:t>
      </w:r>
      <w:proofErr w:type="spellStart"/>
      <w:r w:rsidRPr="00B409A0">
        <w:rPr>
          <w:rtl/>
        </w:rPr>
        <w:t>מינהל</w:t>
      </w:r>
      <w:proofErr w:type="spellEnd"/>
      <w:r w:rsidRPr="00B409A0">
        <w:rPr>
          <w:rtl/>
        </w:rPr>
        <w:t xml:space="preserve"> הדלק והגז, </w:t>
      </w:r>
      <w:r w:rsidRPr="00B409A0">
        <w:rPr>
          <w:rFonts w:hint="cs"/>
          <w:rtl/>
        </w:rPr>
        <w:t>הוחלט על ידי הגורמים המקצועיים במשרד האנרגיה ובמשרד הכלכלה לתת פטור למשך 12 חודשים ממילוי אחר דרישות התקן הרשמי 1921, ממהדורת התקן העדכנית מינואר 2019, וזאת לגבי מוצרים העומדים בדרישות התקן הרשמי 1921 ממהדורת התקן מספטמבר 1999, לרבות גיליון תיקון מס' 1, ממאי 2011</w:t>
      </w:r>
      <w:r w:rsidR="002261AD">
        <w:rPr>
          <w:rFonts w:hint="cs"/>
          <w:rtl/>
        </w:rPr>
        <w:t xml:space="preserve"> בלבד</w:t>
      </w:r>
      <w:r w:rsidRPr="00B409A0">
        <w:rPr>
          <w:rFonts w:hint="cs"/>
          <w:rtl/>
        </w:rPr>
        <w:t>.</w:t>
      </w:r>
      <w:r w:rsidR="002261AD">
        <w:rPr>
          <w:rFonts w:hint="cs"/>
          <w:rtl/>
        </w:rPr>
        <w:t xml:space="preserve"> הפטור שיינתן יעמוד בתוקפו </w:t>
      </w:r>
      <w:r w:rsidR="002430FB">
        <w:rPr>
          <w:rFonts w:hint="cs"/>
          <w:rtl/>
        </w:rPr>
        <w:t>עד תום שנה מיום פרסומו</w:t>
      </w:r>
      <w:r w:rsidR="002261AD">
        <w:rPr>
          <w:rFonts w:hint="cs"/>
          <w:rtl/>
        </w:rPr>
        <w:t>.</w:t>
      </w:r>
    </w:p>
    <w:p w:rsidR="00B409A0" w:rsidRPr="00B409A0" w:rsidRDefault="00B409A0" w:rsidP="00B409A0">
      <w:pPr>
        <w:rPr>
          <w:rFonts w:ascii="Arial" w:hAnsi="Arial" w:cs="Arial"/>
          <w:rtl/>
        </w:rPr>
      </w:pPr>
    </w:p>
    <w:p w:rsidR="005A557E" w:rsidRPr="005A557E" w:rsidRDefault="005A557E" w:rsidP="0049306C">
      <w:pPr>
        <w:pStyle w:val="HesberHeading"/>
        <w:rPr>
          <w:b w:val="0"/>
          <w:bCs w:val="0"/>
        </w:rPr>
      </w:pPr>
    </w:p>
    <w:sectPr w:rsidR="005A557E" w:rsidRPr="005A557E" w:rsidSect="00BE5C59">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35" w:rsidRDefault="00332C35" w:rsidP="00516364">
      <w:pPr>
        <w:spacing w:line="240" w:lineRule="auto"/>
      </w:pPr>
      <w:r>
        <w:separator/>
      </w:r>
    </w:p>
  </w:endnote>
  <w:endnote w:type="continuationSeparator" w:id="0">
    <w:p w:rsidR="00332C35" w:rsidRDefault="00332C35" w:rsidP="00516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35" w:rsidRDefault="00332C35" w:rsidP="00BE5C59">
      <w:pPr>
        <w:spacing w:line="240" w:lineRule="auto"/>
        <w:ind w:left="0"/>
      </w:pPr>
      <w:r>
        <w:separator/>
      </w:r>
    </w:p>
  </w:footnote>
  <w:footnote w:type="continuationSeparator" w:id="0">
    <w:p w:rsidR="00332C35" w:rsidRDefault="00332C35" w:rsidP="00516364">
      <w:pPr>
        <w:spacing w:line="240" w:lineRule="auto"/>
      </w:pPr>
      <w:r>
        <w:continuationSeparator/>
      </w:r>
    </w:p>
  </w:footnote>
  <w:footnote w:id="1">
    <w:p w:rsidR="00C4699D" w:rsidRDefault="00C4699D" w:rsidP="00264541">
      <w:pPr>
        <w:pStyle w:val="a5"/>
        <w:rPr>
          <w:rtl/>
        </w:rPr>
      </w:pPr>
      <w:r>
        <w:rPr>
          <w:rStyle w:val="a7"/>
        </w:rPr>
        <w:footnoteRef/>
      </w:r>
      <w:r>
        <w:rPr>
          <w:rtl/>
        </w:rPr>
        <w:t xml:space="preserve"> ס"ח </w:t>
      </w:r>
      <w:proofErr w:type="spellStart"/>
      <w:r>
        <w:rPr>
          <w:rtl/>
        </w:rPr>
        <w:t>התשי"ג</w:t>
      </w:r>
      <w:proofErr w:type="spellEnd"/>
      <w:r>
        <w:rPr>
          <w:rtl/>
        </w:rPr>
        <w:t xml:space="preserve">, עמ' 30; </w:t>
      </w:r>
      <w:proofErr w:type="spellStart"/>
      <w:r>
        <w:rPr>
          <w:rtl/>
        </w:rPr>
        <w:t>התשע"</w:t>
      </w:r>
      <w:r>
        <w:rPr>
          <w:rFonts w:hint="cs"/>
          <w:rtl/>
        </w:rPr>
        <w:t>ז</w:t>
      </w:r>
      <w:proofErr w:type="spellEnd"/>
      <w:r w:rsidRPr="00EC4C13">
        <w:rPr>
          <w:rtl/>
        </w:rPr>
        <w:t xml:space="preserve">, עמ' </w:t>
      </w:r>
      <w:r>
        <w:rPr>
          <w:rFonts w:hint="cs"/>
          <w:rtl/>
        </w:rPr>
        <w:t>162</w:t>
      </w:r>
      <w:r w:rsidRPr="00EC4C13">
        <w:rPr>
          <w:rtl/>
        </w:rPr>
        <w:t>.</w:t>
      </w:r>
    </w:p>
  </w:footnote>
  <w:footnote w:id="2">
    <w:p w:rsidR="00784075" w:rsidRDefault="00784075" w:rsidP="003C7D5C">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התשע"ט</w:t>
      </w:r>
      <w:proofErr w:type="spellEnd"/>
      <w:r>
        <w:rPr>
          <w:rFonts w:hint="cs"/>
          <w:rtl/>
        </w:rPr>
        <w:t>, עמ' 2091.</w:t>
      </w:r>
    </w:p>
  </w:footnote>
  <w:footnote w:id="3">
    <w:p w:rsidR="00784075" w:rsidRDefault="00784075">
      <w:pPr>
        <w:pStyle w:val="a5"/>
        <w:rPr>
          <w:rtl/>
        </w:rPr>
      </w:pPr>
      <w:r>
        <w:rPr>
          <w:rStyle w:val="a7"/>
        </w:rPr>
        <w:footnoteRef/>
      </w:r>
      <w:r>
        <w:rPr>
          <w:rtl/>
        </w:rPr>
        <w:t xml:space="preserve"> </w:t>
      </w:r>
      <w:proofErr w:type="spellStart"/>
      <w:r>
        <w:rPr>
          <w:rFonts w:hint="cs"/>
          <w:rtl/>
        </w:rPr>
        <w:t>י"פ</w:t>
      </w:r>
      <w:proofErr w:type="spellEnd"/>
      <w:r>
        <w:rPr>
          <w:rFonts w:hint="cs"/>
          <w:rtl/>
        </w:rPr>
        <w:t xml:space="preserve"> </w:t>
      </w:r>
      <w:proofErr w:type="spellStart"/>
      <w:r>
        <w:rPr>
          <w:rFonts w:hint="cs"/>
          <w:rtl/>
        </w:rPr>
        <w:t>התשע"א</w:t>
      </w:r>
      <w:proofErr w:type="spellEnd"/>
      <w:r>
        <w:rPr>
          <w:rFonts w:hint="cs"/>
          <w:rtl/>
        </w:rPr>
        <w:t>, עמ' 5171.</w:t>
      </w:r>
    </w:p>
  </w:footnote>
  <w:footnote w:id="4">
    <w:p w:rsidR="00784075" w:rsidRDefault="00784075">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התשע"ט</w:t>
      </w:r>
      <w:proofErr w:type="spellEnd"/>
      <w:r>
        <w:rPr>
          <w:rFonts w:hint="cs"/>
          <w:rtl/>
        </w:rPr>
        <w:t>, עמ' 2091.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C52C7"/>
    <w:multiLevelType w:val="hybridMultilevel"/>
    <w:tmpl w:val="57A8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3B2AD0"/>
    <w:multiLevelType w:val="hybridMultilevel"/>
    <w:tmpl w:val="BB94ACF2"/>
    <w:lvl w:ilvl="0" w:tplc="33942E24">
      <w:start w:val="1"/>
      <w:numFmt w:val="hebrew1"/>
      <w:lvlRestart w:val="0"/>
      <w:lvlText w:val="(%1)"/>
      <w:lvlJc w:val="left"/>
      <w:pPr>
        <w:tabs>
          <w:tab w:val="num" w:pos="624"/>
        </w:tabs>
        <w:ind w:left="0" w:firstLine="0"/>
      </w:pPr>
      <w:rPr>
        <w:rFonts w:ascii="David" w:hAnsi="David" w:cs="David"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2"/>
  </w:num>
  <w:num w:numId="4">
    <w:abstractNumId w:val="17"/>
  </w:num>
  <w:num w:numId="5">
    <w:abstractNumId w:val="8"/>
  </w:num>
  <w:num w:numId="6">
    <w:abstractNumId w:val="3"/>
  </w:num>
  <w:num w:numId="7">
    <w:abstractNumId w:val="2"/>
  </w:num>
  <w:num w:numId="8">
    <w:abstractNumId w:val="1"/>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64"/>
    <w:rsid w:val="000274F9"/>
    <w:rsid w:val="000451D6"/>
    <w:rsid w:val="00062AE8"/>
    <w:rsid w:val="00095F2E"/>
    <w:rsid w:val="000C1053"/>
    <w:rsid w:val="0014116F"/>
    <w:rsid w:val="001737F2"/>
    <w:rsid w:val="002261AD"/>
    <w:rsid w:val="002430FB"/>
    <w:rsid w:val="00264541"/>
    <w:rsid w:val="002E74C7"/>
    <w:rsid w:val="00332C35"/>
    <w:rsid w:val="003542B0"/>
    <w:rsid w:val="00426C91"/>
    <w:rsid w:val="004305FE"/>
    <w:rsid w:val="00456DC0"/>
    <w:rsid w:val="004751E1"/>
    <w:rsid w:val="00487EB0"/>
    <w:rsid w:val="0049306C"/>
    <w:rsid w:val="004F248E"/>
    <w:rsid w:val="004F34AD"/>
    <w:rsid w:val="00512484"/>
    <w:rsid w:val="00516364"/>
    <w:rsid w:val="005760AA"/>
    <w:rsid w:val="0057761A"/>
    <w:rsid w:val="00593E6D"/>
    <w:rsid w:val="005A557E"/>
    <w:rsid w:val="005D0436"/>
    <w:rsid w:val="006A24C6"/>
    <w:rsid w:val="006B4CE1"/>
    <w:rsid w:val="006F7C93"/>
    <w:rsid w:val="00733AB3"/>
    <w:rsid w:val="00784075"/>
    <w:rsid w:val="0088054D"/>
    <w:rsid w:val="008A3323"/>
    <w:rsid w:val="008C3C1B"/>
    <w:rsid w:val="0099224A"/>
    <w:rsid w:val="009937A3"/>
    <w:rsid w:val="009946A3"/>
    <w:rsid w:val="00A41D1E"/>
    <w:rsid w:val="00A670F8"/>
    <w:rsid w:val="00AF3659"/>
    <w:rsid w:val="00B31589"/>
    <w:rsid w:val="00B409A0"/>
    <w:rsid w:val="00BB50A5"/>
    <w:rsid w:val="00BE5C59"/>
    <w:rsid w:val="00C4699D"/>
    <w:rsid w:val="00CA60EF"/>
    <w:rsid w:val="00D67514"/>
    <w:rsid w:val="00D8326F"/>
    <w:rsid w:val="00D872EA"/>
    <w:rsid w:val="00E324E8"/>
    <w:rsid w:val="00E51E43"/>
    <w:rsid w:val="00E8642F"/>
    <w:rsid w:val="00EC4C13"/>
    <w:rsid w:val="00F10CDF"/>
    <w:rsid w:val="00F53488"/>
    <w:rsid w:val="00FD0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2305-AA75-45EA-93BC-CB64016C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C5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BE5C5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BE5C5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BE5C5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BE5C59"/>
    <w:pPr>
      <w:numPr>
        <w:numId w:val="17"/>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BE5C5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BE5C5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BE5C59"/>
    <w:pPr>
      <w:outlineLvl w:val="2"/>
    </w:pPr>
  </w:style>
  <w:style w:type="paragraph" w:customStyle="1" w:styleId="TableBlock">
    <w:name w:val="Table Block"/>
    <w:basedOn w:val="TableText"/>
    <w:rsid w:val="00BE5C59"/>
    <w:pPr>
      <w:jc w:val="both"/>
    </w:pPr>
  </w:style>
  <w:style w:type="paragraph" w:customStyle="1" w:styleId="TableHead">
    <w:name w:val="Table Head"/>
    <w:basedOn w:val="TableText"/>
    <w:rsid w:val="00BE5C59"/>
    <w:pPr>
      <w:jc w:val="center"/>
      <w:outlineLvl w:val="1"/>
    </w:pPr>
    <w:rPr>
      <w:b/>
      <w:bCs/>
    </w:rPr>
  </w:style>
  <w:style w:type="paragraph" w:customStyle="1" w:styleId="HeadMitparsemetBaze">
    <w:name w:val="Head MitparsemetBaze"/>
    <w:basedOn w:val="a"/>
    <w:rsid w:val="00BE5C5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BE5C59"/>
    <w:pPr>
      <w:keepNext/>
      <w:keepLines/>
      <w:snapToGrid w:val="0"/>
      <w:spacing w:before="240"/>
      <w:jc w:val="center"/>
      <w:outlineLvl w:val="0"/>
    </w:pPr>
    <w:rPr>
      <w:rFonts w:ascii="Arial" w:eastAsia="Arial Unicode MS" w:hAnsi="Arial"/>
      <w:b/>
      <w:bCs/>
      <w:snapToGrid w:val="0"/>
      <w:sz w:val="20"/>
      <w:szCs w:val="26"/>
    </w:rPr>
  </w:style>
  <w:style w:type="paragraph" w:customStyle="1" w:styleId="HesberWriters">
    <w:name w:val="Hesber Writers"/>
    <w:basedOn w:val="Hesber"/>
    <w:rsid w:val="00BE5C59"/>
    <w:pPr>
      <w:spacing w:before="120" w:after="120"/>
      <w:ind w:left="1418"/>
      <w:jc w:val="right"/>
    </w:pPr>
    <w:rPr>
      <w:b/>
      <w:bCs/>
    </w:rPr>
  </w:style>
  <w:style w:type="paragraph" w:customStyle="1" w:styleId="Hesber1st">
    <w:name w:val="Hesber 1st"/>
    <w:basedOn w:val="Hesber"/>
    <w:rsid w:val="00BE5C59"/>
    <w:pPr>
      <w:tabs>
        <w:tab w:val="left" w:pos="680"/>
        <w:tab w:val="left" w:pos="1020"/>
      </w:tabs>
      <w:ind w:firstLine="0"/>
    </w:pPr>
  </w:style>
  <w:style w:type="paragraph" w:customStyle="1" w:styleId="HeadDivreiHesber">
    <w:name w:val="Head DivreiHesber"/>
    <w:basedOn w:val="a"/>
    <w:rsid w:val="00BE5C59"/>
    <w:pPr>
      <w:snapToGrid w:val="0"/>
      <w:spacing w:before="360" w:after="120"/>
      <w:jc w:val="center"/>
      <w:outlineLvl w:val="1"/>
    </w:pPr>
    <w:rPr>
      <w:rFonts w:ascii="Arial" w:eastAsia="Arial Unicode MS" w:hAnsi="Arial"/>
      <w:b/>
      <w:snapToGrid w:val="0"/>
      <w:spacing w:val="40"/>
      <w:sz w:val="20"/>
      <w:szCs w:val="26"/>
    </w:rPr>
  </w:style>
  <w:style w:type="paragraph" w:customStyle="1" w:styleId="HeadHatzaotHok4Futer">
    <w:name w:val="Head HatzaotHok4Futer"/>
    <w:basedOn w:val="HeadHatzaotHok"/>
    <w:rsid w:val="00BE5C59"/>
    <w:pPr>
      <w:spacing w:before="120" w:after="120"/>
    </w:pPr>
    <w:rPr>
      <w:color w:val="FF0000"/>
      <w:w w:val="80"/>
    </w:rPr>
  </w:style>
  <w:style w:type="paragraph" w:styleId="a3">
    <w:name w:val="endnote text"/>
    <w:basedOn w:val="a"/>
    <w:link w:val="a4"/>
    <w:semiHidden/>
    <w:rsid w:val="00BE5C59"/>
    <w:pPr>
      <w:ind w:left="227" w:hanging="227"/>
    </w:pPr>
    <w:rPr>
      <w:sz w:val="14"/>
      <w:szCs w:val="22"/>
    </w:rPr>
  </w:style>
  <w:style w:type="character" w:customStyle="1" w:styleId="a4">
    <w:name w:val="טקסט הערת סיום תו"/>
    <w:basedOn w:val="a0"/>
    <w:link w:val="a3"/>
    <w:semiHidden/>
    <w:rsid w:val="00516364"/>
    <w:rPr>
      <w:rFonts w:ascii="David" w:hAnsi="David" w:cs="David"/>
      <w:sz w:val="14"/>
    </w:rPr>
  </w:style>
  <w:style w:type="paragraph" w:customStyle="1" w:styleId="TableInnerSideHeading">
    <w:name w:val="Table InnerSideHeading"/>
    <w:basedOn w:val="TableSideHeading"/>
    <w:rsid w:val="00BE5C59"/>
    <w:pPr>
      <w:outlineLvl w:val="9"/>
    </w:pPr>
  </w:style>
  <w:style w:type="paragraph" w:customStyle="1" w:styleId="Hesber">
    <w:name w:val="Hesber"/>
    <w:basedOn w:val="a"/>
    <w:rsid w:val="00BE5C5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BE5C5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516364"/>
    <w:rPr>
      <w:rFonts w:ascii="Arial" w:eastAsia="Arial Unicode MS" w:hAnsi="Arial" w:cs="David"/>
      <w:snapToGrid w:val="0"/>
      <w:sz w:val="14"/>
      <w:szCs w:val="20"/>
    </w:rPr>
  </w:style>
  <w:style w:type="character" w:styleId="a7">
    <w:name w:val="footnote reference"/>
    <w:aliases w:val="Footnote Reference"/>
    <w:basedOn w:val="a0"/>
    <w:semiHidden/>
    <w:rsid w:val="00BE5C59"/>
    <w:rPr>
      <w:vertAlign w:val="superscript"/>
    </w:rPr>
  </w:style>
  <w:style w:type="paragraph" w:customStyle="1" w:styleId="HesberHeading">
    <w:name w:val="Hesber Heading"/>
    <w:basedOn w:val="Hesber"/>
    <w:rsid w:val="00BE5C59"/>
    <w:pPr>
      <w:tabs>
        <w:tab w:val="left" w:pos="624"/>
        <w:tab w:val="left" w:pos="1247"/>
      </w:tabs>
    </w:pPr>
    <w:rPr>
      <w:b/>
      <w:bCs/>
    </w:rPr>
  </w:style>
  <w:style w:type="character" w:styleId="a8">
    <w:name w:val="endnote reference"/>
    <w:basedOn w:val="a0"/>
    <w:semiHidden/>
    <w:rsid w:val="00BE5C59"/>
    <w:rPr>
      <w:vertAlign w:val="superscript"/>
    </w:rPr>
  </w:style>
  <w:style w:type="paragraph" w:customStyle="1" w:styleId="TableBlockOutdent">
    <w:name w:val="Table BlockOutdent"/>
    <w:basedOn w:val="TableBlock"/>
    <w:rsid w:val="00BE5C59"/>
    <w:pPr>
      <w:ind w:left="624" w:hanging="624"/>
    </w:pPr>
  </w:style>
  <w:style w:type="paragraph" w:styleId="a9">
    <w:name w:val="header"/>
    <w:basedOn w:val="a"/>
    <w:link w:val="aa"/>
    <w:rsid w:val="00BE5C59"/>
    <w:pPr>
      <w:tabs>
        <w:tab w:val="center" w:pos="4153"/>
        <w:tab w:val="right" w:pos="8306"/>
      </w:tabs>
    </w:pPr>
  </w:style>
  <w:style w:type="character" w:customStyle="1" w:styleId="aa">
    <w:name w:val="כותרת עליונה תו"/>
    <w:basedOn w:val="a0"/>
    <w:link w:val="a9"/>
    <w:rsid w:val="00516364"/>
    <w:rPr>
      <w:rFonts w:ascii="David" w:hAnsi="David" w:cs="David"/>
      <w:sz w:val="24"/>
      <w:szCs w:val="24"/>
    </w:rPr>
  </w:style>
  <w:style w:type="paragraph" w:styleId="ab">
    <w:name w:val="footer"/>
    <w:basedOn w:val="a"/>
    <w:link w:val="ac"/>
    <w:rsid w:val="00BE5C59"/>
    <w:pPr>
      <w:tabs>
        <w:tab w:val="center" w:pos="4153"/>
        <w:tab w:val="right" w:pos="8306"/>
      </w:tabs>
    </w:pPr>
  </w:style>
  <w:style w:type="character" w:customStyle="1" w:styleId="ac">
    <w:name w:val="כותרת תחתונה תו"/>
    <w:basedOn w:val="a0"/>
    <w:link w:val="ab"/>
    <w:rsid w:val="00516364"/>
    <w:rPr>
      <w:rFonts w:ascii="David" w:hAnsi="David" w:cs="David"/>
      <w:sz w:val="24"/>
      <w:szCs w:val="24"/>
    </w:rPr>
  </w:style>
  <w:style w:type="character" w:styleId="ad">
    <w:name w:val="page number"/>
    <w:basedOn w:val="a0"/>
    <w:rsid w:val="00BE5C59"/>
  </w:style>
  <w:style w:type="paragraph" w:customStyle="1" w:styleId="Cover1-Reshumot">
    <w:name w:val="Cover 1-Reshumot"/>
    <w:basedOn w:val="a"/>
    <w:rsid w:val="00BE5C5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BE5C59"/>
    <w:rPr>
      <w:sz w:val="36"/>
      <w:szCs w:val="52"/>
    </w:rPr>
  </w:style>
  <w:style w:type="paragraph" w:customStyle="1" w:styleId="Cover3-Haknesset">
    <w:name w:val="Cover 3-Haknesset"/>
    <w:basedOn w:val="Cover1-Reshumot"/>
    <w:rsid w:val="00BE5C59"/>
    <w:rPr>
      <w:b/>
      <w:bCs/>
      <w:spacing w:val="60"/>
    </w:rPr>
  </w:style>
  <w:style w:type="paragraph" w:customStyle="1" w:styleId="Cover4-Date">
    <w:name w:val="Cover 4-Date"/>
    <w:basedOn w:val="a"/>
    <w:rsid w:val="00BE5C5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BE5C59"/>
    <w:pPr>
      <w:snapToGrid w:val="0"/>
      <w:jc w:val="left"/>
    </w:pPr>
    <w:rPr>
      <w:rFonts w:ascii="Arial" w:eastAsia="Arial Unicode MS" w:hAnsi="Arial"/>
      <w:snapToGrid w:val="0"/>
      <w:sz w:val="20"/>
      <w:szCs w:val="26"/>
    </w:rPr>
  </w:style>
  <w:style w:type="character" w:styleId="ae">
    <w:name w:val="annotation reference"/>
    <w:basedOn w:val="a0"/>
    <w:uiPriority w:val="99"/>
    <w:semiHidden/>
    <w:unhideWhenUsed/>
    <w:rsid w:val="0049306C"/>
    <w:rPr>
      <w:sz w:val="16"/>
      <w:szCs w:val="16"/>
    </w:rPr>
  </w:style>
  <w:style w:type="paragraph" w:styleId="af">
    <w:name w:val="annotation text"/>
    <w:basedOn w:val="a"/>
    <w:link w:val="af0"/>
    <w:uiPriority w:val="99"/>
    <w:semiHidden/>
    <w:unhideWhenUsed/>
    <w:rsid w:val="0049306C"/>
    <w:pPr>
      <w:spacing w:line="240" w:lineRule="auto"/>
    </w:pPr>
    <w:rPr>
      <w:sz w:val="20"/>
      <w:szCs w:val="20"/>
    </w:rPr>
  </w:style>
  <w:style w:type="character" w:customStyle="1" w:styleId="af0">
    <w:name w:val="טקסט הערה תו"/>
    <w:basedOn w:val="a0"/>
    <w:link w:val="af"/>
    <w:uiPriority w:val="99"/>
    <w:semiHidden/>
    <w:rsid w:val="0049306C"/>
    <w:rPr>
      <w:rFonts w:ascii="Hadasa Roso SL" w:eastAsia="MS Mincho" w:hAnsi="Hadasa Roso SL" w:cs="Hadasa Roso SL"/>
      <w:color w:val="000000"/>
      <w:spacing w:val="1"/>
      <w:sz w:val="20"/>
      <w:szCs w:val="20"/>
      <w:lang w:eastAsia="ja-JP"/>
    </w:rPr>
  </w:style>
  <w:style w:type="paragraph" w:styleId="af1">
    <w:name w:val="annotation subject"/>
    <w:basedOn w:val="af"/>
    <w:next w:val="af"/>
    <w:link w:val="af2"/>
    <w:uiPriority w:val="99"/>
    <w:semiHidden/>
    <w:unhideWhenUsed/>
    <w:rsid w:val="0049306C"/>
    <w:rPr>
      <w:b/>
      <w:bCs/>
    </w:rPr>
  </w:style>
  <w:style w:type="character" w:customStyle="1" w:styleId="af2">
    <w:name w:val="נושא הערה תו"/>
    <w:basedOn w:val="af0"/>
    <w:link w:val="af1"/>
    <w:uiPriority w:val="99"/>
    <w:semiHidden/>
    <w:rsid w:val="0049306C"/>
    <w:rPr>
      <w:rFonts w:ascii="Hadasa Roso SL" w:eastAsia="MS Mincho" w:hAnsi="Hadasa Roso SL" w:cs="Hadasa Roso SL"/>
      <w:b/>
      <w:bCs/>
      <w:color w:val="000000"/>
      <w:spacing w:val="1"/>
      <w:sz w:val="20"/>
      <w:szCs w:val="20"/>
      <w:lang w:eastAsia="ja-JP"/>
    </w:rPr>
  </w:style>
  <w:style w:type="paragraph" w:styleId="af3">
    <w:name w:val="Balloon Text"/>
    <w:basedOn w:val="a"/>
    <w:link w:val="af4"/>
    <w:uiPriority w:val="99"/>
    <w:semiHidden/>
    <w:unhideWhenUsed/>
    <w:rsid w:val="0049306C"/>
    <w:pPr>
      <w:spacing w:line="240" w:lineRule="auto"/>
    </w:pPr>
    <w:rPr>
      <w:rFonts w:ascii="Tahoma" w:hAnsi="Tahoma" w:cs="Tahoma"/>
      <w:sz w:val="18"/>
      <w:szCs w:val="18"/>
    </w:rPr>
  </w:style>
  <w:style w:type="character" w:customStyle="1" w:styleId="af4">
    <w:name w:val="טקסט בלונים תו"/>
    <w:basedOn w:val="a0"/>
    <w:link w:val="af3"/>
    <w:uiPriority w:val="99"/>
    <w:semiHidden/>
    <w:rsid w:val="0049306C"/>
    <w:rPr>
      <w:rFonts w:ascii="Tahoma" w:eastAsia="MS Mincho" w:hAnsi="Tahoma" w:cs="Tahoma"/>
      <w:color w:val="000000"/>
      <w:spacing w:val="1"/>
      <w:sz w:val="18"/>
      <w:szCs w:val="18"/>
      <w:lang w:eastAsia="ja-JP"/>
    </w:rPr>
  </w:style>
  <w:style w:type="character" w:customStyle="1" w:styleId="10">
    <w:name w:val="כותרת 1 תו"/>
    <w:basedOn w:val="a0"/>
    <w:link w:val="1"/>
    <w:uiPriority w:val="9"/>
    <w:rsid w:val="00BE5C59"/>
    <w:rPr>
      <w:rFonts w:asciiTheme="majorHAnsi" w:eastAsiaTheme="majorEastAsia" w:hAnsiTheme="majorHAnsi" w:cs="David"/>
      <w:bCs/>
      <w:sz w:val="32"/>
      <w:szCs w:val="36"/>
    </w:rPr>
  </w:style>
  <w:style w:type="character" w:customStyle="1" w:styleId="20">
    <w:name w:val="כותרת 2 תו"/>
    <w:basedOn w:val="a0"/>
    <w:link w:val="2"/>
    <w:rsid w:val="00BE5C59"/>
    <w:rPr>
      <w:rFonts w:asciiTheme="majorHAnsi" w:eastAsiaTheme="majorEastAsia" w:hAnsiTheme="majorHAnsi" w:cs="David"/>
      <w:bCs/>
      <w:sz w:val="26"/>
      <w:szCs w:val="36"/>
      <w:u w:val="single"/>
    </w:rPr>
  </w:style>
  <w:style w:type="character" w:customStyle="1" w:styleId="30">
    <w:name w:val="כותרת 3 תו"/>
    <w:basedOn w:val="a0"/>
    <w:link w:val="3"/>
    <w:rsid w:val="00BE5C59"/>
    <w:rPr>
      <w:rFonts w:asciiTheme="majorHAnsi" w:eastAsiaTheme="majorEastAsia" w:hAnsiTheme="majorHAnsi" w:cs="David"/>
      <w:sz w:val="24"/>
      <w:szCs w:val="28"/>
      <w:u w:val="double"/>
    </w:rPr>
  </w:style>
  <w:style w:type="character" w:customStyle="1" w:styleId="40">
    <w:name w:val="כותרת 4 תו"/>
    <w:basedOn w:val="a0"/>
    <w:link w:val="4"/>
    <w:uiPriority w:val="9"/>
    <w:rsid w:val="00BE5C59"/>
    <w:rPr>
      <w:rFonts w:ascii="David" w:hAnsi="David" w:cs="David"/>
      <w:b/>
      <w:bCs/>
      <w:color w:val="000000" w:themeColor="text1"/>
      <w:sz w:val="24"/>
      <w:szCs w:val="28"/>
    </w:rPr>
  </w:style>
  <w:style w:type="character" w:customStyle="1" w:styleId="50">
    <w:name w:val="כותרת 5 תו"/>
    <w:basedOn w:val="a0"/>
    <w:link w:val="5"/>
    <w:uiPriority w:val="9"/>
    <w:rsid w:val="00BE5C59"/>
    <w:rPr>
      <w:rFonts w:ascii="David" w:hAnsi="David" w:cs="David"/>
      <w:color w:val="000000" w:themeColor="text1"/>
      <w:sz w:val="24"/>
      <w:szCs w:val="24"/>
    </w:rPr>
  </w:style>
  <w:style w:type="paragraph" w:styleId="af5">
    <w:name w:val="TOC Heading"/>
    <w:basedOn w:val="1"/>
    <w:next w:val="a"/>
    <w:uiPriority w:val="39"/>
    <w:unhideWhenUsed/>
    <w:qFormat/>
    <w:rsid w:val="00BE5C59"/>
    <w:pPr>
      <w:widowControl/>
      <w:spacing w:before="120" w:after="120"/>
      <w:outlineLvl w:val="9"/>
    </w:pPr>
    <w:rPr>
      <w:rtl/>
      <w:cs/>
    </w:rPr>
  </w:style>
  <w:style w:type="paragraph" w:styleId="TOC1">
    <w:name w:val="toc 1"/>
    <w:basedOn w:val="a"/>
    <w:next w:val="a"/>
    <w:autoRedefine/>
    <w:uiPriority w:val="39"/>
    <w:unhideWhenUsed/>
    <w:rsid w:val="00BE5C59"/>
    <w:pPr>
      <w:tabs>
        <w:tab w:val="right" w:leader="dot" w:pos="9629"/>
      </w:tabs>
      <w:spacing w:after="100"/>
    </w:pPr>
    <w:rPr>
      <w:bCs/>
      <w:szCs w:val="22"/>
    </w:rPr>
  </w:style>
  <w:style w:type="paragraph" w:styleId="TOC2">
    <w:name w:val="toc 2"/>
    <w:basedOn w:val="a"/>
    <w:next w:val="a"/>
    <w:uiPriority w:val="39"/>
    <w:unhideWhenUsed/>
    <w:rsid w:val="00BE5C59"/>
    <w:pPr>
      <w:tabs>
        <w:tab w:val="right" w:leader="dot" w:pos="9628"/>
      </w:tabs>
      <w:spacing w:after="100"/>
    </w:pPr>
    <w:rPr>
      <w:szCs w:val="22"/>
    </w:rPr>
  </w:style>
  <w:style w:type="character" w:styleId="Hyperlink">
    <w:name w:val="Hyperlink"/>
    <w:basedOn w:val="a0"/>
    <w:uiPriority w:val="99"/>
    <w:unhideWhenUsed/>
    <w:rsid w:val="00BE5C59"/>
    <w:rPr>
      <w:color w:val="0563C1" w:themeColor="hyperlink"/>
      <w:u w:val="single"/>
    </w:rPr>
  </w:style>
  <w:style w:type="paragraph" w:styleId="TOC3">
    <w:name w:val="toc 3"/>
    <w:basedOn w:val="a"/>
    <w:next w:val="a"/>
    <w:uiPriority w:val="39"/>
    <w:unhideWhenUsed/>
    <w:rsid w:val="00BE5C59"/>
    <w:pPr>
      <w:numPr>
        <w:numId w:val="20"/>
      </w:numPr>
      <w:tabs>
        <w:tab w:val="right" w:leader="dot" w:pos="9629"/>
      </w:tabs>
      <w:spacing w:after="100"/>
      <w:ind w:left="811" w:hanging="357"/>
    </w:pPr>
    <w:rPr>
      <w:szCs w:val="22"/>
    </w:rPr>
  </w:style>
  <w:style w:type="paragraph" w:styleId="TOC4">
    <w:name w:val="toc 4"/>
    <w:basedOn w:val="a"/>
    <w:next w:val="a"/>
    <w:autoRedefine/>
    <w:unhideWhenUsed/>
    <w:qFormat/>
    <w:rsid w:val="00BE5C5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BE5C59"/>
    <w:pPr>
      <w:tabs>
        <w:tab w:val="right" w:leader="dot" w:pos="9628"/>
      </w:tabs>
      <w:spacing w:after="100"/>
      <w:ind w:left="567"/>
    </w:pPr>
    <w:rPr>
      <w:szCs w:val="22"/>
    </w:rPr>
  </w:style>
  <w:style w:type="paragraph" w:styleId="TOC6">
    <w:name w:val="toc 6"/>
    <w:basedOn w:val="a"/>
    <w:next w:val="a"/>
    <w:autoRedefine/>
    <w:semiHidden/>
    <w:unhideWhenUsed/>
    <w:rsid w:val="00BE5C59"/>
    <w:pPr>
      <w:spacing w:after="100"/>
      <w:ind w:left="850"/>
    </w:pPr>
  </w:style>
  <w:style w:type="paragraph" w:styleId="TOC7">
    <w:name w:val="toc 7"/>
    <w:basedOn w:val="a"/>
    <w:next w:val="a"/>
    <w:autoRedefine/>
    <w:semiHidden/>
    <w:unhideWhenUsed/>
    <w:rsid w:val="00BE5C59"/>
    <w:pPr>
      <w:spacing w:after="100"/>
      <w:ind w:left="1020"/>
    </w:pPr>
  </w:style>
  <w:style w:type="paragraph" w:styleId="TOC8">
    <w:name w:val="toc 8"/>
    <w:basedOn w:val="a"/>
    <w:next w:val="a"/>
    <w:autoRedefine/>
    <w:semiHidden/>
    <w:unhideWhenUsed/>
    <w:rsid w:val="00BE5C59"/>
    <w:pPr>
      <w:spacing w:after="100"/>
      <w:ind w:left="1190"/>
    </w:pPr>
  </w:style>
  <w:style w:type="paragraph" w:styleId="TOC9">
    <w:name w:val="toc 9"/>
    <w:basedOn w:val="a"/>
    <w:next w:val="a"/>
    <w:autoRedefine/>
    <w:semiHidden/>
    <w:unhideWhenUsed/>
    <w:rsid w:val="00BE5C59"/>
    <w:pPr>
      <w:spacing w:after="100"/>
      <w:ind w:left="1360"/>
    </w:pPr>
  </w:style>
  <w:style w:type="paragraph" w:customStyle="1" w:styleId="TableHead2">
    <w:name w:val="Table Head2"/>
    <w:basedOn w:val="TableHead"/>
    <w:qFormat/>
    <w:rsid w:val="00BE5C59"/>
    <w:pPr>
      <w:outlineLvl w:val="9"/>
    </w:pPr>
  </w:style>
  <w:style w:type="paragraph" w:customStyle="1" w:styleId="TableSideHeading2">
    <w:name w:val="Table SideHeading2"/>
    <w:basedOn w:val="TableSideHeading"/>
    <w:autoRedefine/>
    <w:qFormat/>
    <w:rsid w:val="00BE5C59"/>
    <w:pPr>
      <w:keepLines w:val="0"/>
      <w:outlineLvl w:val="9"/>
    </w:pPr>
  </w:style>
  <w:style w:type="paragraph" w:customStyle="1" w:styleId="0">
    <w:name w:val="סגנון שורה ראשונה:  0  ס''מ"/>
    <w:basedOn w:val="2"/>
    <w:rsid w:val="00BE5C59"/>
    <w:rPr>
      <w:rFonts w:eastAsia="Times New Roman"/>
    </w:rPr>
  </w:style>
  <w:style w:type="paragraph" w:styleId="af6">
    <w:name w:val="List Paragraph"/>
    <w:basedOn w:val="a"/>
    <w:uiPriority w:val="34"/>
    <w:qFormat/>
    <w:rsid w:val="00BE5C59"/>
    <w:pPr>
      <w:widowControl/>
      <w:spacing w:line="259" w:lineRule="auto"/>
    </w:pPr>
    <w:rPr>
      <w:rFonts w:asciiTheme="minorHAnsi" w:hAnsiTheme="minorHAnsi"/>
      <w:sz w:val="22"/>
    </w:rPr>
  </w:style>
  <w:style w:type="table" w:styleId="af7">
    <w:name w:val="Table Grid"/>
    <w:basedOn w:val="a1"/>
    <w:rsid w:val="00BE5C5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EC4C1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EC4C1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8">
    <w:name w:val="טבלת חקיקה"/>
    <w:basedOn w:val="a1"/>
    <w:uiPriority w:val="99"/>
    <w:rsid w:val="00BE5C5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BE5C5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table" w:customStyle="1" w:styleId="120">
    <w:name w:val="טבלה רגילה 12"/>
    <w:basedOn w:val="a1"/>
    <w:uiPriority w:val="41"/>
    <w:rsid w:val="00BE5C5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2"/>
    <w:basedOn w:val="a1"/>
    <w:uiPriority w:val="46"/>
    <w:rsid w:val="00BE5C5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fNumber xmlns="d2589617-2f74-4077-aee7-f516ed639388">45508</Ref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91E7-BCBA-46B7-A22F-6E4E33FB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DC3B94-65B3-4C06-BE5E-85B9B06596E3}">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5071BB92-0E24-4599-8BCF-CCF665844E8C}">
  <ds:schemaRefs>
    <ds:schemaRef ds:uri="http://schemas.microsoft.com/sharepoint/v3/contenttype/forms"/>
  </ds:schemaRefs>
</ds:datastoreItem>
</file>

<file path=customXml/itemProps4.xml><?xml version="1.0" encoding="utf-8"?>
<ds:datastoreItem xmlns:ds="http://schemas.openxmlformats.org/officeDocument/2006/customXml" ds:itemID="{556E7AFF-29E4-411A-B44A-0ABBDF22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2193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צו התקנים (פטור ממילוי אחר דרישות תקן רשמי) (הוראת שעה) התשף-2020.docx</vt:lpstr>
    </vt:vector>
  </TitlesOfParts>
  <Company>MOJ</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התקנים (פטור ממילוי אחר דרישות תקן רשמי) (הוראת שעה) התשף-2020.docx</dc:title>
  <dc:creator>גל נוי-אפרת</dc:creator>
  <cp:lastModifiedBy>Merav Kaplan - Chamber Of Commerce</cp:lastModifiedBy>
  <cp:revision>2</cp:revision>
  <dcterms:created xsi:type="dcterms:W3CDTF">2020-01-21T13:34:00Z</dcterms:created>
  <dcterms:modified xsi:type="dcterms:W3CDTF">2020-01-21T13:34:00Z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