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17" w:rsidRDefault="00C30F17" w:rsidP="00722C14">
      <w:pPr>
        <w:pStyle w:val="Heading1"/>
        <w:keepNext w:val="0"/>
        <w:keepLines w:val="0"/>
      </w:pPr>
      <w:r>
        <w:rPr>
          <w:rtl/>
        </w:rPr>
        <w:t>טיוטת תקנות</w:t>
      </w:r>
    </w:p>
    <w:p w:rsidR="00C30F17" w:rsidRDefault="00C30F17" w:rsidP="00722C14">
      <w:pPr>
        <w:rPr>
          <w:rtl/>
        </w:rPr>
      </w:pPr>
    </w:p>
    <w:p w:rsidR="00C30F17" w:rsidRDefault="00C30F17" w:rsidP="00F24A78">
      <w:pPr>
        <w:pStyle w:val="Heading4"/>
        <w:rPr>
          <w:rtl/>
        </w:rPr>
      </w:pPr>
      <w:r>
        <w:rPr>
          <w:rFonts w:hint="cs"/>
          <w:rtl/>
        </w:rPr>
        <w:t>שם התקנות המוצעות</w:t>
      </w:r>
    </w:p>
    <w:p w:rsidR="00C30F17" w:rsidRDefault="00C30F17" w:rsidP="00875B95">
      <w:r>
        <w:rPr>
          <w:rFonts w:hint="cs"/>
          <w:rtl/>
        </w:rPr>
        <w:t xml:space="preserve">תקנות </w:t>
      </w:r>
      <w:r w:rsidR="00D34FDB">
        <w:rPr>
          <w:rFonts w:hint="cs"/>
          <w:rtl/>
        </w:rPr>
        <w:t>לפיקוח על ייצוא הצמח ומוצריו (תיקון), התשע"</w:t>
      </w:r>
      <w:r w:rsidR="00875B95">
        <w:rPr>
          <w:rFonts w:hint="cs"/>
          <w:rtl/>
        </w:rPr>
        <w:t>ט</w:t>
      </w:r>
      <w:r w:rsidR="00D34FDB">
        <w:rPr>
          <w:rFonts w:hint="cs"/>
          <w:rtl/>
        </w:rPr>
        <w:t>-</w:t>
      </w:r>
      <w:r w:rsidR="00875B95">
        <w:rPr>
          <w:rFonts w:hint="cs"/>
          <w:rtl/>
        </w:rPr>
        <w:t>2019</w:t>
      </w:r>
      <w:r w:rsidR="0041463C">
        <w:rPr>
          <w:rFonts w:hint="cs"/>
          <w:rtl/>
        </w:rPr>
        <w:t>.</w:t>
      </w:r>
    </w:p>
    <w:p w:rsidR="00C30F17" w:rsidRDefault="00C30F17" w:rsidP="00722C14">
      <w:pPr>
        <w:rPr>
          <w:rtl/>
        </w:rPr>
      </w:pPr>
    </w:p>
    <w:p w:rsidR="00C30F17" w:rsidRDefault="00C30F17" w:rsidP="00722C14">
      <w:pPr>
        <w:rPr>
          <w:rtl/>
        </w:rPr>
      </w:pPr>
    </w:p>
    <w:p w:rsidR="00C30F17" w:rsidRDefault="00C30F17" w:rsidP="00B8071E">
      <w:pPr>
        <w:pStyle w:val="Heading4"/>
        <w:rPr>
          <w:rtl/>
        </w:rPr>
      </w:pPr>
      <w:r>
        <w:rPr>
          <w:rFonts w:hint="cs"/>
          <w:rtl/>
        </w:rPr>
        <w:t xml:space="preserve">מטרת התקנות המוצעות והצורך בהן </w:t>
      </w:r>
    </w:p>
    <w:p w:rsidR="00B8071E" w:rsidRDefault="00B8071E" w:rsidP="00B8071E">
      <w:pPr>
        <w:rPr>
          <w:rtl/>
        </w:rPr>
      </w:pPr>
      <w:r>
        <w:rPr>
          <w:rtl/>
        </w:rPr>
        <w:t>מטרתו של החוק המסמיך – הוא החוק לפיקוח על יצוא הצמח ומוצריו, התשי"ד</w:t>
      </w:r>
      <w:r>
        <w:rPr>
          <w:rFonts w:hint="cs"/>
          <w:rtl/>
        </w:rPr>
        <w:t>-</w:t>
      </w:r>
      <w:r>
        <w:rPr>
          <w:rtl/>
        </w:rPr>
        <w:t>1954 (להלן</w:t>
      </w:r>
      <w:r>
        <w:rPr>
          <w:rFonts w:hint="cs"/>
          <w:rtl/>
        </w:rPr>
        <w:t>: "</w:t>
      </w:r>
      <w:r w:rsidRPr="00CA05D9">
        <w:rPr>
          <w:b/>
          <w:bCs/>
          <w:rtl/>
        </w:rPr>
        <w:t>החוק</w:t>
      </w:r>
      <w:r>
        <w:rPr>
          <w:rFonts w:hint="cs"/>
          <w:rtl/>
        </w:rPr>
        <w:t>"</w:t>
      </w:r>
      <w:r>
        <w:rPr>
          <w:rtl/>
        </w:rPr>
        <w:t xml:space="preserve">), כעולה מדברי ההסבר לתיקון משנת 1968, הייתה: "להבטיח את </w:t>
      </w:r>
      <w:r w:rsidRPr="0045058E">
        <w:rPr>
          <w:rtl/>
        </w:rPr>
        <w:t xml:space="preserve">רמת התוצרת החקלאית המיועדת ליצוא ואת שמה הטוב בשוקי חוץ- לארץ". </w:t>
      </w:r>
      <w:r>
        <w:rPr>
          <w:rtl/>
        </w:rPr>
        <w:t>לפי ס' 6(א) לחוק, שר החקלאות רשאי, לאחר הת</w:t>
      </w:r>
      <w:r>
        <w:rPr>
          <w:rFonts w:hint="cs"/>
          <w:rtl/>
        </w:rPr>
        <w:t>י</w:t>
      </w:r>
      <w:r>
        <w:rPr>
          <w:rtl/>
        </w:rPr>
        <w:t>יעצות ב</w:t>
      </w:r>
      <w:r>
        <w:rPr>
          <w:rFonts w:hint="cs"/>
          <w:rtl/>
        </w:rPr>
        <w:t>ו</w:t>
      </w:r>
      <w:r>
        <w:rPr>
          <w:rtl/>
        </w:rPr>
        <w:t xml:space="preserve">ועדה מייעצת </w:t>
      </w:r>
      <w:r w:rsidRPr="0045058E">
        <w:rPr>
          <w:rtl/>
        </w:rPr>
        <w:t>שנתמנתה לפי סעיף 4</w:t>
      </w:r>
      <w:r w:rsidRPr="0045058E">
        <w:rPr>
          <w:rFonts w:hint="cs"/>
          <w:rtl/>
        </w:rPr>
        <w:t xml:space="preserve"> לחוק</w:t>
      </w:r>
      <w:r>
        <w:rPr>
          <w:rtl/>
        </w:rPr>
        <w:t xml:space="preserve">, להתקין תקנות לפיקוח על צמחים המיועדים ליצוא, לרבות תקנות הקובעות </w:t>
      </w:r>
      <w:r w:rsidR="00381230">
        <w:rPr>
          <w:rFonts w:hint="cs"/>
          <w:rtl/>
        </w:rPr>
        <w:t xml:space="preserve">את </w:t>
      </w:r>
      <w:r>
        <w:rPr>
          <w:rtl/>
        </w:rPr>
        <w:t xml:space="preserve">טיבם וסגולותיהם של צמחים הכשרים ליצוא. בהתאם להוראה זו, הותקנו התקנות העיקריות - התקנות לפיקוח על ייצוא הצמח ומוצריו, </w:t>
      </w:r>
      <w:proofErr w:type="spellStart"/>
      <w:r>
        <w:rPr>
          <w:rtl/>
        </w:rPr>
        <w:t>התשל"ט</w:t>
      </w:r>
      <w:proofErr w:type="spellEnd"/>
      <w:r>
        <w:rPr>
          <w:rtl/>
        </w:rPr>
        <w:t>- 1979</w:t>
      </w:r>
      <w:r>
        <w:rPr>
          <w:rFonts w:hint="cs"/>
          <w:rtl/>
        </w:rPr>
        <w:t>.</w:t>
      </w:r>
    </w:p>
    <w:p w:rsidR="00B8071E" w:rsidRDefault="00B8071E" w:rsidP="00B8071E">
      <w:pPr>
        <w:rPr>
          <w:rtl/>
        </w:rPr>
      </w:pPr>
    </w:p>
    <w:p w:rsidR="00B8071E" w:rsidRPr="004B35B2" w:rsidRDefault="0041463C" w:rsidP="0041463C">
      <w:pPr>
        <w:pStyle w:val="a"/>
        <w:numPr>
          <w:ilvl w:val="0"/>
          <w:numId w:val="0"/>
        </w:numPr>
        <w:spacing w:before="0"/>
        <w:ind w:left="368" w:right="0"/>
        <w:rPr>
          <w:szCs w:val="24"/>
          <w:rtl/>
        </w:rPr>
      </w:pPr>
      <w:r>
        <w:rPr>
          <w:rFonts w:hint="cs"/>
          <w:szCs w:val="24"/>
          <w:rtl/>
        </w:rPr>
        <w:t xml:space="preserve">התקנות העיקריות תוקנו לאחרונה בשנת 2017 (תקנות לפיקוח על ייצוא (תיקון), </w:t>
      </w:r>
      <w:proofErr w:type="spellStart"/>
      <w:r>
        <w:rPr>
          <w:rFonts w:hint="cs"/>
          <w:szCs w:val="24"/>
          <w:rtl/>
        </w:rPr>
        <w:t>התשע"ח</w:t>
      </w:r>
      <w:proofErr w:type="spellEnd"/>
      <w:r>
        <w:rPr>
          <w:rFonts w:hint="cs"/>
          <w:szCs w:val="24"/>
          <w:rtl/>
        </w:rPr>
        <w:t xml:space="preserve"> </w:t>
      </w:r>
      <w:r>
        <w:rPr>
          <w:szCs w:val="24"/>
          <w:rtl/>
        </w:rPr>
        <w:t>–</w:t>
      </w:r>
      <w:r>
        <w:rPr>
          <w:rFonts w:hint="cs"/>
          <w:szCs w:val="24"/>
          <w:rtl/>
        </w:rPr>
        <w:t xml:space="preserve"> 2017, </w:t>
      </w:r>
      <w:proofErr w:type="spellStart"/>
      <w:r>
        <w:rPr>
          <w:rFonts w:hint="cs"/>
          <w:szCs w:val="24"/>
          <w:rtl/>
        </w:rPr>
        <w:t>ק"ת</w:t>
      </w:r>
      <w:proofErr w:type="spellEnd"/>
      <w:r>
        <w:rPr>
          <w:rFonts w:hint="cs"/>
          <w:szCs w:val="24"/>
          <w:rtl/>
        </w:rPr>
        <w:t xml:space="preserve"> תשע"ח, עמ' 247, להלן </w:t>
      </w:r>
      <w:r>
        <w:rPr>
          <w:szCs w:val="24"/>
          <w:rtl/>
        </w:rPr>
        <w:t>–</w:t>
      </w:r>
      <w:r>
        <w:rPr>
          <w:rFonts w:hint="cs"/>
          <w:szCs w:val="24"/>
          <w:rtl/>
        </w:rPr>
        <w:t xml:space="preserve"> התיקון הראשון). התיקון הראשון בוצע </w:t>
      </w:r>
      <w:r w:rsidR="00B8071E">
        <w:rPr>
          <w:rFonts w:hint="cs"/>
          <w:szCs w:val="24"/>
          <w:rtl/>
        </w:rPr>
        <w:t xml:space="preserve">לשם הפחתת תקני האיכות </w:t>
      </w:r>
      <w:r>
        <w:rPr>
          <w:rFonts w:hint="cs"/>
          <w:szCs w:val="24"/>
          <w:rtl/>
        </w:rPr>
        <w:t xml:space="preserve">שנקבעו בתקנות, </w:t>
      </w:r>
      <w:r w:rsidR="00B8071E">
        <w:rPr>
          <w:rFonts w:hint="cs"/>
          <w:szCs w:val="24"/>
          <w:rtl/>
        </w:rPr>
        <w:t>כך ש</w:t>
      </w:r>
      <w:r>
        <w:rPr>
          <w:rFonts w:hint="cs"/>
          <w:szCs w:val="24"/>
          <w:rtl/>
        </w:rPr>
        <w:t xml:space="preserve">לשם יצוא תוצרת צמחית לחו"ל </w:t>
      </w:r>
      <w:r w:rsidR="00B8071E">
        <w:rPr>
          <w:rFonts w:hint="cs"/>
          <w:szCs w:val="24"/>
          <w:rtl/>
        </w:rPr>
        <w:t xml:space="preserve">תידרש ביקורת בסיסית </w:t>
      </w:r>
      <w:r>
        <w:rPr>
          <w:rFonts w:hint="cs"/>
          <w:szCs w:val="24"/>
          <w:rtl/>
        </w:rPr>
        <w:t xml:space="preserve">בלבד על </w:t>
      </w:r>
      <w:r w:rsidR="00B8071E">
        <w:rPr>
          <w:rFonts w:hint="cs"/>
          <w:szCs w:val="24"/>
          <w:rtl/>
        </w:rPr>
        <w:t>איכות</w:t>
      </w:r>
      <w:r>
        <w:rPr>
          <w:rFonts w:hint="cs"/>
          <w:szCs w:val="24"/>
          <w:rtl/>
        </w:rPr>
        <w:t>ה</w:t>
      </w:r>
      <w:r w:rsidR="00B8071E">
        <w:rPr>
          <w:rFonts w:hint="cs"/>
          <w:szCs w:val="24"/>
          <w:rtl/>
        </w:rPr>
        <w:t xml:space="preserve">, וכן בדיקות איכות נוספות </w:t>
      </w:r>
      <w:r>
        <w:rPr>
          <w:rFonts w:hint="cs"/>
          <w:szCs w:val="24"/>
          <w:rtl/>
        </w:rPr>
        <w:t xml:space="preserve">ככל שאלה נדרשות על ידי </w:t>
      </w:r>
      <w:r w:rsidR="00B8071E">
        <w:rPr>
          <w:rFonts w:hint="cs"/>
          <w:szCs w:val="24"/>
          <w:rtl/>
        </w:rPr>
        <w:t xml:space="preserve">מדינות היעד. </w:t>
      </w:r>
      <w:r>
        <w:rPr>
          <w:rFonts w:hint="cs"/>
          <w:szCs w:val="24"/>
          <w:rtl/>
        </w:rPr>
        <w:t>נמצא ש</w:t>
      </w:r>
      <w:r w:rsidR="00B8071E">
        <w:rPr>
          <w:rFonts w:hint="cs"/>
          <w:szCs w:val="24"/>
          <w:rtl/>
        </w:rPr>
        <w:t xml:space="preserve">גם לאחר התיקון הראשון, נותרו בנוסח התקנות דרישות איכות לייצוא תוצרת צמחית שאינן נחוצות כיום, ועל כן נדרש תיקון זה. </w:t>
      </w:r>
    </w:p>
    <w:p w:rsidR="00F04429" w:rsidRPr="006C1365" w:rsidRDefault="00F04429" w:rsidP="006C1365">
      <w:pPr>
        <w:ind w:right="1134"/>
        <w:contextualSpacing w:val="0"/>
        <w:rPr>
          <w:rFonts w:ascii="Times New Roman" w:hAnsi="Times New Roman" w:cs="Times New Roman"/>
          <w:szCs w:val="26"/>
        </w:rPr>
      </w:pPr>
    </w:p>
    <w:p w:rsidR="00C30F17" w:rsidRDefault="00C30F17" w:rsidP="006C1365">
      <w:pPr>
        <w:pStyle w:val="Heading4"/>
        <w:numPr>
          <w:ilvl w:val="0"/>
          <w:numId w:val="0"/>
        </w:numPr>
      </w:pPr>
      <w:r>
        <w:rPr>
          <w:rFonts w:hint="cs"/>
          <w:rtl/>
        </w:rPr>
        <w:t xml:space="preserve">להלן נוסח טיוטת התקנות המוצעות: </w:t>
      </w:r>
    </w:p>
    <w:p w:rsidR="00C30F17" w:rsidRDefault="00C30F17" w:rsidP="00722C14">
      <w:pPr>
        <w:bidi w:val="0"/>
        <w:rPr>
          <w:rtl/>
        </w:rPr>
      </w:pPr>
      <w:r>
        <w:rPr>
          <w:rtl/>
        </w:rPr>
        <w:br w:type="page"/>
      </w:r>
    </w:p>
    <w:p w:rsidR="00C30F17" w:rsidRDefault="00D34FDB" w:rsidP="00D34FDB">
      <w:pPr>
        <w:pStyle w:val="HeadMitparsemetBaze"/>
        <w:keepNext w:val="0"/>
        <w:keepLines w:val="0"/>
        <w:pageBreakBefore w:val="0"/>
        <w:rPr>
          <w:rtl/>
        </w:rPr>
      </w:pPr>
      <w:r>
        <w:rPr>
          <w:rtl/>
        </w:rPr>
        <w:lastRenderedPageBreak/>
        <w:t xml:space="preserve">טיוטת תקנות מטעם </w:t>
      </w:r>
      <w:r>
        <w:rPr>
          <w:rFonts w:hint="cs"/>
          <w:rtl/>
        </w:rPr>
        <w:t>משרד החקלאות ופיתוח הכפר:</w:t>
      </w:r>
      <w:r w:rsidR="00C30F17">
        <w:rPr>
          <w:rtl/>
        </w:rPr>
        <w:t xml:space="preserve"> </w:t>
      </w:r>
    </w:p>
    <w:p w:rsidR="00C30F17" w:rsidRDefault="00C30F17" w:rsidP="00416CF1">
      <w:pPr>
        <w:pStyle w:val="HeadHatzaotHok"/>
        <w:keepNext w:val="0"/>
        <w:keepLines w:val="0"/>
        <w:rPr>
          <w:rtl/>
        </w:rPr>
      </w:pPr>
      <w:r>
        <w:rPr>
          <w:rtl/>
        </w:rPr>
        <w:t xml:space="preserve">טיוטת תקנות </w:t>
      </w:r>
      <w:r w:rsidR="005C57EC">
        <w:rPr>
          <w:rFonts w:hint="cs"/>
          <w:rtl/>
        </w:rPr>
        <w:t xml:space="preserve">לפיקוח על ייצוא </w:t>
      </w:r>
      <w:r w:rsidR="005C57EC" w:rsidRPr="00B03D3B">
        <w:rPr>
          <w:rFonts w:hint="cs"/>
          <w:rtl/>
        </w:rPr>
        <w:t xml:space="preserve">הצמח ומוצריו </w:t>
      </w:r>
      <w:r w:rsidR="005C57EC" w:rsidRPr="00B03D3B">
        <w:rPr>
          <w:rtl/>
        </w:rPr>
        <w:t>(</w:t>
      </w:r>
      <w:r w:rsidR="00416CF1">
        <w:rPr>
          <w:rFonts w:hint="cs"/>
          <w:rtl/>
        </w:rPr>
        <w:t>תיקון</w:t>
      </w:r>
      <w:r w:rsidRPr="00B03D3B">
        <w:rPr>
          <w:rtl/>
        </w:rPr>
        <w:t>)</w:t>
      </w:r>
      <w:r w:rsidR="00416CF1">
        <w:rPr>
          <w:rFonts w:hint="cs"/>
          <w:rtl/>
        </w:rPr>
        <w:t>, התשע"ט-2019</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7146"/>
      </w:tblGrid>
      <w:tr w:rsidR="00E14F5F" w:rsidTr="00F1250D">
        <w:trPr>
          <w:cantSplit/>
          <w:trHeight w:val="60"/>
        </w:trPr>
        <w:tc>
          <w:tcPr>
            <w:tcW w:w="9641" w:type="dxa"/>
            <w:gridSpan w:val="3"/>
          </w:tcPr>
          <w:p w:rsidR="00E14F5F" w:rsidRDefault="00E14F5F" w:rsidP="00416CF1">
            <w:pPr>
              <w:pStyle w:val="TableBlock"/>
            </w:pPr>
            <w:r>
              <w:rPr>
                <w:rtl/>
              </w:rPr>
              <w:t>בתוקף סמכותי לפי סעיף</w:t>
            </w:r>
            <w:r>
              <w:rPr>
                <w:rFonts w:hint="cs"/>
                <w:rtl/>
              </w:rPr>
              <w:t xml:space="preserve"> 6</w:t>
            </w:r>
            <w:r>
              <w:rPr>
                <w:rtl/>
              </w:rPr>
              <w:t xml:space="preserve"> לחוק </w:t>
            </w:r>
            <w:r>
              <w:rPr>
                <w:rFonts w:hint="cs"/>
                <w:rtl/>
              </w:rPr>
              <w:t>פיקוח על ייצוא הצמח ומוצריו, התשי"ד-1954</w:t>
            </w:r>
            <w:r>
              <w:rPr>
                <w:rStyle w:val="FootnoteReference"/>
                <w:rtl/>
              </w:rPr>
              <w:footnoteReference w:id="1"/>
            </w:r>
            <w:r>
              <w:rPr>
                <w:rFonts w:hint="cs"/>
                <w:rtl/>
              </w:rPr>
              <w:t xml:space="preserve"> (להלן - החוק)</w:t>
            </w:r>
            <w:r>
              <w:rPr>
                <w:rtl/>
              </w:rPr>
              <w:t xml:space="preserve">, </w:t>
            </w:r>
            <w:r w:rsidRPr="00C8291C">
              <w:rPr>
                <w:rFonts w:hint="cs"/>
                <w:sz w:val="26"/>
                <w:rtl/>
              </w:rPr>
              <w:t>לאחר התייעצות בוועדה המייעצת שנתמנתה לפי סעיף 4 לחוק</w:t>
            </w:r>
            <w:r>
              <w:rPr>
                <w:rFonts w:hint="cs"/>
                <w:rtl/>
              </w:rPr>
              <w:t>,</w:t>
            </w:r>
            <w:r>
              <w:rPr>
                <w:rtl/>
              </w:rPr>
              <w:t xml:space="preserve"> אני מתקין תקנות אלה:</w:t>
            </w:r>
          </w:p>
        </w:tc>
      </w:tr>
      <w:tr w:rsidR="00C30F17" w:rsidRPr="001A3321" w:rsidTr="00F1250D">
        <w:trPr>
          <w:cantSplit/>
          <w:trHeight w:val="60"/>
        </w:trPr>
        <w:tc>
          <w:tcPr>
            <w:tcW w:w="1871" w:type="dxa"/>
          </w:tcPr>
          <w:p w:rsidR="00C30F17" w:rsidRDefault="00970FCD">
            <w:pPr>
              <w:pStyle w:val="TableSideHeading"/>
            </w:pPr>
            <w:r>
              <w:rPr>
                <w:rFonts w:hint="cs"/>
                <w:rtl/>
              </w:rPr>
              <w:t>מחיקת</w:t>
            </w:r>
            <w:r w:rsidR="00C30F17">
              <w:rPr>
                <w:rFonts w:hint="cs"/>
                <w:rtl/>
              </w:rPr>
              <w:t xml:space="preserve"> תקנה 9</w:t>
            </w:r>
          </w:p>
        </w:tc>
        <w:tc>
          <w:tcPr>
            <w:tcW w:w="624" w:type="dxa"/>
          </w:tcPr>
          <w:p w:rsidR="00C30F17" w:rsidRDefault="00C30F17" w:rsidP="00C30F17">
            <w:pPr>
              <w:pStyle w:val="TableText"/>
              <w:numPr>
                <w:ilvl w:val="0"/>
                <w:numId w:val="2"/>
              </w:numPr>
            </w:pPr>
          </w:p>
        </w:tc>
        <w:tc>
          <w:tcPr>
            <w:tcW w:w="7146" w:type="dxa"/>
          </w:tcPr>
          <w:p w:rsidR="00C30F17" w:rsidRDefault="001B640C" w:rsidP="001B640C">
            <w:pPr>
              <w:pStyle w:val="TableBlock"/>
            </w:pPr>
            <w:r>
              <w:rPr>
                <w:rFonts w:hint="cs"/>
                <w:rtl/>
              </w:rPr>
              <w:t>תקנה 9 ל</w:t>
            </w:r>
            <w:r w:rsidR="00C30F17">
              <w:rPr>
                <w:rFonts w:hint="cs"/>
                <w:rtl/>
              </w:rPr>
              <w:t>תקנות לפיקוח על ייצוא הצמח ומוצריו, התשל"ט-1979</w:t>
            </w:r>
            <w:r w:rsidR="00C30F17">
              <w:rPr>
                <w:rStyle w:val="FootnoteReference"/>
                <w:rtl/>
              </w:rPr>
              <w:footnoteReference w:id="2"/>
            </w:r>
            <w:r w:rsidR="001A3321">
              <w:rPr>
                <w:rFonts w:hint="cs"/>
                <w:rtl/>
              </w:rPr>
              <w:t xml:space="preserve"> (להלן</w:t>
            </w:r>
            <w:r w:rsidR="00416CF1">
              <w:rPr>
                <w:rFonts w:hint="cs"/>
                <w:rtl/>
              </w:rPr>
              <w:t xml:space="preserve"> - </w:t>
            </w:r>
            <w:r>
              <w:rPr>
                <w:rFonts w:hint="cs"/>
                <w:rtl/>
              </w:rPr>
              <w:t xml:space="preserve">התקנות העיקריות)  - </w:t>
            </w:r>
            <w:r w:rsidR="00970FCD">
              <w:rPr>
                <w:rFonts w:hint="cs"/>
                <w:rtl/>
              </w:rPr>
              <w:t>תימחק</w:t>
            </w:r>
            <w:r w:rsidR="001A3321">
              <w:rPr>
                <w:rFonts w:hint="cs"/>
                <w:rtl/>
              </w:rPr>
              <w:t>.</w:t>
            </w:r>
          </w:p>
        </w:tc>
      </w:tr>
      <w:tr w:rsidR="00C30F17" w:rsidTr="00F1250D">
        <w:trPr>
          <w:cantSplit/>
          <w:trHeight w:val="60"/>
        </w:trPr>
        <w:tc>
          <w:tcPr>
            <w:tcW w:w="1871" w:type="dxa"/>
          </w:tcPr>
          <w:p w:rsidR="00C30F17" w:rsidRDefault="003C1898" w:rsidP="00DE5475">
            <w:pPr>
              <w:pStyle w:val="TableSideHeading"/>
              <w:rPr>
                <w:rtl/>
              </w:rPr>
            </w:pPr>
            <w:r>
              <w:rPr>
                <w:rFonts w:hint="cs"/>
                <w:rtl/>
              </w:rPr>
              <w:t>תיקון תקנה  10</w:t>
            </w:r>
          </w:p>
        </w:tc>
        <w:tc>
          <w:tcPr>
            <w:tcW w:w="624" w:type="dxa"/>
          </w:tcPr>
          <w:p w:rsidR="00C30F17" w:rsidRDefault="00C30F17" w:rsidP="00C30F17">
            <w:pPr>
              <w:pStyle w:val="TableText"/>
              <w:numPr>
                <w:ilvl w:val="0"/>
                <w:numId w:val="2"/>
              </w:numPr>
            </w:pPr>
          </w:p>
        </w:tc>
        <w:tc>
          <w:tcPr>
            <w:tcW w:w="7146" w:type="dxa"/>
          </w:tcPr>
          <w:p w:rsidR="00C30F17" w:rsidRDefault="00E14F5F" w:rsidP="00E14F5F">
            <w:pPr>
              <w:pStyle w:val="TableBlock"/>
              <w:rPr>
                <w:rtl/>
              </w:rPr>
            </w:pPr>
            <w:r>
              <w:rPr>
                <w:rFonts w:hint="cs"/>
                <w:rtl/>
              </w:rPr>
              <w:t>ב</w:t>
            </w:r>
            <w:r w:rsidR="003C1898">
              <w:rPr>
                <w:rFonts w:hint="cs"/>
                <w:rtl/>
              </w:rPr>
              <w:t>תקנה 10</w:t>
            </w:r>
            <w:r>
              <w:rPr>
                <w:rFonts w:hint="cs"/>
                <w:rtl/>
              </w:rPr>
              <w:t xml:space="preserve">(ב) </w:t>
            </w:r>
            <w:r w:rsidR="00970FCD">
              <w:rPr>
                <w:rFonts w:hint="cs"/>
                <w:rtl/>
              </w:rPr>
              <w:t>לתקנות העיקריות</w:t>
            </w:r>
            <w:r>
              <w:rPr>
                <w:rFonts w:hint="cs"/>
                <w:rtl/>
              </w:rPr>
              <w:t>, פסקאות (3) עד (6) - יימחקו.</w:t>
            </w:r>
            <w:r w:rsidR="00970FCD">
              <w:rPr>
                <w:rFonts w:hint="cs"/>
                <w:rtl/>
              </w:rPr>
              <w:t xml:space="preserve"> </w:t>
            </w:r>
          </w:p>
        </w:tc>
      </w:tr>
      <w:tr w:rsidR="00F11073" w:rsidTr="00F1250D">
        <w:trPr>
          <w:cantSplit/>
          <w:trHeight w:val="60"/>
        </w:trPr>
        <w:tc>
          <w:tcPr>
            <w:tcW w:w="1871" w:type="dxa"/>
          </w:tcPr>
          <w:p w:rsidR="00F11073" w:rsidRDefault="00F11073" w:rsidP="00DE5475">
            <w:pPr>
              <w:pStyle w:val="TableSideHeading"/>
            </w:pPr>
            <w:r>
              <w:rPr>
                <w:rFonts w:hint="cs"/>
                <w:rtl/>
              </w:rPr>
              <w:t>תיקון תקנה 12</w:t>
            </w:r>
          </w:p>
        </w:tc>
        <w:tc>
          <w:tcPr>
            <w:tcW w:w="624" w:type="dxa"/>
          </w:tcPr>
          <w:p w:rsidR="00F11073" w:rsidRDefault="00F11073">
            <w:pPr>
              <w:pStyle w:val="TableText"/>
            </w:pPr>
            <w:r>
              <w:rPr>
                <w:rFonts w:hint="cs"/>
                <w:rtl/>
              </w:rPr>
              <w:t>3.</w:t>
            </w:r>
          </w:p>
        </w:tc>
        <w:tc>
          <w:tcPr>
            <w:tcW w:w="7146" w:type="dxa"/>
          </w:tcPr>
          <w:p w:rsidR="00F11073" w:rsidRPr="00C34DE2" w:rsidRDefault="00F11073" w:rsidP="00416CF1">
            <w:pPr>
              <w:pStyle w:val="TableBlock"/>
            </w:pPr>
            <w:r>
              <w:rPr>
                <w:rFonts w:hint="cs"/>
                <w:rtl/>
              </w:rPr>
              <w:t xml:space="preserve">בתקנה  12(1) לתקנות העיקריות, המילים "שבה צוין סוג התוצרת" </w:t>
            </w:r>
            <w:r>
              <w:rPr>
                <w:rtl/>
              </w:rPr>
              <w:t>–</w:t>
            </w:r>
            <w:r>
              <w:rPr>
                <w:rFonts w:hint="cs"/>
                <w:rtl/>
              </w:rPr>
              <w:t xml:space="preserve"> יימחקו.</w:t>
            </w:r>
          </w:p>
        </w:tc>
      </w:tr>
      <w:tr w:rsidR="00F11073" w:rsidTr="00F1250D">
        <w:trPr>
          <w:cantSplit/>
          <w:trHeight w:val="60"/>
        </w:trPr>
        <w:tc>
          <w:tcPr>
            <w:tcW w:w="1871" w:type="dxa"/>
          </w:tcPr>
          <w:p w:rsidR="00F11073" w:rsidRDefault="00422E42" w:rsidP="00DE5475">
            <w:pPr>
              <w:pStyle w:val="TableSideHeading"/>
            </w:pPr>
            <w:r>
              <w:rPr>
                <w:rFonts w:hint="cs"/>
                <w:rtl/>
              </w:rPr>
              <w:t>תיקון תקנה  14</w:t>
            </w:r>
          </w:p>
        </w:tc>
        <w:tc>
          <w:tcPr>
            <w:tcW w:w="624" w:type="dxa"/>
          </w:tcPr>
          <w:p w:rsidR="00F11073" w:rsidRDefault="00422E42">
            <w:pPr>
              <w:pStyle w:val="TableText"/>
              <w:rPr>
                <w:rtl/>
              </w:rPr>
            </w:pPr>
            <w:r>
              <w:rPr>
                <w:rFonts w:hint="cs"/>
                <w:rtl/>
              </w:rPr>
              <w:t>4.</w:t>
            </w:r>
          </w:p>
        </w:tc>
        <w:tc>
          <w:tcPr>
            <w:tcW w:w="7146" w:type="dxa"/>
          </w:tcPr>
          <w:p w:rsidR="00F11073" w:rsidRPr="00C34DE2" w:rsidRDefault="00422E42" w:rsidP="00416CF1">
            <w:pPr>
              <w:pStyle w:val="TableBlock"/>
            </w:pPr>
            <w:r>
              <w:rPr>
                <w:rFonts w:hint="cs"/>
                <w:rtl/>
              </w:rPr>
              <w:t xml:space="preserve">בתקנה  14(א) לתקנות העיקריות, המילים "לפי סוגים" </w:t>
            </w:r>
            <w:r>
              <w:rPr>
                <w:rtl/>
              </w:rPr>
              <w:t>–</w:t>
            </w:r>
            <w:r>
              <w:rPr>
                <w:rFonts w:hint="cs"/>
                <w:rtl/>
              </w:rPr>
              <w:t xml:space="preserve"> יימחקו. </w:t>
            </w:r>
          </w:p>
        </w:tc>
      </w:tr>
      <w:tr w:rsidR="008E6635" w:rsidRPr="008E6635" w:rsidTr="00F1250D">
        <w:trPr>
          <w:cantSplit/>
          <w:trHeight w:val="60"/>
        </w:trPr>
        <w:tc>
          <w:tcPr>
            <w:tcW w:w="1871" w:type="dxa"/>
          </w:tcPr>
          <w:p w:rsidR="008E6635" w:rsidRDefault="008E6635" w:rsidP="00DE5475">
            <w:pPr>
              <w:pStyle w:val="TableSideHeading"/>
              <w:rPr>
                <w:rtl/>
              </w:rPr>
            </w:pPr>
            <w:r>
              <w:rPr>
                <w:rFonts w:hint="cs"/>
                <w:rtl/>
              </w:rPr>
              <w:t>תיקון תקנה  15</w:t>
            </w:r>
          </w:p>
        </w:tc>
        <w:tc>
          <w:tcPr>
            <w:tcW w:w="624" w:type="dxa"/>
          </w:tcPr>
          <w:p w:rsidR="008E6635" w:rsidRDefault="008E6635">
            <w:pPr>
              <w:pStyle w:val="TableText"/>
              <w:rPr>
                <w:rtl/>
              </w:rPr>
            </w:pPr>
            <w:r>
              <w:rPr>
                <w:rFonts w:hint="cs"/>
                <w:rtl/>
              </w:rPr>
              <w:t>5.</w:t>
            </w:r>
          </w:p>
        </w:tc>
        <w:tc>
          <w:tcPr>
            <w:tcW w:w="7146" w:type="dxa"/>
          </w:tcPr>
          <w:p w:rsidR="008E6635" w:rsidRDefault="008E6635" w:rsidP="00416CF1">
            <w:pPr>
              <w:pStyle w:val="TableBlock"/>
              <w:rPr>
                <w:rtl/>
              </w:rPr>
            </w:pPr>
            <w:r>
              <w:rPr>
                <w:rFonts w:hint="cs"/>
                <w:rtl/>
              </w:rPr>
              <w:t>בתקנה 15(ב)(2) לתקנות העיקריות, המילים "מספר היחידות"</w:t>
            </w:r>
            <w:r w:rsidR="00FB446D">
              <w:rPr>
                <w:rFonts w:hint="cs"/>
                <w:rtl/>
              </w:rPr>
              <w:t xml:space="preserve">, "הסוג" ו"הגודל" </w:t>
            </w:r>
            <w:r w:rsidR="00FB446D">
              <w:rPr>
                <w:rtl/>
              </w:rPr>
              <w:t>–</w:t>
            </w:r>
            <w:r w:rsidR="00FB446D">
              <w:rPr>
                <w:rFonts w:hint="cs"/>
                <w:rtl/>
              </w:rPr>
              <w:t xml:space="preserve"> יימחקו.</w:t>
            </w:r>
          </w:p>
        </w:tc>
      </w:tr>
      <w:tr w:rsidR="00914843" w:rsidRPr="008E6635" w:rsidTr="00F1250D">
        <w:trPr>
          <w:cantSplit/>
          <w:trHeight w:val="60"/>
        </w:trPr>
        <w:tc>
          <w:tcPr>
            <w:tcW w:w="1871" w:type="dxa"/>
          </w:tcPr>
          <w:p w:rsidR="00914843" w:rsidRDefault="00914843">
            <w:pPr>
              <w:pStyle w:val="TableSideHeading"/>
              <w:rPr>
                <w:rtl/>
              </w:rPr>
            </w:pPr>
            <w:r>
              <w:rPr>
                <w:rFonts w:hint="cs"/>
                <w:rtl/>
              </w:rPr>
              <w:t xml:space="preserve">תיקון </w:t>
            </w:r>
            <w:r w:rsidR="00DE5475">
              <w:rPr>
                <w:rFonts w:hint="cs"/>
                <w:rtl/>
              </w:rPr>
              <w:t>ה</w:t>
            </w:r>
            <w:r>
              <w:rPr>
                <w:rFonts w:hint="cs"/>
                <w:rtl/>
              </w:rPr>
              <w:t>תוספת</w:t>
            </w:r>
          </w:p>
        </w:tc>
        <w:tc>
          <w:tcPr>
            <w:tcW w:w="624" w:type="dxa"/>
          </w:tcPr>
          <w:p w:rsidR="00914843" w:rsidRDefault="00DE5475" w:rsidP="00914843">
            <w:pPr>
              <w:pStyle w:val="TableText"/>
              <w:rPr>
                <w:rtl/>
              </w:rPr>
            </w:pPr>
            <w:r>
              <w:rPr>
                <w:rFonts w:hint="cs"/>
                <w:rtl/>
              </w:rPr>
              <w:t xml:space="preserve">6. </w:t>
            </w:r>
          </w:p>
        </w:tc>
        <w:tc>
          <w:tcPr>
            <w:tcW w:w="7146" w:type="dxa"/>
          </w:tcPr>
          <w:p w:rsidR="00B8071E" w:rsidRPr="00B8071E" w:rsidRDefault="00DE5475" w:rsidP="00477BB7">
            <w:pPr>
              <w:pStyle w:val="P11"/>
              <w:spacing w:before="72" w:line="360" w:lineRule="auto"/>
              <w:ind w:left="0" w:right="0"/>
              <w:rPr>
                <w:rFonts w:ascii="Arial" w:eastAsia="Arial Unicode MS" w:hAnsi="Arial" w:cs="David"/>
                <w:noProof w:val="0"/>
                <w:snapToGrid w:val="0"/>
                <w:rtl/>
                <w:lang w:eastAsia="en-US"/>
              </w:rPr>
            </w:pPr>
            <w:r w:rsidRPr="00B8071E">
              <w:rPr>
                <w:rFonts w:ascii="Arial" w:eastAsia="Arial Unicode MS" w:hAnsi="Arial" w:cs="David" w:hint="cs"/>
                <w:noProof w:val="0"/>
                <w:snapToGrid w:val="0"/>
                <w:rtl/>
                <w:lang w:eastAsia="en-US"/>
              </w:rPr>
              <w:t>בסעיף 1 לתוספת</w:t>
            </w:r>
            <w:r w:rsidR="00B8071E" w:rsidRPr="00B8071E">
              <w:rPr>
                <w:rFonts w:ascii="Arial" w:eastAsia="Arial Unicode MS" w:hAnsi="Arial" w:cs="David" w:hint="cs"/>
                <w:noProof w:val="0"/>
                <w:snapToGrid w:val="0"/>
                <w:rtl/>
                <w:lang w:eastAsia="en-US"/>
              </w:rPr>
              <w:t xml:space="preserve">, </w:t>
            </w:r>
            <w:r w:rsidRPr="00B8071E">
              <w:rPr>
                <w:rFonts w:ascii="Arial" w:eastAsia="Arial Unicode MS" w:hAnsi="Arial" w:cs="David" w:hint="cs"/>
                <w:noProof w:val="0"/>
                <w:snapToGrid w:val="0"/>
                <w:rtl/>
                <w:lang w:eastAsia="en-US"/>
              </w:rPr>
              <w:t xml:space="preserve"> </w:t>
            </w:r>
            <w:r w:rsidR="00B8071E" w:rsidRPr="00B8071E">
              <w:rPr>
                <w:rFonts w:ascii="Arial" w:eastAsia="Arial Unicode MS" w:hAnsi="Arial" w:cs="David" w:hint="cs"/>
                <w:noProof w:val="0"/>
                <w:snapToGrid w:val="0"/>
                <w:rtl/>
                <w:lang w:eastAsia="en-US"/>
              </w:rPr>
              <w:t xml:space="preserve">במקום </w:t>
            </w:r>
            <w:proofErr w:type="spellStart"/>
            <w:r w:rsidR="00B8071E" w:rsidRPr="00B8071E">
              <w:rPr>
                <w:rFonts w:ascii="Arial" w:eastAsia="Arial Unicode MS" w:hAnsi="Arial" w:cs="David" w:hint="cs"/>
                <w:noProof w:val="0"/>
                <w:snapToGrid w:val="0"/>
                <w:rtl/>
                <w:lang w:eastAsia="en-US"/>
              </w:rPr>
              <w:t>הסיפה</w:t>
            </w:r>
            <w:proofErr w:type="spellEnd"/>
            <w:r w:rsidR="00B8071E" w:rsidRPr="00B8071E">
              <w:rPr>
                <w:rFonts w:ascii="Arial" w:eastAsia="Arial Unicode MS" w:hAnsi="Arial" w:cs="David" w:hint="cs"/>
                <w:noProof w:val="0"/>
                <w:snapToGrid w:val="0"/>
                <w:rtl/>
                <w:lang w:eastAsia="en-US"/>
              </w:rPr>
              <w:t xml:space="preserve"> המתחילה במילים "חופשית מסימנים נראים של חומר </w:t>
            </w:r>
            <w:r w:rsidR="009622EC">
              <w:rPr>
                <w:rFonts w:ascii="Arial" w:eastAsia="Arial Unicode MS" w:hAnsi="Arial" w:cs="David" w:hint="cs"/>
                <w:noProof w:val="0"/>
                <w:snapToGrid w:val="0"/>
                <w:rtl/>
                <w:lang w:eastAsia="en-US"/>
              </w:rPr>
              <w:t>זר" יבוא</w:t>
            </w:r>
            <w:r w:rsidR="00B8071E" w:rsidRPr="00B8071E">
              <w:rPr>
                <w:rFonts w:ascii="Arial" w:eastAsia="Arial Unicode MS" w:hAnsi="Arial" w:cs="David" w:hint="cs"/>
                <w:noProof w:val="0"/>
                <w:snapToGrid w:val="0"/>
                <w:rtl/>
                <w:lang w:eastAsia="en-US"/>
              </w:rPr>
              <w:t xml:space="preserve"> "וחופשית מסימנים נראים של חומר זר ומריח זר".</w:t>
            </w:r>
          </w:p>
          <w:p w:rsidR="00914843" w:rsidRDefault="00914843">
            <w:pPr>
              <w:pStyle w:val="TableBlock"/>
              <w:rPr>
                <w:rtl/>
              </w:rPr>
            </w:pPr>
          </w:p>
        </w:tc>
      </w:tr>
    </w:tbl>
    <w:p w:rsidR="00C30F17" w:rsidRDefault="00C30F17" w:rsidP="00722C14"/>
    <w:p w:rsidR="00C30F17" w:rsidRDefault="00C30F17" w:rsidP="00722C14">
      <w:pPr>
        <w:rPr>
          <w:rtl/>
        </w:rPr>
      </w:pPr>
    </w:p>
    <w:p w:rsidR="00C30F17" w:rsidRDefault="00C30F17" w:rsidP="00722C14">
      <w:pPr>
        <w:rPr>
          <w:rFonts w:eastAsia="Calibri"/>
          <w:rtl/>
        </w:rPr>
      </w:pPr>
      <w:r>
        <w:rPr>
          <w:rFonts w:eastAsia="Calibri" w:hint="cs"/>
          <w:rtl/>
        </w:rPr>
        <w:t>___ ב________ התש_______ (___ ב________ ____20)</w:t>
      </w:r>
    </w:p>
    <w:p w:rsidR="00C30F17" w:rsidRDefault="00C30F17" w:rsidP="00722C14">
      <w:pPr>
        <w:rPr>
          <w:rFonts w:eastAsia="Calibri"/>
          <w:rtl/>
        </w:rPr>
      </w:pPr>
      <w:r>
        <w:rPr>
          <w:rFonts w:eastAsia="Calibri" w:hint="cs"/>
          <w:rtl/>
        </w:rPr>
        <w:t>[תאריך עברי] ([תאריך לועזי])</w:t>
      </w:r>
    </w:p>
    <w:p w:rsidR="00C30F17" w:rsidRDefault="00C30F17" w:rsidP="00722C14">
      <w:pPr>
        <w:rPr>
          <w:rtl/>
        </w:rPr>
      </w:pPr>
      <w:r>
        <w:rPr>
          <w:rFonts w:hint="cs"/>
          <w:rtl/>
        </w:rPr>
        <w:t>(</w:t>
      </w:r>
      <w:proofErr w:type="spellStart"/>
      <w:r>
        <w:rPr>
          <w:rFonts w:hint="cs"/>
          <w:rtl/>
        </w:rPr>
        <w:t>חמ</w:t>
      </w:r>
      <w:proofErr w:type="spellEnd"/>
      <w:r>
        <w:rPr>
          <w:rFonts w:hint="cs"/>
          <w:rtl/>
        </w:rPr>
        <w:t xml:space="preserve"> _____-3)</w:t>
      </w:r>
    </w:p>
    <w:p w:rsidR="00C30F17" w:rsidRDefault="00C30F17" w:rsidP="00722C14">
      <w:pPr>
        <w:rPr>
          <w:rtl/>
        </w:rPr>
      </w:pPr>
    </w:p>
    <w:p w:rsidR="00C30F17" w:rsidRDefault="00C30F17" w:rsidP="0042775D">
      <w:pPr>
        <w:ind w:left="5760"/>
        <w:jc w:val="center"/>
        <w:rPr>
          <w:rtl/>
        </w:rPr>
      </w:pPr>
      <w:r>
        <w:rPr>
          <w:rFonts w:hint="cs"/>
          <w:rtl/>
        </w:rPr>
        <w:t>__________________</w:t>
      </w:r>
    </w:p>
    <w:p w:rsidR="00C30F17" w:rsidRDefault="0042775D" w:rsidP="0042775D">
      <w:pPr>
        <w:ind w:left="5760"/>
        <w:jc w:val="center"/>
        <w:rPr>
          <w:rtl/>
        </w:rPr>
      </w:pPr>
      <w:r>
        <w:rPr>
          <w:rFonts w:hint="cs"/>
          <w:rtl/>
        </w:rPr>
        <w:t>אורי יהודה אריאל הכהן</w:t>
      </w:r>
    </w:p>
    <w:p w:rsidR="00C30F17" w:rsidRDefault="0042775D" w:rsidP="0042775D">
      <w:pPr>
        <w:ind w:left="5760"/>
        <w:jc w:val="center"/>
        <w:rPr>
          <w:rtl/>
        </w:rPr>
      </w:pPr>
      <w:r>
        <w:rPr>
          <w:rFonts w:hint="cs"/>
          <w:rtl/>
        </w:rPr>
        <w:t>שר החקלאות ופיתוח הכפר</w:t>
      </w:r>
      <w:r w:rsidR="00281256">
        <w:rPr>
          <w:rtl/>
        </w:rPr>
        <w:br/>
      </w:r>
      <w:r w:rsidR="00281256">
        <w:rPr>
          <w:rtl/>
        </w:rPr>
        <w:br/>
      </w:r>
    </w:p>
    <w:p w:rsidR="00281256" w:rsidRDefault="00281256" w:rsidP="0042775D">
      <w:pPr>
        <w:ind w:left="5760"/>
        <w:jc w:val="center"/>
        <w:rPr>
          <w:rtl/>
        </w:rPr>
      </w:pPr>
      <w:r>
        <w:rPr>
          <w:rtl/>
        </w:rPr>
        <w:br/>
      </w:r>
    </w:p>
    <w:p w:rsidR="00281256" w:rsidRDefault="00281256" w:rsidP="0042775D">
      <w:pPr>
        <w:ind w:left="5760"/>
        <w:jc w:val="center"/>
        <w:rPr>
          <w:rtl/>
        </w:rPr>
      </w:pPr>
      <w:r>
        <w:rPr>
          <w:rtl/>
        </w:rPr>
        <w:br/>
      </w:r>
    </w:p>
    <w:p w:rsidR="00281256" w:rsidRDefault="00281256" w:rsidP="0042775D">
      <w:pPr>
        <w:ind w:left="5760"/>
        <w:jc w:val="center"/>
        <w:rPr>
          <w:rtl/>
        </w:rPr>
      </w:pPr>
      <w:r>
        <w:rPr>
          <w:rtl/>
        </w:rPr>
        <w:br/>
      </w:r>
      <w:r>
        <w:rPr>
          <w:rtl/>
        </w:rPr>
        <w:br/>
      </w:r>
      <w:r>
        <w:rPr>
          <w:rtl/>
        </w:rPr>
        <w:lastRenderedPageBreak/>
        <w:br/>
      </w:r>
      <w:r>
        <w:rPr>
          <w:rtl/>
        </w:rPr>
        <w:br/>
      </w:r>
    </w:p>
    <w:p w:rsidR="00C30F17" w:rsidRDefault="00C30F17" w:rsidP="00722C14">
      <w:pPr>
        <w:rPr>
          <w:rtl/>
        </w:rPr>
      </w:pPr>
    </w:p>
    <w:p w:rsidR="00C30F17" w:rsidRDefault="00C30F17" w:rsidP="00722C14">
      <w:pPr>
        <w:pStyle w:val="HeadDivreiHesber"/>
        <w:rPr>
          <w:rtl/>
        </w:rPr>
      </w:pPr>
      <w:r>
        <w:rPr>
          <w:rtl/>
        </w:rPr>
        <w:t>דברי הסבר</w:t>
      </w:r>
    </w:p>
    <w:p w:rsidR="002A3BD0" w:rsidRPr="00063524" w:rsidRDefault="002A3BD0" w:rsidP="002A3BD0">
      <w:pPr>
        <w:pStyle w:val="Hesber1st"/>
        <w:numPr>
          <w:ilvl w:val="0"/>
          <w:numId w:val="22"/>
        </w:numPr>
        <w:tabs>
          <w:tab w:val="clear" w:pos="680"/>
        </w:tabs>
        <w:autoSpaceDE w:val="0"/>
        <w:autoSpaceDN w:val="0"/>
        <w:adjustRightInd w:val="0"/>
        <w:ind w:left="368"/>
        <w:contextualSpacing w:val="0"/>
        <w:textAlignment w:val="center"/>
        <w:rPr>
          <w:b/>
          <w:bCs/>
          <w:sz w:val="24"/>
          <w:szCs w:val="24"/>
          <w:u w:val="single"/>
        </w:rPr>
      </w:pPr>
      <w:r w:rsidRPr="00063524">
        <w:rPr>
          <w:rFonts w:hint="cs"/>
          <w:b/>
          <w:bCs/>
          <w:sz w:val="24"/>
          <w:szCs w:val="24"/>
          <w:u w:val="single"/>
          <w:rtl/>
        </w:rPr>
        <w:t>כללי</w:t>
      </w:r>
    </w:p>
    <w:p w:rsidR="00B3256C" w:rsidRDefault="002A3BD0" w:rsidP="00B3256C">
      <w:pPr>
        <w:rPr>
          <w:rtl/>
        </w:rPr>
      </w:pPr>
      <w:r>
        <w:rPr>
          <w:rtl/>
        </w:rPr>
        <w:t>מטרתו של החוק המסמיך – הוא החוק לפיקוח על יצוא הצמח ומוצריו, התשי"ד</w:t>
      </w:r>
      <w:r>
        <w:rPr>
          <w:rFonts w:hint="cs"/>
          <w:rtl/>
        </w:rPr>
        <w:t>-</w:t>
      </w:r>
      <w:r>
        <w:rPr>
          <w:rtl/>
        </w:rPr>
        <w:t>1954 (להלן</w:t>
      </w:r>
      <w:r>
        <w:rPr>
          <w:rFonts w:hint="cs"/>
          <w:rtl/>
        </w:rPr>
        <w:t>: "</w:t>
      </w:r>
      <w:r w:rsidRPr="00CA05D9">
        <w:rPr>
          <w:b/>
          <w:bCs/>
          <w:rtl/>
        </w:rPr>
        <w:t>החוק</w:t>
      </w:r>
      <w:r>
        <w:rPr>
          <w:rFonts w:hint="cs"/>
          <w:rtl/>
        </w:rPr>
        <w:t>"</w:t>
      </w:r>
      <w:r>
        <w:rPr>
          <w:rtl/>
        </w:rPr>
        <w:t xml:space="preserve">), כעולה מדברי ההסבר לתיקון משנת 1968, הייתה: "להבטיח את </w:t>
      </w:r>
      <w:r w:rsidRPr="0045058E">
        <w:rPr>
          <w:rtl/>
        </w:rPr>
        <w:t>רמת התוצרת החקלאית המיועדת ליצוא ואת שמה הטוב בשוקי חוץ- לארץ". סעיף 2(א) לחוק אוסר על אדם לייצא צמחים, אלא אם הגישם תחילה לבדיקה למבקר והמבקר אישרם</w:t>
      </w:r>
      <w:r>
        <w:rPr>
          <w:rtl/>
        </w:rPr>
        <w:t xml:space="preserve"> ככשרים ליצוא וארוזים כהלכה, הכל בהתאם לתקנות שהותקנו לפי </w:t>
      </w:r>
      <w:r w:rsidR="00B3256C">
        <w:rPr>
          <w:rFonts w:hint="cs"/>
          <w:rtl/>
        </w:rPr>
        <w:t>החוק</w:t>
      </w:r>
      <w:r>
        <w:rPr>
          <w:rtl/>
        </w:rPr>
        <w:t xml:space="preserve">. </w:t>
      </w:r>
    </w:p>
    <w:p w:rsidR="00DE2EF1" w:rsidRDefault="002A3BD0" w:rsidP="00B3256C">
      <w:pPr>
        <w:rPr>
          <w:rtl/>
        </w:rPr>
      </w:pPr>
      <w:r>
        <w:rPr>
          <w:rtl/>
        </w:rPr>
        <w:t>לפי ס' 6(א) לחוק, שר החקלאות רשאי, לאחר הת</w:t>
      </w:r>
      <w:r>
        <w:rPr>
          <w:rFonts w:hint="cs"/>
          <w:rtl/>
        </w:rPr>
        <w:t>י</w:t>
      </w:r>
      <w:r>
        <w:rPr>
          <w:rtl/>
        </w:rPr>
        <w:t>יעצות ב</w:t>
      </w:r>
      <w:r>
        <w:rPr>
          <w:rFonts w:hint="cs"/>
          <w:rtl/>
        </w:rPr>
        <w:t>ו</w:t>
      </w:r>
      <w:r>
        <w:rPr>
          <w:rtl/>
        </w:rPr>
        <w:t xml:space="preserve">ועדה מייעצת </w:t>
      </w:r>
      <w:r w:rsidRPr="0045058E">
        <w:rPr>
          <w:rtl/>
        </w:rPr>
        <w:t>שנתמנתה לפי סעיף 4</w:t>
      </w:r>
      <w:r w:rsidR="0045058E" w:rsidRPr="0045058E">
        <w:rPr>
          <w:rFonts w:hint="cs"/>
          <w:rtl/>
        </w:rPr>
        <w:t xml:space="preserve"> לחוק</w:t>
      </w:r>
      <w:r>
        <w:rPr>
          <w:rtl/>
        </w:rPr>
        <w:t xml:space="preserve">, להתקין תקנות לפיקוח על צמחים המיועדים ליצוא, לרבות תקנות הקובעות טיבם וסגולותיהם של צמחים הכשרים ליצוא. בהתאם להוראה זו, הותקנו התקנות לפיקוח על ייצוא הצמח ומוצריו, </w:t>
      </w:r>
      <w:proofErr w:type="spellStart"/>
      <w:r>
        <w:rPr>
          <w:rtl/>
        </w:rPr>
        <w:t>התשל"ט</w:t>
      </w:r>
      <w:proofErr w:type="spellEnd"/>
      <w:r>
        <w:rPr>
          <w:rtl/>
        </w:rPr>
        <w:t>- 1979</w:t>
      </w:r>
      <w:r w:rsidR="00DE2EF1">
        <w:rPr>
          <w:rFonts w:hint="cs"/>
          <w:rtl/>
        </w:rPr>
        <w:t xml:space="preserve"> (להלן: "</w:t>
      </w:r>
      <w:r w:rsidR="00DE2EF1" w:rsidRPr="00DE2EF1">
        <w:rPr>
          <w:rFonts w:hint="cs"/>
          <w:b/>
          <w:bCs/>
          <w:rtl/>
        </w:rPr>
        <w:t>התקנות העיקריות</w:t>
      </w:r>
      <w:r w:rsidR="003B0C8E">
        <w:rPr>
          <w:rFonts w:hint="cs"/>
          <w:rtl/>
        </w:rPr>
        <w:t xml:space="preserve"> או "</w:t>
      </w:r>
      <w:r w:rsidR="003B0C8E" w:rsidRPr="003B0C8E">
        <w:rPr>
          <w:rFonts w:hint="cs"/>
          <w:b/>
          <w:bCs/>
          <w:rtl/>
        </w:rPr>
        <w:t>התקנות</w:t>
      </w:r>
      <w:r w:rsidR="003B0C8E">
        <w:rPr>
          <w:rFonts w:hint="cs"/>
          <w:rtl/>
        </w:rPr>
        <w:t>"</w:t>
      </w:r>
      <w:r w:rsidR="00DE2EF1">
        <w:rPr>
          <w:rFonts w:hint="cs"/>
          <w:rtl/>
        </w:rPr>
        <w:t>")</w:t>
      </w:r>
      <w:r>
        <w:rPr>
          <w:rtl/>
        </w:rPr>
        <w:t>.</w:t>
      </w:r>
      <w:r w:rsidR="00F1250D">
        <w:rPr>
          <w:rFonts w:hint="cs"/>
          <w:rtl/>
        </w:rPr>
        <w:t xml:space="preserve"> </w:t>
      </w:r>
      <w:r w:rsidR="00DE2EF1">
        <w:rPr>
          <w:rtl/>
        </w:rPr>
        <w:t xml:space="preserve">מטרת </w:t>
      </w:r>
      <w:r w:rsidR="00B3256C">
        <w:rPr>
          <w:rFonts w:hint="cs"/>
          <w:rtl/>
        </w:rPr>
        <w:t>ה</w:t>
      </w:r>
      <w:r w:rsidR="00DE2EF1">
        <w:rPr>
          <w:rtl/>
        </w:rPr>
        <w:t>תיקון</w:t>
      </w:r>
      <w:r w:rsidR="00B3256C">
        <w:rPr>
          <w:rFonts w:hint="cs"/>
          <w:rtl/>
        </w:rPr>
        <w:t xml:space="preserve"> המוצע</w:t>
      </w:r>
      <w:r w:rsidR="00DE2EF1">
        <w:rPr>
          <w:rtl/>
        </w:rPr>
        <w:t xml:space="preserve"> </w:t>
      </w:r>
      <w:r w:rsidR="00DE2EF1">
        <w:rPr>
          <w:rFonts w:hint="cs"/>
          <w:rtl/>
        </w:rPr>
        <w:t>ה</w:t>
      </w:r>
      <w:r w:rsidR="009C14E1">
        <w:rPr>
          <w:rtl/>
        </w:rPr>
        <w:t xml:space="preserve">תקנות </w:t>
      </w:r>
      <w:r w:rsidR="00DE2EF1">
        <w:rPr>
          <w:rFonts w:hint="cs"/>
          <w:rtl/>
        </w:rPr>
        <w:t>העיקריות</w:t>
      </w:r>
      <w:r w:rsidR="00B3256C">
        <w:rPr>
          <w:rFonts w:hint="cs"/>
          <w:rtl/>
        </w:rPr>
        <w:t>,</w:t>
      </w:r>
      <w:r w:rsidR="00DE2EF1">
        <w:rPr>
          <w:rFonts w:hint="cs"/>
          <w:rtl/>
        </w:rPr>
        <w:t xml:space="preserve"> </w:t>
      </w:r>
      <w:r w:rsidR="009C14E1">
        <w:rPr>
          <w:rtl/>
        </w:rPr>
        <w:t>היא להתאי</w:t>
      </w:r>
      <w:r w:rsidR="00DE2EF1">
        <w:rPr>
          <w:rtl/>
        </w:rPr>
        <w:t>מן לפעילות הביקורת המתבצעת כיום</w:t>
      </w:r>
      <w:r w:rsidR="00DE2EF1">
        <w:rPr>
          <w:rFonts w:hint="cs"/>
          <w:rtl/>
        </w:rPr>
        <w:t>,</w:t>
      </w:r>
      <w:r w:rsidR="009C14E1">
        <w:rPr>
          <w:rtl/>
        </w:rPr>
        <w:t xml:space="preserve"> </w:t>
      </w:r>
      <w:r w:rsidR="00DE2EF1">
        <w:rPr>
          <w:rFonts w:hint="cs"/>
          <w:rtl/>
        </w:rPr>
        <w:t xml:space="preserve">תוך ביטול </w:t>
      </w:r>
      <w:r w:rsidR="00B3256C">
        <w:rPr>
          <w:rFonts w:hint="cs"/>
          <w:rtl/>
        </w:rPr>
        <w:t xml:space="preserve">דרישות לבצע </w:t>
      </w:r>
      <w:r w:rsidR="00DE2EF1">
        <w:rPr>
          <w:rtl/>
        </w:rPr>
        <w:t>בדיקות איכות</w:t>
      </w:r>
      <w:r w:rsidR="00DE2EF1">
        <w:rPr>
          <w:rFonts w:hint="cs"/>
          <w:rtl/>
        </w:rPr>
        <w:t xml:space="preserve"> </w:t>
      </w:r>
      <w:r w:rsidR="00DE2EF1">
        <w:rPr>
          <w:rtl/>
        </w:rPr>
        <w:t>לייצוא תוצרת צמחית</w:t>
      </w:r>
      <w:r w:rsidR="00F1250D">
        <w:rPr>
          <w:rFonts w:hint="cs"/>
          <w:rtl/>
        </w:rPr>
        <w:t xml:space="preserve"> שאינן נחוצות כיום</w:t>
      </w:r>
      <w:r w:rsidR="00DE2EF1">
        <w:rPr>
          <w:rtl/>
        </w:rPr>
        <w:t xml:space="preserve">. </w:t>
      </w:r>
    </w:p>
    <w:p w:rsidR="009C14E1" w:rsidRDefault="009C14E1" w:rsidP="009C14E1">
      <w:pPr>
        <w:rPr>
          <w:rtl/>
        </w:rPr>
      </w:pPr>
    </w:p>
    <w:p w:rsidR="00B718C0" w:rsidRPr="004B35B2" w:rsidRDefault="00B3256C" w:rsidP="00B3256C">
      <w:pPr>
        <w:pStyle w:val="a"/>
        <w:numPr>
          <w:ilvl w:val="0"/>
          <w:numId w:val="0"/>
        </w:numPr>
        <w:spacing w:before="0"/>
        <w:ind w:left="368" w:right="0"/>
        <w:rPr>
          <w:szCs w:val="24"/>
          <w:rtl/>
        </w:rPr>
      </w:pPr>
      <w:bookmarkStart w:id="0" w:name="_GoBack"/>
      <w:r>
        <w:rPr>
          <w:rFonts w:hint="cs"/>
          <w:szCs w:val="24"/>
          <w:rtl/>
        </w:rPr>
        <w:t xml:space="preserve">התקנות העיקריות תוקנו לאחרונה בשנת 2017 (תקנות לפיקוח על ייצוא (תיקון), </w:t>
      </w:r>
      <w:proofErr w:type="spellStart"/>
      <w:r>
        <w:rPr>
          <w:rFonts w:hint="cs"/>
          <w:szCs w:val="24"/>
          <w:rtl/>
        </w:rPr>
        <w:t>התשע"ח</w:t>
      </w:r>
      <w:proofErr w:type="spellEnd"/>
      <w:r>
        <w:rPr>
          <w:rFonts w:hint="cs"/>
          <w:szCs w:val="24"/>
          <w:rtl/>
        </w:rPr>
        <w:t xml:space="preserve"> </w:t>
      </w:r>
      <w:r>
        <w:rPr>
          <w:szCs w:val="24"/>
          <w:rtl/>
        </w:rPr>
        <w:t>–</w:t>
      </w:r>
      <w:r>
        <w:rPr>
          <w:rFonts w:hint="cs"/>
          <w:szCs w:val="24"/>
          <w:rtl/>
        </w:rPr>
        <w:t xml:space="preserve"> 2017, </w:t>
      </w:r>
      <w:proofErr w:type="spellStart"/>
      <w:r>
        <w:rPr>
          <w:rFonts w:hint="cs"/>
          <w:szCs w:val="24"/>
          <w:rtl/>
        </w:rPr>
        <w:t>ק"ת</w:t>
      </w:r>
      <w:proofErr w:type="spellEnd"/>
      <w:r>
        <w:rPr>
          <w:rFonts w:hint="cs"/>
          <w:szCs w:val="24"/>
          <w:rtl/>
        </w:rPr>
        <w:t xml:space="preserve"> תשע"ח, עמ' 247, להלן </w:t>
      </w:r>
      <w:r>
        <w:rPr>
          <w:szCs w:val="24"/>
          <w:rtl/>
        </w:rPr>
        <w:t>–</w:t>
      </w:r>
      <w:r>
        <w:rPr>
          <w:rFonts w:hint="cs"/>
          <w:szCs w:val="24"/>
          <w:rtl/>
        </w:rPr>
        <w:t xml:space="preserve"> התיקון הראשון). התיקון הראשון בוצע לשם הפחתת תקני ה</w:t>
      </w:r>
      <w:r w:rsidR="00B718C0">
        <w:rPr>
          <w:rFonts w:hint="cs"/>
          <w:szCs w:val="24"/>
          <w:rtl/>
        </w:rPr>
        <w:t xml:space="preserve">איכות  </w:t>
      </w:r>
      <w:r>
        <w:rPr>
          <w:rFonts w:hint="cs"/>
          <w:szCs w:val="24"/>
          <w:rtl/>
        </w:rPr>
        <w:t xml:space="preserve">שנקבעו בתקנות, כך שלשם יצוא תוצרת צמחית לחו"ל תידרש ביקורת בסיסית בלבד על איכותה, וכן בדיקות איכות נוספות ככל שאלה נדרשות על ידי מדינות היעד. נמצא שגם לאחר התיקון הראשון, נותרו בנוסח התקנות דרישות איכות לייצוא תוצרת צמחית שאינן נחוצות כיום, ועל כן נדרש תיקון זה.  </w:t>
      </w:r>
    </w:p>
    <w:p w:rsidR="00B718C0" w:rsidRDefault="00B718C0" w:rsidP="009C14E1">
      <w:pPr>
        <w:rPr>
          <w:rtl/>
        </w:rPr>
      </w:pPr>
    </w:p>
    <w:p w:rsidR="00DE2EF1" w:rsidRPr="00B718C0" w:rsidRDefault="00DE2EF1" w:rsidP="007838EB">
      <w:pPr>
        <w:pStyle w:val="a"/>
        <w:numPr>
          <w:ilvl w:val="0"/>
          <w:numId w:val="0"/>
        </w:numPr>
        <w:spacing w:before="0"/>
        <w:ind w:left="368" w:right="0"/>
        <w:rPr>
          <w:szCs w:val="24"/>
          <w:rtl/>
        </w:rPr>
      </w:pPr>
      <w:r w:rsidRPr="004B35B2">
        <w:rPr>
          <w:rFonts w:ascii="Arial" w:eastAsia="Arial Unicode MS" w:hAnsi="Arial" w:hint="cs"/>
          <w:snapToGrid w:val="0"/>
          <w:color w:val="000000"/>
          <w:szCs w:val="24"/>
          <w:rtl/>
          <w:lang w:eastAsia="ja-JP"/>
        </w:rPr>
        <w:t xml:space="preserve">טיוטת התקנות </w:t>
      </w:r>
      <w:r w:rsidR="007838EB">
        <w:rPr>
          <w:rFonts w:ascii="Arial" w:eastAsia="Arial Unicode MS" w:hAnsi="Arial" w:hint="cs"/>
          <w:snapToGrid w:val="0"/>
          <w:color w:val="000000"/>
          <w:szCs w:val="24"/>
          <w:rtl/>
          <w:lang w:eastAsia="ja-JP"/>
        </w:rPr>
        <w:t>המופצת כעת להערות הציבור (להלן: "</w:t>
      </w:r>
      <w:r w:rsidRPr="004B35B2">
        <w:rPr>
          <w:rFonts w:ascii="Arial" w:eastAsia="Arial Unicode MS" w:hAnsi="Arial" w:hint="cs"/>
          <w:snapToGrid w:val="0"/>
          <w:color w:val="000000"/>
          <w:szCs w:val="24"/>
          <w:rtl/>
          <w:lang w:eastAsia="ja-JP"/>
        </w:rPr>
        <w:t xml:space="preserve"> </w:t>
      </w:r>
      <w:r w:rsidRPr="004B35B2">
        <w:rPr>
          <w:rFonts w:ascii="Arial" w:eastAsia="Arial Unicode MS" w:hAnsi="Arial" w:hint="cs"/>
          <w:b/>
          <w:bCs/>
          <w:snapToGrid w:val="0"/>
          <w:color w:val="000000"/>
          <w:szCs w:val="24"/>
          <w:rtl/>
          <w:lang w:eastAsia="ja-JP"/>
        </w:rPr>
        <w:t>טיוטת התקנות</w:t>
      </w:r>
      <w:r w:rsidR="007838EB">
        <w:rPr>
          <w:rFonts w:ascii="Arial" w:eastAsia="Arial Unicode MS" w:hAnsi="Arial" w:hint="cs"/>
          <w:b/>
          <w:bCs/>
          <w:snapToGrid w:val="0"/>
          <w:color w:val="000000"/>
          <w:szCs w:val="24"/>
          <w:rtl/>
          <w:lang w:eastAsia="ja-JP"/>
        </w:rPr>
        <w:t>"</w:t>
      </w:r>
      <w:r w:rsidRPr="004B35B2">
        <w:rPr>
          <w:rFonts w:ascii="Arial" w:eastAsia="Arial Unicode MS" w:hAnsi="Arial" w:hint="cs"/>
          <w:b/>
          <w:bCs/>
          <w:snapToGrid w:val="0"/>
          <w:color w:val="000000"/>
          <w:szCs w:val="24"/>
          <w:rtl/>
          <w:lang w:eastAsia="ja-JP"/>
        </w:rPr>
        <w:t>)</w:t>
      </w:r>
      <w:r w:rsidRPr="004B35B2">
        <w:rPr>
          <w:rFonts w:hint="cs"/>
          <w:szCs w:val="24"/>
          <w:rtl/>
        </w:rPr>
        <w:t xml:space="preserve"> מתבססת על התכנית ל"הפחתת נטל רגולטורי </w:t>
      </w:r>
      <w:r w:rsidRPr="004B35B2">
        <w:rPr>
          <w:szCs w:val="24"/>
          <w:rtl/>
        </w:rPr>
        <w:t>–</w:t>
      </w:r>
      <w:r w:rsidRPr="004B35B2">
        <w:rPr>
          <w:rFonts w:hint="cs"/>
          <w:szCs w:val="24"/>
          <w:rtl/>
        </w:rPr>
        <w:t xml:space="preserve"> </w:t>
      </w:r>
      <w:r w:rsidR="007838EB">
        <w:rPr>
          <w:rFonts w:hint="cs"/>
          <w:szCs w:val="24"/>
          <w:rtl/>
        </w:rPr>
        <w:t>פיקוח על ייצוא תוצרת טרייה</w:t>
      </w:r>
      <w:r w:rsidRPr="004B35B2">
        <w:rPr>
          <w:rFonts w:hint="cs"/>
          <w:szCs w:val="24"/>
          <w:rtl/>
        </w:rPr>
        <w:t xml:space="preserve">", שנכתבה ע"י תחום מדיניות רגולציה בשיתוף היחידה המקצועית, וזאת במסגרת החלטת ממשלה מספר </w:t>
      </w:r>
      <w:r w:rsidRPr="004B35B2">
        <w:rPr>
          <w:szCs w:val="24"/>
          <w:rtl/>
        </w:rPr>
        <w:t>2118 מיום 22.10.2014 בנושא הפחתת הנטל הרגולטורי</w:t>
      </w:r>
      <w:bookmarkEnd w:id="0"/>
      <w:r w:rsidRPr="004B35B2">
        <w:rPr>
          <w:rFonts w:hint="cs"/>
          <w:szCs w:val="24"/>
          <w:rtl/>
        </w:rPr>
        <w:t xml:space="preserve">. </w:t>
      </w:r>
      <w:r w:rsidRPr="0036282D">
        <w:rPr>
          <w:rFonts w:hint="cs"/>
          <w:szCs w:val="24"/>
          <w:rtl/>
        </w:rPr>
        <w:t>לקישור לתכנית:</w:t>
      </w:r>
      <w:r w:rsidR="0036282D">
        <w:rPr>
          <w:rFonts w:hint="cs"/>
          <w:szCs w:val="24"/>
          <w:rtl/>
        </w:rPr>
        <w:t xml:space="preserve"> </w:t>
      </w:r>
      <w:hyperlink r:id="rId11" w:history="1">
        <w:r w:rsidR="00B718C0" w:rsidRPr="0036282D">
          <w:rPr>
            <w:rStyle w:val="Hyperlink"/>
            <w:szCs w:val="24"/>
            <w:rtl/>
          </w:rPr>
          <w:t>לחץ כאן</w:t>
        </w:r>
      </w:hyperlink>
      <w:r w:rsidR="00BE1C2D" w:rsidRPr="0036282D">
        <w:rPr>
          <w:rFonts w:hint="cs"/>
          <w:szCs w:val="24"/>
          <w:rtl/>
        </w:rPr>
        <w:t>.</w:t>
      </w:r>
    </w:p>
    <w:p w:rsidR="002A3BD0" w:rsidRDefault="002A3BD0" w:rsidP="002A3BD0">
      <w:pPr>
        <w:pStyle w:val="big-header"/>
        <w:spacing w:before="0" w:after="0" w:line="360" w:lineRule="auto"/>
        <w:ind w:right="1134"/>
        <w:jc w:val="both"/>
        <w:rPr>
          <w:rStyle w:val="default"/>
          <w:rFonts w:cs="David"/>
          <w:sz w:val="24"/>
          <w:szCs w:val="24"/>
          <w:rtl/>
        </w:rPr>
      </w:pPr>
    </w:p>
    <w:p w:rsidR="002A3BD0" w:rsidRPr="009C14E1" w:rsidRDefault="002A3BD0" w:rsidP="002A3BD0">
      <w:pPr>
        <w:pStyle w:val="Hesber1st"/>
        <w:numPr>
          <w:ilvl w:val="0"/>
          <w:numId w:val="22"/>
        </w:numPr>
        <w:tabs>
          <w:tab w:val="clear" w:pos="680"/>
        </w:tabs>
        <w:autoSpaceDE w:val="0"/>
        <w:autoSpaceDN w:val="0"/>
        <w:adjustRightInd w:val="0"/>
        <w:ind w:left="368"/>
        <w:contextualSpacing w:val="0"/>
        <w:textAlignment w:val="center"/>
        <w:rPr>
          <w:b/>
          <w:bCs/>
          <w:sz w:val="24"/>
          <w:szCs w:val="24"/>
          <w:u w:val="single"/>
        </w:rPr>
      </w:pPr>
      <w:r w:rsidRPr="009C14E1">
        <w:rPr>
          <w:rFonts w:hint="cs"/>
          <w:b/>
          <w:bCs/>
          <w:sz w:val="24"/>
          <w:szCs w:val="24"/>
          <w:u w:val="single"/>
          <w:rtl/>
        </w:rPr>
        <w:t>דברי הסבר מפורטים</w:t>
      </w:r>
    </w:p>
    <w:p w:rsidR="002A3BD0" w:rsidRDefault="001B640C" w:rsidP="00B3256C">
      <w:pPr>
        <w:pStyle w:val="Hesber1st"/>
        <w:tabs>
          <w:tab w:val="clear" w:pos="680"/>
        </w:tabs>
        <w:ind w:left="368"/>
        <w:rPr>
          <w:sz w:val="24"/>
          <w:szCs w:val="24"/>
          <w:rtl/>
        </w:rPr>
      </w:pPr>
      <w:r>
        <w:rPr>
          <w:rFonts w:hint="cs"/>
          <w:b/>
          <w:bCs/>
          <w:sz w:val="24"/>
          <w:szCs w:val="24"/>
          <w:rtl/>
        </w:rPr>
        <w:t xml:space="preserve">לתקנה 1 - </w:t>
      </w:r>
      <w:r w:rsidR="003A3944">
        <w:rPr>
          <w:rFonts w:hint="cs"/>
          <w:b/>
          <w:bCs/>
          <w:sz w:val="24"/>
          <w:szCs w:val="24"/>
          <w:rtl/>
        </w:rPr>
        <w:t>ביטול</w:t>
      </w:r>
      <w:r w:rsidR="002A3BD0" w:rsidRPr="009C14E1">
        <w:rPr>
          <w:rFonts w:hint="cs"/>
          <w:b/>
          <w:bCs/>
          <w:sz w:val="24"/>
          <w:szCs w:val="24"/>
          <w:rtl/>
        </w:rPr>
        <w:t xml:space="preserve"> תקנה 9 לתקנות העיקריות</w:t>
      </w:r>
      <w:r w:rsidR="003A3944">
        <w:rPr>
          <w:rFonts w:hint="cs"/>
          <w:b/>
          <w:bCs/>
          <w:sz w:val="24"/>
          <w:szCs w:val="24"/>
          <w:rtl/>
        </w:rPr>
        <w:t xml:space="preserve"> </w:t>
      </w:r>
      <w:r w:rsidR="003B0C8E">
        <w:rPr>
          <w:b/>
          <w:bCs/>
          <w:sz w:val="24"/>
          <w:szCs w:val="24"/>
          <w:rtl/>
        </w:rPr>
        <w:t>–</w:t>
      </w:r>
      <w:r w:rsidR="003A3944">
        <w:rPr>
          <w:rFonts w:hint="cs"/>
          <w:b/>
          <w:bCs/>
          <w:sz w:val="24"/>
          <w:szCs w:val="24"/>
          <w:rtl/>
        </w:rPr>
        <w:t xml:space="preserve"> </w:t>
      </w:r>
      <w:r w:rsidR="00A20EBA">
        <w:rPr>
          <w:rFonts w:hint="cs"/>
          <w:sz w:val="24"/>
          <w:szCs w:val="24"/>
          <w:rtl/>
        </w:rPr>
        <w:t xml:space="preserve">בנוסח התקנות הנוכחי, נדרש לפי </w:t>
      </w:r>
      <w:r w:rsidR="00B3256C">
        <w:rPr>
          <w:rFonts w:hint="cs"/>
          <w:sz w:val="24"/>
          <w:szCs w:val="24"/>
          <w:rtl/>
        </w:rPr>
        <w:t>תקנת משנה</w:t>
      </w:r>
      <w:r w:rsidR="00A20EBA">
        <w:rPr>
          <w:rFonts w:hint="cs"/>
          <w:sz w:val="24"/>
          <w:szCs w:val="24"/>
          <w:rtl/>
        </w:rPr>
        <w:t xml:space="preserve"> 9(א) כי האריזה </w:t>
      </w:r>
      <w:r w:rsidR="00BF77AF">
        <w:rPr>
          <w:rFonts w:hint="cs"/>
          <w:sz w:val="24"/>
          <w:szCs w:val="24"/>
          <w:rtl/>
        </w:rPr>
        <w:t>המשמשת לייצוא התוצרת (המכל</w:t>
      </w:r>
      <w:r w:rsidR="00A20EBA">
        <w:rPr>
          <w:rFonts w:hint="cs"/>
          <w:sz w:val="24"/>
          <w:szCs w:val="24"/>
          <w:rtl/>
        </w:rPr>
        <w:t xml:space="preserve">) </w:t>
      </w:r>
      <w:r w:rsidR="0045058E">
        <w:rPr>
          <w:rFonts w:hint="cs"/>
          <w:sz w:val="24"/>
          <w:szCs w:val="24"/>
          <w:rtl/>
        </w:rPr>
        <w:t>ת</w:t>
      </w:r>
      <w:r w:rsidR="00A20EBA">
        <w:rPr>
          <w:rFonts w:hint="cs"/>
          <w:sz w:val="24"/>
          <w:szCs w:val="24"/>
          <w:rtl/>
        </w:rPr>
        <w:t>כיל זנים אחידים</w:t>
      </w:r>
      <w:r w:rsidR="0045058E">
        <w:rPr>
          <w:rFonts w:hint="cs"/>
          <w:sz w:val="24"/>
          <w:szCs w:val="24"/>
          <w:rtl/>
        </w:rPr>
        <w:t>,</w:t>
      </w:r>
      <w:r w:rsidR="00A20EBA">
        <w:rPr>
          <w:rFonts w:hint="cs"/>
          <w:sz w:val="24"/>
          <w:szCs w:val="24"/>
          <w:rtl/>
        </w:rPr>
        <w:t xml:space="preserve"> </w:t>
      </w:r>
      <w:r w:rsidR="00B3256C">
        <w:rPr>
          <w:rFonts w:hint="cs"/>
          <w:sz w:val="24"/>
          <w:szCs w:val="24"/>
          <w:rtl/>
        </w:rPr>
        <w:t>ובתקנת משנה</w:t>
      </w:r>
      <w:r w:rsidR="00A20EBA">
        <w:rPr>
          <w:rFonts w:hint="cs"/>
          <w:sz w:val="24"/>
          <w:szCs w:val="24"/>
          <w:rtl/>
        </w:rPr>
        <w:t xml:space="preserve"> 9(ב</w:t>
      </w:r>
      <w:r w:rsidR="0045058E">
        <w:rPr>
          <w:rFonts w:hint="cs"/>
          <w:sz w:val="24"/>
          <w:szCs w:val="24"/>
          <w:rtl/>
        </w:rPr>
        <w:t>) נקבע כי המנהל רשאי להתיר אריזה שהתוצרת בה "</w:t>
      </w:r>
      <w:proofErr w:type="spellStart"/>
      <w:r w:rsidR="0045058E">
        <w:rPr>
          <w:rFonts w:hint="cs"/>
          <w:sz w:val="24"/>
          <w:szCs w:val="24"/>
          <w:rtl/>
        </w:rPr>
        <w:t>ממויינת</w:t>
      </w:r>
      <w:proofErr w:type="spellEnd"/>
      <w:r w:rsidR="0045058E">
        <w:rPr>
          <w:rFonts w:hint="cs"/>
          <w:sz w:val="24"/>
          <w:szCs w:val="24"/>
          <w:rtl/>
        </w:rPr>
        <w:t xml:space="preserve"> לגדלים מעורבים.."</w:t>
      </w:r>
      <w:r w:rsidR="00BF77AF">
        <w:rPr>
          <w:rFonts w:hint="cs"/>
          <w:sz w:val="24"/>
          <w:szCs w:val="24"/>
          <w:rtl/>
        </w:rPr>
        <w:t xml:space="preserve">. </w:t>
      </w:r>
      <w:r w:rsidR="00875B95">
        <w:rPr>
          <w:rFonts w:hint="cs"/>
          <w:sz w:val="24"/>
          <w:szCs w:val="24"/>
          <w:rtl/>
        </w:rPr>
        <w:t xml:space="preserve">מוצע לבטל את התקנה </w:t>
      </w:r>
      <w:r w:rsidR="00B3256C">
        <w:rPr>
          <w:rFonts w:hint="cs"/>
          <w:sz w:val="24"/>
          <w:szCs w:val="24"/>
          <w:rtl/>
        </w:rPr>
        <w:t>האמורה, כיוון ש</w:t>
      </w:r>
      <w:r w:rsidR="00355CE0">
        <w:rPr>
          <w:rFonts w:hint="cs"/>
          <w:sz w:val="24"/>
          <w:szCs w:val="24"/>
          <w:rtl/>
        </w:rPr>
        <w:t>הדרישה ל</w:t>
      </w:r>
      <w:r w:rsidR="00B3256C">
        <w:rPr>
          <w:rFonts w:hint="cs"/>
          <w:sz w:val="24"/>
          <w:szCs w:val="24"/>
          <w:rtl/>
        </w:rPr>
        <w:t>גודל אחיד ולאחידות בזנים הארוזים ב</w:t>
      </w:r>
      <w:r w:rsidR="00355CE0">
        <w:rPr>
          <w:rFonts w:hint="cs"/>
          <w:sz w:val="24"/>
          <w:szCs w:val="24"/>
          <w:rtl/>
        </w:rPr>
        <w:t>מכלים, הן דרישות איכות</w:t>
      </w:r>
      <w:r w:rsidR="00875B95">
        <w:rPr>
          <w:rFonts w:hint="cs"/>
          <w:sz w:val="24"/>
          <w:szCs w:val="24"/>
          <w:rtl/>
        </w:rPr>
        <w:t xml:space="preserve"> שאינן </w:t>
      </w:r>
      <w:r w:rsidR="00F1250D">
        <w:rPr>
          <w:rFonts w:hint="cs"/>
          <w:sz w:val="24"/>
          <w:szCs w:val="24"/>
          <w:rtl/>
        </w:rPr>
        <w:t>נחוצות היום</w:t>
      </w:r>
      <w:r>
        <w:rPr>
          <w:rFonts w:hint="cs"/>
          <w:sz w:val="24"/>
          <w:szCs w:val="24"/>
          <w:rtl/>
        </w:rPr>
        <w:t>, ושהגדרתן על פי התוספת לתקנות העיקריות ממילא נמחקה במסגרת התיקון הראשון</w:t>
      </w:r>
      <w:r w:rsidR="00355CE0">
        <w:rPr>
          <w:rFonts w:hint="cs"/>
          <w:sz w:val="24"/>
          <w:szCs w:val="24"/>
          <w:rtl/>
        </w:rPr>
        <w:t xml:space="preserve">. </w:t>
      </w:r>
    </w:p>
    <w:p w:rsidR="00F1250D" w:rsidRPr="00355CE0" w:rsidRDefault="00F1250D" w:rsidP="00F1250D">
      <w:pPr>
        <w:pStyle w:val="Hesber1st"/>
        <w:tabs>
          <w:tab w:val="clear" w:pos="680"/>
        </w:tabs>
        <w:ind w:left="368"/>
        <w:rPr>
          <w:sz w:val="24"/>
          <w:szCs w:val="24"/>
        </w:rPr>
      </w:pPr>
    </w:p>
    <w:p w:rsidR="001B640C" w:rsidRDefault="001B640C" w:rsidP="00B3256C">
      <w:pPr>
        <w:pStyle w:val="Hesber1st"/>
        <w:tabs>
          <w:tab w:val="clear" w:pos="680"/>
        </w:tabs>
        <w:autoSpaceDE w:val="0"/>
        <w:autoSpaceDN w:val="0"/>
        <w:adjustRightInd w:val="0"/>
        <w:ind w:left="368"/>
        <w:contextualSpacing w:val="0"/>
        <w:textAlignment w:val="center"/>
        <w:rPr>
          <w:sz w:val="24"/>
          <w:szCs w:val="24"/>
          <w:rtl/>
        </w:rPr>
      </w:pPr>
      <w:r>
        <w:rPr>
          <w:rFonts w:hint="cs"/>
          <w:b/>
          <w:bCs/>
          <w:sz w:val="24"/>
          <w:szCs w:val="24"/>
          <w:rtl/>
        </w:rPr>
        <w:t xml:space="preserve">לתקנה 2 - </w:t>
      </w:r>
      <w:r w:rsidR="002A3BD0" w:rsidRPr="009C14E1">
        <w:rPr>
          <w:rFonts w:hint="cs"/>
          <w:b/>
          <w:bCs/>
          <w:sz w:val="24"/>
          <w:szCs w:val="24"/>
          <w:rtl/>
        </w:rPr>
        <w:t>תיקון תקנה 10 לתקנות העיקריות</w:t>
      </w:r>
      <w:r w:rsidR="00355CE0">
        <w:rPr>
          <w:rFonts w:hint="cs"/>
          <w:b/>
          <w:bCs/>
          <w:sz w:val="24"/>
          <w:szCs w:val="24"/>
          <w:rtl/>
        </w:rPr>
        <w:t xml:space="preserve"> </w:t>
      </w:r>
      <w:r w:rsidR="00355CE0">
        <w:rPr>
          <w:b/>
          <w:bCs/>
          <w:sz w:val="24"/>
          <w:szCs w:val="24"/>
          <w:rtl/>
        </w:rPr>
        <w:t>–</w:t>
      </w:r>
      <w:r w:rsidR="00355CE0">
        <w:rPr>
          <w:rFonts w:hint="cs"/>
          <w:b/>
          <w:bCs/>
          <w:sz w:val="24"/>
          <w:szCs w:val="24"/>
          <w:rtl/>
        </w:rPr>
        <w:t xml:space="preserve"> </w:t>
      </w:r>
      <w:r w:rsidR="00355CE0">
        <w:rPr>
          <w:rFonts w:hint="cs"/>
          <w:sz w:val="24"/>
          <w:szCs w:val="24"/>
          <w:rtl/>
        </w:rPr>
        <w:t xml:space="preserve">מוצע לבטל את </w:t>
      </w:r>
      <w:r w:rsidR="00B3256C">
        <w:rPr>
          <w:rFonts w:hint="cs"/>
          <w:sz w:val="24"/>
          <w:szCs w:val="24"/>
          <w:rtl/>
        </w:rPr>
        <w:t xml:space="preserve">פסקאות </w:t>
      </w:r>
      <w:r w:rsidR="00DD762A">
        <w:rPr>
          <w:rFonts w:hint="cs"/>
          <w:sz w:val="24"/>
          <w:szCs w:val="24"/>
          <w:rtl/>
        </w:rPr>
        <w:t>10(ב)(</w:t>
      </w:r>
      <w:r>
        <w:rPr>
          <w:rFonts w:hint="cs"/>
          <w:sz w:val="24"/>
          <w:szCs w:val="24"/>
          <w:rtl/>
        </w:rPr>
        <w:t>3</w:t>
      </w:r>
      <w:r w:rsidR="00DD762A">
        <w:rPr>
          <w:rFonts w:hint="cs"/>
          <w:sz w:val="24"/>
          <w:szCs w:val="24"/>
          <w:rtl/>
        </w:rPr>
        <w:t>)-10(ב)(6)</w:t>
      </w:r>
      <w:r w:rsidR="00BE1C2D">
        <w:rPr>
          <w:rFonts w:hint="cs"/>
          <w:sz w:val="24"/>
          <w:szCs w:val="24"/>
          <w:rtl/>
        </w:rPr>
        <w:t xml:space="preserve"> מאחר והדרישות המ</w:t>
      </w:r>
      <w:r w:rsidR="00B3256C">
        <w:rPr>
          <w:rFonts w:hint="cs"/>
          <w:sz w:val="24"/>
          <w:szCs w:val="24"/>
          <w:rtl/>
        </w:rPr>
        <w:t>פורטות</w:t>
      </w:r>
      <w:r w:rsidR="00BE1C2D">
        <w:rPr>
          <w:rFonts w:hint="cs"/>
          <w:sz w:val="24"/>
          <w:szCs w:val="24"/>
          <w:rtl/>
        </w:rPr>
        <w:t xml:space="preserve"> בהם</w:t>
      </w:r>
      <w:r w:rsidR="00B3256C">
        <w:rPr>
          <w:rFonts w:hint="cs"/>
          <w:sz w:val="24"/>
          <w:szCs w:val="24"/>
          <w:rtl/>
        </w:rPr>
        <w:t>:</w:t>
      </w:r>
      <w:r w:rsidR="00BE1C2D">
        <w:rPr>
          <w:rFonts w:hint="cs"/>
          <w:sz w:val="24"/>
          <w:szCs w:val="24"/>
          <w:rtl/>
        </w:rPr>
        <w:t xml:space="preserve"> </w:t>
      </w:r>
      <w:r>
        <w:rPr>
          <w:rFonts w:hint="cs"/>
          <w:sz w:val="24"/>
          <w:szCs w:val="24"/>
          <w:rtl/>
        </w:rPr>
        <w:t xml:space="preserve">ציון המילים "יוצר בישראל", </w:t>
      </w:r>
      <w:r w:rsidR="00355CE0">
        <w:rPr>
          <w:rFonts w:hint="cs"/>
          <w:sz w:val="24"/>
          <w:szCs w:val="24"/>
          <w:rtl/>
        </w:rPr>
        <w:t>"סוג התוצרת"; "מיון" ו"משקל נטו או מספר יחידות", הינן</w:t>
      </w:r>
      <w:r w:rsidR="00CE5ED0">
        <w:rPr>
          <w:rFonts w:hint="cs"/>
          <w:sz w:val="24"/>
          <w:szCs w:val="24"/>
          <w:rtl/>
        </w:rPr>
        <w:t xml:space="preserve"> </w:t>
      </w:r>
      <w:r w:rsidR="00CE5ED0">
        <w:rPr>
          <w:rFonts w:hint="cs"/>
          <w:sz w:val="24"/>
          <w:szCs w:val="24"/>
          <w:rtl/>
        </w:rPr>
        <w:lastRenderedPageBreak/>
        <w:t xml:space="preserve">דרישות </w:t>
      </w:r>
      <w:r>
        <w:rPr>
          <w:rFonts w:hint="cs"/>
          <w:sz w:val="24"/>
          <w:szCs w:val="24"/>
          <w:rtl/>
        </w:rPr>
        <w:t>שאינן נחוצות כיום</w:t>
      </w:r>
      <w:r w:rsidR="00CE5ED0">
        <w:rPr>
          <w:rFonts w:hint="cs"/>
          <w:sz w:val="24"/>
          <w:szCs w:val="24"/>
          <w:rtl/>
        </w:rPr>
        <w:t xml:space="preserve">. </w:t>
      </w:r>
      <w:r>
        <w:rPr>
          <w:rFonts w:hint="cs"/>
          <w:sz w:val="24"/>
          <w:szCs w:val="24"/>
          <w:rtl/>
        </w:rPr>
        <w:t>יצוין כי</w:t>
      </w:r>
      <w:r w:rsidR="00CE5ED0">
        <w:rPr>
          <w:rFonts w:hint="cs"/>
          <w:sz w:val="24"/>
          <w:szCs w:val="24"/>
          <w:rtl/>
        </w:rPr>
        <w:t xml:space="preserve"> המיון המצוי</w:t>
      </w:r>
      <w:r w:rsidR="00355CE0">
        <w:rPr>
          <w:rFonts w:hint="cs"/>
          <w:sz w:val="24"/>
          <w:szCs w:val="24"/>
          <w:rtl/>
        </w:rPr>
        <w:t>ן מתייחס למיון לגדלים</w:t>
      </w:r>
      <w:r w:rsidR="00CE5ED0">
        <w:rPr>
          <w:rFonts w:hint="cs"/>
          <w:sz w:val="24"/>
          <w:szCs w:val="24"/>
          <w:rtl/>
        </w:rPr>
        <w:t>;</w:t>
      </w:r>
      <w:r w:rsidR="00B5123D">
        <w:rPr>
          <w:rFonts w:hint="cs"/>
          <w:sz w:val="24"/>
          <w:szCs w:val="24"/>
          <w:rtl/>
        </w:rPr>
        <w:t xml:space="preserve"> "משקל נטו" </w:t>
      </w:r>
      <w:r>
        <w:rPr>
          <w:rFonts w:hint="cs"/>
          <w:sz w:val="24"/>
          <w:szCs w:val="24"/>
          <w:rtl/>
        </w:rPr>
        <w:t>ו- "מספר יחידות" עניינם היבטים מסחריים של התוצרת שאינם מחייבים עיגון בתקנות.</w:t>
      </w:r>
    </w:p>
    <w:p w:rsidR="001B640C" w:rsidRDefault="001B640C" w:rsidP="001B640C">
      <w:pPr>
        <w:pStyle w:val="Hesber1st"/>
        <w:tabs>
          <w:tab w:val="clear" w:pos="680"/>
        </w:tabs>
        <w:autoSpaceDE w:val="0"/>
        <w:autoSpaceDN w:val="0"/>
        <w:adjustRightInd w:val="0"/>
        <w:ind w:left="368"/>
        <w:contextualSpacing w:val="0"/>
        <w:textAlignment w:val="center"/>
        <w:rPr>
          <w:sz w:val="24"/>
          <w:szCs w:val="24"/>
          <w:rtl/>
        </w:rPr>
      </w:pPr>
    </w:p>
    <w:p w:rsidR="002A3BD0" w:rsidRDefault="001B640C" w:rsidP="00B3256C">
      <w:pPr>
        <w:pStyle w:val="Hesber1st"/>
        <w:tabs>
          <w:tab w:val="clear" w:pos="680"/>
        </w:tabs>
        <w:autoSpaceDE w:val="0"/>
        <w:autoSpaceDN w:val="0"/>
        <w:adjustRightInd w:val="0"/>
        <w:ind w:left="368"/>
        <w:contextualSpacing w:val="0"/>
        <w:textAlignment w:val="center"/>
        <w:rPr>
          <w:sz w:val="24"/>
          <w:szCs w:val="24"/>
          <w:rtl/>
        </w:rPr>
      </w:pPr>
      <w:r>
        <w:rPr>
          <w:rFonts w:hint="cs"/>
          <w:b/>
          <w:bCs/>
          <w:sz w:val="24"/>
          <w:szCs w:val="24"/>
          <w:rtl/>
        </w:rPr>
        <w:t xml:space="preserve">לתקנה 3 - </w:t>
      </w:r>
      <w:r w:rsidR="002A3BD0" w:rsidRPr="009C14E1">
        <w:rPr>
          <w:rFonts w:hint="cs"/>
          <w:b/>
          <w:bCs/>
          <w:sz w:val="24"/>
          <w:szCs w:val="24"/>
          <w:rtl/>
        </w:rPr>
        <w:t>תיקון תקנה 12 לתקנות העיקריות</w:t>
      </w:r>
      <w:r w:rsidR="00010336">
        <w:rPr>
          <w:rFonts w:hint="cs"/>
          <w:sz w:val="24"/>
          <w:szCs w:val="24"/>
          <w:rtl/>
        </w:rPr>
        <w:t xml:space="preserve"> </w:t>
      </w:r>
      <w:r w:rsidR="00010336">
        <w:rPr>
          <w:sz w:val="24"/>
          <w:szCs w:val="24"/>
          <w:rtl/>
        </w:rPr>
        <w:t>–</w:t>
      </w:r>
      <w:r w:rsidR="00010336">
        <w:rPr>
          <w:rFonts w:hint="cs"/>
          <w:sz w:val="24"/>
          <w:szCs w:val="24"/>
          <w:rtl/>
        </w:rPr>
        <w:t xml:space="preserve"> מוצע לבטל את </w:t>
      </w:r>
      <w:proofErr w:type="spellStart"/>
      <w:r w:rsidR="00B3256C">
        <w:rPr>
          <w:rFonts w:hint="cs"/>
          <w:sz w:val="24"/>
          <w:szCs w:val="24"/>
          <w:rtl/>
        </w:rPr>
        <w:t>את</w:t>
      </w:r>
      <w:proofErr w:type="spellEnd"/>
      <w:r w:rsidR="00B3256C">
        <w:rPr>
          <w:rFonts w:hint="cs"/>
          <w:sz w:val="24"/>
          <w:szCs w:val="24"/>
          <w:rtl/>
        </w:rPr>
        <w:t xml:space="preserve"> </w:t>
      </w:r>
      <w:proofErr w:type="spellStart"/>
      <w:r w:rsidR="00B3256C">
        <w:rPr>
          <w:rFonts w:hint="cs"/>
          <w:sz w:val="24"/>
          <w:szCs w:val="24"/>
          <w:rtl/>
        </w:rPr>
        <w:t>הסיפה</w:t>
      </w:r>
      <w:proofErr w:type="spellEnd"/>
      <w:r w:rsidR="00B3256C">
        <w:rPr>
          <w:rFonts w:hint="cs"/>
          <w:sz w:val="24"/>
          <w:szCs w:val="24"/>
          <w:rtl/>
        </w:rPr>
        <w:t xml:space="preserve"> בתקנת משנה </w:t>
      </w:r>
      <w:r w:rsidR="00010336">
        <w:rPr>
          <w:rFonts w:hint="cs"/>
          <w:sz w:val="24"/>
          <w:szCs w:val="24"/>
          <w:rtl/>
        </w:rPr>
        <w:t>12(1) בשל הדרישה לציון "סוג ה</w:t>
      </w:r>
      <w:r w:rsidR="00C06224">
        <w:rPr>
          <w:rFonts w:hint="cs"/>
          <w:sz w:val="24"/>
          <w:szCs w:val="24"/>
          <w:rtl/>
        </w:rPr>
        <w:t>תוצרת", שכאמור הינה דרישת איכות</w:t>
      </w:r>
      <w:r>
        <w:rPr>
          <w:rFonts w:hint="cs"/>
          <w:sz w:val="24"/>
          <w:szCs w:val="24"/>
          <w:rtl/>
        </w:rPr>
        <w:t>, שהתייתרה</w:t>
      </w:r>
      <w:r w:rsidR="00C06224">
        <w:rPr>
          <w:rFonts w:hint="cs"/>
          <w:sz w:val="24"/>
          <w:szCs w:val="24"/>
          <w:rtl/>
        </w:rPr>
        <w:t xml:space="preserve">. </w:t>
      </w:r>
    </w:p>
    <w:p w:rsidR="001B640C" w:rsidRPr="00010336" w:rsidRDefault="001B640C" w:rsidP="00C06224">
      <w:pPr>
        <w:pStyle w:val="Hesber1st"/>
        <w:tabs>
          <w:tab w:val="clear" w:pos="680"/>
        </w:tabs>
        <w:autoSpaceDE w:val="0"/>
        <w:autoSpaceDN w:val="0"/>
        <w:adjustRightInd w:val="0"/>
        <w:ind w:left="368"/>
        <w:contextualSpacing w:val="0"/>
        <w:textAlignment w:val="center"/>
        <w:rPr>
          <w:sz w:val="24"/>
          <w:szCs w:val="24"/>
        </w:rPr>
      </w:pPr>
    </w:p>
    <w:p w:rsidR="002A3BD0" w:rsidRDefault="001B640C" w:rsidP="0014011E">
      <w:pPr>
        <w:contextualSpacing w:val="0"/>
        <w:rPr>
          <w:rtl/>
        </w:rPr>
      </w:pPr>
      <w:r>
        <w:rPr>
          <w:rFonts w:hint="cs"/>
          <w:b/>
          <w:bCs/>
          <w:rtl/>
        </w:rPr>
        <w:t xml:space="preserve">לתקנה 4 - </w:t>
      </w:r>
      <w:r w:rsidR="002A3BD0" w:rsidRPr="009C14E1">
        <w:rPr>
          <w:rFonts w:hint="cs"/>
          <w:b/>
          <w:bCs/>
          <w:rtl/>
        </w:rPr>
        <w:t>תיקון תקנה 14 לתקנות העיקריות</w:t>
      </w:r>
      <w:r w:rsidR="00C06224">
        <w:rPr>
          <w:rtl/>
        </w:rPr>
        <w:t>–</w:t>
      </w:r>
      <w:r w:rsidR="00C06224">
        <w:rPr>
          <w:rFonts w:hint="cs"/>
          <w:rtl/>
        </w:rPr>
        <w:t xml:space="preserve"> מוצע לבטל את המילים "לפי סוגים" </w:t>
      </w:r>
      <w:r w:rsidR="00B3256C">
        <w:rPr>
          <w:rFonts w:hint="cs"/>
          <w:rtl/>
        </w:rPr>
        <w:t>בתקנת משנה</w:t>
      </w:r>
      <w:r w:rsidR="0014011E">
        <w:rPr>
          <w:rFonts w:hint="cs"/>
          <w:rtl/>
        </w:rPr>
        <w:t xml:space="preserve"> 14(א), שעניינה חובת יצואן </w:t>
      </w:r>
      <w:r w:rsidR="00C06224">
        <w:rPr>
          <w:rFonts w:hint="cs"/>
          <w:rtl/>
        </w:rPr>
        <w:t>שתוצרתו נפסלה לארזה מחדש</w:t>
      </w:r>
      <w:r w:rsidR="0014011E">
        <w:rPr>
          <w:rFonts w:hint="cs"/>
          <w:rtl/>
        </w:rPr>
        <w:t>. כפי ש</w:t>
      </w:r>
      <w:r w:rsidR="00C06224">
        <w:rPr>
          <w:rFonts w:hint="cs"/>
          <w:rtl/>
        </w:rPr>
        <w:t>צוין לעיל, דרישת הסיווג הינה דרישת איכות</w:t>
      </w:r>
      <w:r w:rsidR="0014011E">
        <w:rPr>
          <w:rFonts w:hint="cs"/>
          <w:rtl/>
        </w:rPr>
        <w:t xml:space="preserve"> שהתייתרה</w:t>
      </w:r>
      <w:r w:rsidR="00C06224">
        <w:rPr>
          <w:rFonts w:hint="cs"/>
          <w:rtl/>
        </w:rPr>
        <w:t>.</w:t>
      </w:r>
    </w:p>
    <w:p w:rsidR="001B640C" w:rsidRPr="009C14E1" w:rsidRDefault="001B640C" w:rsidP="00C06224">
      <w:pPr>
        <w:contextualSpacing w:val="0"/>
        <w:rPr>
          <w:rFonts w:ascii="Times New Roman" w:hAnsi="Times New Roman" w:cs="Times New Roman"/>
        </w:rPr>
      </w:pPr>
    </w:p>
    <w:p w:rsidR="002A3BD0" w:rsidRDefault="001B640C" w:rsidP="001B640C">
      <w:pPr>
        <w:contextualSpacing w:val="0"/>
        <w:rPr>
          <w:rtl/>
        </w:rPr>
      </w:pPr>
      <w:r>
        <w:rPr>
          <w:rFonts w:hint="cs"/>
          <w:b/>
          <w:bCs/>
          <w:rtl/>
        </w:rPr>
        <w:t xml:space="preserve">לתקנה 5 - </w:t>
      </w:r>
      <w:r w:rsidR="002A3BD0" w:rsidRPr="009C14E1">
        <w:rPr>
          <w:rFonts w:hint="cs"/>
          <w:b/>
          <w:bCs/>
          <w:rtl/>
        </w:rPr>
        <w:t>תיקון תקנה 15 לתקנות העיקריות</w:t>
      </w:r>
      <w:r w:rsidR="00DD762A">
        <w:rPr>
          <w:rFonts w:hint="cs"/>
          <w:b/>
          <w:bCs/>
          <w:rtl/>
        </w:rPr>
        <w:t xml:space="preserve"> </w:t>
      </w:r>
      <w:r w:rsidR="00DD762A">
        <w:rPr>
          <w:rtl/>
        </w:rPr>
        <w:t>–</w:t>
      </w:r>
      <w:r w:rsidR="00DD762A">
        <w:rPr>
          <w:rFonts w:hint="cs"/>
          <w:rtl/>
        </w:rPr>
        <w:t xml:space="preserve"> מוצע לבטל </w:t>
      </w:r>
      <w:r>
        <w:rPr>
          <w:rFonts w:hint="cs"/>
          <w:rtl/>
        </w:rPr>
        <w:t>בתקנה</w:t>
      </w:r>
      <w:r w:rsidR="00DD762A">
        <w:rPr>
          <w:rFonts w:hint="cs"/>
          <w:rtl/>
        </w:rPr>
        <w:t xml:space="preserve"> 15(ב)(2) את </w:t>
      </w:r>
      <w:r>
        <w:rPr>
          <w:rFonts w:hint="cs"/>
          <w:rtl/>
        </w:rPr>
        <w:t>הדרישה</w:t>
      </w:r>
      <w:r w:rsidR="00DD762A">
        <w:rPr>
          <w:rFonts w:hint="cs"/>
          <w:rtl/>
        </w:rPr>
        <w:t xml:space="preserve"> לציין "מספר יחידות", "הסוג" ו"הגודל" בתעודת המשלוח, </w:t>
      </w:r>
      <w:r w:rsidR="0036282D">
        <w:rPr>
          <w:rFonts w:hint="cs"/>
          <w:rtl/>
        </w:rPr>
        <w:t>הנדרשת כאשר</w:t>
      </w:r>
      <w:r w:rsidR="00DD762A">
        <w:rPr>
          <w:rFonts w:hint="cs"/>
          <w:rtl/>
        </w:rPr>
        <w:t xml:space="preserve"> לא נבדקה התוצרת במקום הכנתה בידי שירות הביקורת. כאמור לעיל, דרישות אלו הינן דרישות איכות</w:t>
      </w:r>
      <w:r>
        <w:rPr>
          <w:rFonts w:hint="cs"/>
          <w:rtl/>
        </w:rPr>
        <w:t>, שהתייתרו</w:t>
      </w:r>
      <w:r w:rsidR="00DD762A">
        <w:rPr>
          <w:rFonts w:hint="cs"/>
          <w:rtl/>
        </w:rPr>
        <w:t xml:space="preserve">. </w:t>
      </w:r>
    </w:p>
    <w:p w:rsidR="001B640C" w:rsidRPr="009C14E1" w:rsidRDefault="001B640C" w:rsidP="0036282D">
      <w:pPr>
        <w:contextualSpacing w:val="0"/>
        <w:rPr>
          <w:rFonts w:ascii="Times New Roman" w:hAnsi="Times New Roman" w:cs="Times New Roman"/>
          <w:rtl/>
        </w:rPr>
      </w:pPr>
    </w:p>
    <w:p w:rsidR="00DE5475" w:rsidRDefault="001B640C" w:rsidP="001B640C">
      <w:pPr>
        <w:rPr>
          <w:rtl/>
        </w:rPr>
      </w:pPr>
      <w:r>
        <w:rPr>
          <w:rFonts w:hint="cs"/>
          <w:b/>
          <w:bCs/>
          <w:rtl/>
        </w:rPr>
        <w:t xml:space="preserve">לתקנה 6 </w:t>
      </w:r>
      <w:r>
        <w:rPr>
          <w:b/>
          <w:bCs/>
          <w:rtl/>
        </w:rPr>
        <w:t>–</w:t>
      </w:r>
      <w:r>
        <w:rPr>
          <w:rFonts w:hint="cs"/>
          <w:b/>
          <w:bCs/>
          <w:rtl/>
        </w:rPr>
        <w:t xml:space="preserve"> תיקון ה</w:t>
      </w:r>
      <w:r w:rsidR="006C097D">
        <w:rPr>
          <w:rFonts w:hint="cs"/>
          <w:b/>
          <w:bCs/>
          <w:rtl/>
        </w:rPr>
        <w:t xml:space="preserve">תוספת- </w:t>
      </w:r>
      <w:r w:rsidR="006C097D" w:rsidRPr="00875B95">
        <w:rPr>
          <w:rFonts w:hint="eastAsia"/>
          <w:rtl/>
        </w:rPr>
        <w:t>מוצע</w:t>
      </w:r>
      <w:r w:rsidR="006C097D" w:rsidRPr="00875B95">
        <w:rPr>
          <w:rtl/>
        </w:rPr>
        <w:t xml:space="preserve"> למחוק ב</w:t>
      </w:r>
      <w:r w:rsidR="00DE5475">
        <w:rPr>
          <w:rFonts w:hint="cs"/>
          <w:rtl/>
        </w:rPr>
        <w:t xml:space="preserve">סעיף 1 לתוספת </w:t>
      </w:r>
      <w:r>
        <w:rPr>
          <w:rFonts w:hint="cs"/>
          <w:rtl/>
        </w:rPr>
        <w:t>דרישות לבדיקת תוצרת שהן דרישות איכות שהתייתרו</w:t>
      </w:r>
      <w:r w:rsidR="00B050D3">
        <w:rPr>
          <w:rFonts w:hint="cs"/>
          <w:rtl/>
        </w:rPr>
        <w:t>.</w:t>
      </w:r>
    </w:p>
    <w:p w:rsidR="002A3BD0" w:rsidRPr="009C14E1" w:rsidRDefault="002A3BD0" w:rsidP="002A3BD0">
      <w:pPr>
        <w:rPr>
          <w:b/>
          <w:bCs/>
          <w:rtl/>
        </w:rPr>
      </w:pPr>
    </w:p>
    <w:p w:rsidR="00006E3F" w:rsidRDefault="00006E3F"/>
    <w:sectPr w:rsidR="00006E3F" w:rsidSect="00C30F17">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23" w:rsidRDefault="00234E23" w:rsidP="00C30F17">
      <w:pPr>
        <w:spacing w:line="240" w:lineRule="auto"/>
      </w:pPr>
      <w:r>
        <w:separator/>
      </w:r>
    </w:p>
  </w:endnote>
  <w:endnote w:type="continuationSeparator" w:id="0">
    <w:p w:rsidR="00234E23" w:rsidRDefault="00234E23" w:rsidP="00C30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23" w:rsidRDefault="00234E23" w:rsidP="00C30F17">
      <w:pPr>
        <w:spacing w:line="240" w:lineRule="auto"/>
        <w:ind w:left="0"/>
      </w:pPr>
      <w:r>
        <w:separator/>
      </w:r>
    </w:p>
  </w:footnote>
  <w:footnote w:type="continuationSeparator" w:id="0">
    <w:p w:rsidR="00234E23" w:rsidRDefault="00234E23" w:rsidP="00C30F17">
      <w:pPr>
        <w:spacing w:line="240" w:lineRule="auto"/>
      </w:pPr>
      <w:r>
        <w:continuationSeparator/>
      </w:r>
    </w:p>
  </w:footnote>
  <w:footnote w:id="1">
    <w:p w:rsidR="00E14F5F" w:rsidRDefault="00E14F5F">
      <w:pPr>
        <w:pStyle w:val="FootnoteText"/>
      </w:pPr>
      <w:r>
        <w:rPr>
          <w:rStyle w:val="FootnoteReference"/>
        </w:rPr>
        <w:footnoteRef/>
      </w:r>
      <w:r>
        <w:rPr>
          <w:rtl/>
        </w:rPr>
        <w:t xml:space="preserve"> </w:t>
      </w:r>
      <w:r>
        <w:rPr>
          <w:rFonts w:hint="cs"/>
          <w:rtl/>
        </w:rPr>
        <w:t xml:space="preserve">ס"ח </w:t>
      </w:r>
      <w:proofErr w:type="spellStart"/>
      <w:r>
        <w:rPr>
          <w:rFonts w:hint="cs"/>
          <w:rtl/>
        </w:rPr>
        <w:t>התשי"ד</w:t>
      </w:r>
      <w:proofErr w:type="spellEnd"/>
      <w:r>
        <w:rPr>
          <w:rFonts w:hint="cs"/>
          <w:rtl/>
        </w:rPr>
        <w:t>, עמ' 137</w:t>
      </w:r>
    </w:p>
  </w:footnote>
  <w:footnote w:id="2">
    <w:p w:rsidR="00C30F17" w:rsidRDefault="00C30F17">
      <w:pPr>
        <w:pStyle w:val="FootnoteText"/>
      </w:pPr>
      <w:r>
        <w:rPr>
          <w:rStyle w:val="FootnoteReference"/>
        </w:rPr>
        <w:footnoteRef/>
      </w:r>
      <w:r>
        <w:rPr>
          <w:rtl/>
        </w:rPr>
        <w:t xml:space="preserve"> </w:t>
      </w:r>
      <w:r>
        <w:t xml:space="preserve"> </w:t>
      </w:r>
      <w:proofErr w:type="spellStart"/>
      <w:r>
        <w:rPr>
          <w:rFonts w:hint="cs"/>
          <w:rtl/>
        </w:rPr>
        <w:t>ק"ת</w:t>
      </w:r>
      <w:proofErr w:type="spellEnd"/>
      <w:r>
        <w:rPr>
          <w:rFonts w:hint="cs"/>
          <w:rtl/>
        </w:rPr>
        <w:t xml:space="preserve"> </w:t>
      </w:r>
      <w:proofErr w:type="spellStart"/>
      <w:r>
        <w:rPr>
          <w:rFonts w:hint="cs"/>
          <w:rtl/>
        </w:rPr>
        <w:t>התשל"ט</w:t>
      </w:r>
      <w:proofErr w:type="spellEnd"/>
      <w:r>
        <w:rPr>
          <w:rFonts w:hint="cs"/>
          <w:rtl/>
        </w:rPr>
        <w:t>, עמ' 577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65460"/>
    <w:multiLevelType w:val="hybridMultilevel"/>
    <w:tmpl w:val="03D2F102"/>
    <w:lvl w:ilvl="0" w:tplc="68A2AF10">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E56FF3"/>
    <w:multiLevelType w:val="hybridMultilevel"/>
    <w:tmpl w:val="902C5968"/>
    <w:lvl w:ilvl="0" w:tplc="E794CEBC">
      <w:start w:val="1"/>
      <w:numFmt w:val="hebrew1"/>
      <w:lvlText w:val="%1."/>
      <w:lvlJc w:val="left"/>
      <w:pPr>
        <w:ind w:left="1080" w:hanging="360"/>
      </w:pPr>
      <w:rPr>
        <w:sz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7D7EA7"/>
    <w:multiLevelType w:val="hybridMultilevel"/>
    <w:tmpl w:val="2A42A214"/>
    <w:lvl w:ilvl="0" w:tplc="E6CCC2F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6178F"/>
    <w:multiLevelType w:val="multilevel"/>
    <w:tmpl w:val="6A0A7468"/>
    <w:lvl w:ilvl="0">
      <w:start w:val="1"/>
      <w:numFmt w:val="hebrew1"/>
      <w:pStyle w:val="a"/>
      <w:lvlText w:val="%1."/>
      <w:lvlJc w:val="right"/>
      <w:pPr>
        <w:tabs>
          <w:tab w:val="num" w:pos="510"/>
        </w:tabs>
        <w:ind w:left="510" w:right="737" w:hanging="510"/>
      </w:pPr>
      <w:rPr>
        <w:rFonts w:hint="default"/>
        <w:b/>
        <w:bCs/>
      </w:rPr>
    </w:lvl>
    <w:lvl w:ilvl="1">
      <w:start w:val="1"/>
      <w:numFmt w:val="decimal"/>
      <w:lvlRestart w:val="0"/>
      <w:pStyle w:val="2"/>
      <w:lvlText w:val="%2."/>
      <w:lvlJc w:val="right"/>
      <w:pPr>
        <w:tabs>
          <w:tab w:val="num" w:pos="1191"/>
        </w:tabs>
        <w:ind w:left="1191" w:right="1418" w:hanging="511"/>
      </w:pPr>
      <w:rPr>
        <w:rFonts w:hint="default"/>
      </w:rPr>
    </w:lvl>
    <w:lvl w:ilvl="2">
      <w:start w:val="1"/>
      <w:numFmt w:val="hebrew1"/>
      <w:pStyle w:val="3"/>
      <w:lvlText w:val="%3)"/>
      <w:lvlJc w:val="right"/>
      <w:pPr>
        <w:tabs>
          <w:tab w:val="num" w:pos="1928"/>
        </w:tabs>
        <w:ind w:left="1928" w:right="2155" w:hanging="511"/>
      </w:pPr>
      <w:rPr>
        <w:rFonts w:hint="default"/>
      </w:rPr>
    </w:lvl>
    <w:lvl w:ilvl="3">
      <w:start w:val="1"/>
      <w:numFmt w:val="decimal"/>
      <w:pStyle w:val="4"/>
      <w:lvlText w:val="(%4)"/>
      <w:lvlJc w:val="right"/>
      <w:pPr>
        <w:tabs>
          <w:tab w:val="num" w:pos="2665"/>
        </w:tabs>
        <w:ind w:left="2665" w:right="2892" w:hanging="454"/>
      </w:pPr>
      <w:rPr>
        <w:rFonts w:hint="default"/>
      </w:rPr>
    </w:lvl>
    <w:lvl w:ilvl="4">
      <w:start w:val="1"/>
      <w:numFmt w:val="hebrew1"/>
      <w:lvlRestart w:val="0"/>
      <w:pStyle w:val="5"/>
      <w:lvlText w:val="(%5)"/>
      <w:lvlJc w:val="right"/>
      <w:pPr>
        <w:tabs>
          <w:tab w:val="num" w:pos="3402"/>
        </w:tabs>
        <w:ind w:left="3402" w:right="3629" w:hanging="454"/>
      </w:pPr>
      <w:rPr>
        <w:rFonts w:hint="default"/>
      </w:rPr>
    </w:lvl>
    <w:lvl w:ilvl="5">
      <w:start w:val="1"/>
      <w:numFmt w:val="lowerRoman"/>
      <w:lvlText w:val="(%6)"/>
      <w:lvlJc w:val="left"/>
      <w:pPr>
        <w:tabs>
          <w:tab w:val="num" w:pos="2293"/>
        </w:tabs>
        <w:ind w:left="1933" w:right="2160" w:hanging="360"/>
      </w:pPr>
      <w:rPr>
        <w:rFonts w:hint="default"/>
      </w:rPr>
    </w:lvl>
    <w:lvl w:ilvl="6">
      <w:start w:val="1"/>
      <w:numFmt w:val="decimal"/>
      <w:lvlText w:val="%7."/>
      <w:lvlJc w:val="left"/>
      <w:pPr>
        <w:tabs>
          <w:tab w:val="num" w:pos="2293"/>
        </w:tabs>
        <w:ind w:left="2293" w:right="2520" w:hanging="360"/>
      </w:pPr>
      <w:rPr>
        <w:rFonts w:hint="default"/>
      </w:rPr>
    </w:lvl>
    <w:lvl w:ilvl="7">
      <w:start w:val="1"/>
      <w:numFmt w:val="lowerLetter"/>
      <w:lvlText w:val="%8."/>
      <w:lvlJc w:val="left"/>
      <w:pPr>
        <w:tabs>
          <w:tab w:val="num" w:pos="2653"/>
        </w:tabs>
        <w:ind w:left="2653" w:right="2880" w:hanging="360"/>
      </w:pPr>
      <w:rPr>
        <w:rFonts w:hint="default"/>
      </w:rPr>
    </w:lvl>
    <w:lvl w:ilvl="8">
      <w:start w:val="1"/>
      <w:numFmt w:val="lowerRoman"/>
      <w:lvlText w:val="%9."/>
      <w:lvlJc w:val="left"/>
      <w:pPr>
        <w:tabs>
          <w:tab w:val="num" w:pos="3373"/>
        </w:tabs>
        <w:ind w:left="3013" w:right="3240" w:hanging="360"/>
      </w:pPr>
      <w:rPr>
        <w:rFonts w:hint="default"/>
      </w:rPr>
    </w:lvl>
  </w:abstractNum>
  <w:abstractNum w:abstractNumId="16" w15:restartNumberingAfterBreak="0">
    <w:nsid w:val="555A2B35"/>
    <w:multiLevelType w:val="hybridMultilevel"/>
    <w:tmpl w:val="F61ADD04"/>
    <w:lvl w:ilvl="0" w:tplc="EFC26F30">
      <w:start w:val="1"/>
      <w:numFmt w:val="hebrew1"/>
      <w:pStyle w:val="Heading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2A5774D"/>
    <w:multiLevelType w:val="hybridMultilevel"/>
    <w:tmpl w:val="106EB858"/>
    <w:lvl w:ilvl="0" w:tplc="F9FE1480">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3"/>
  </w:num>
  <w:num w:numId="6">
    <w:abstractNumId w:val="20"/>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2"/>
  </w:num>
  <w:num w:numId="19">
    <w:abstractNumId w:val="17"/>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7"/>
    <w:rsid w:val="00006E3F"/>
    <w:rsid w:val="00010336"/>
    <w:rsid w:val="0014011E"/>
    <w:rsid w:val="00151C02"/>
    <w:rsid w:val="00173E6B"/>
    <w:rsid w:val="001A3321"/>
    <w:rsid w:val="001B640C"/>
    <w:rsid w:val="00234E23"/>
    <w:rsid w:val="00281256"/>
    <w:rsid w:val="00291389"/>
    <w:rsid w:val="002A3BD0"/>
    <w:rsid w:val="002F765B"/>
    <w:rsid w:val="00355CE0"/>
    <w:rsid w:val="0036282D"/>
    <w:rsid w:val="00381230"/>
    <w:rsid w:val="003A3944"/>
    <w:rsid w:val="003B0C8E"/>
    <w:rsid w:val="003C1898"/>
    <w:rsid w:val="003C6A31"/>
    <w:rsid w:val="00400A9F"/>
    <w:rsid w:val="0041463C"/>
    <w:rsid w:val="00416CF1"/>
    <w:rsid w:val="00422E42"/>
    <w:rsid w:val="0042775D"/>
    <w:rsid w:val="0045058E"/>
    <w:rsid w:val="00477BB7"/>
    <w:rsid w:val="004907DA"/>
    <w:rsid w:val="004F07B3"/>
    <w:rsid w:val="005C57EC"/>
    <w:rsid w:val="006C097D"/>
    <w:rsid w:val="006C1365"/>
    <w:rsid w:val="00710363"/>
    <w:rsid w:val="007135F6"/>
    <w:rsid w:val="007838EB"/>
    <w:rsid w:val="007F256A"/>
    <w:rsid w:val="00875B95"/>
    <w:rsid w:val="008E6635"/>
    <w:rsid w:val="00914843"/>
    <w:rsid w:val="00915CAA"/>
    <w:rsid w:val="009622EC"/>
    <w:rsid w:val="00970FCD"/>
    <w:rsid w:val="009C14E1"/>
    <w:rsid w:val="00A12946"/>
    <w:rsid w:val="00A20EBA"/>
    <w:rsid w:val="00A67CF6"/>
    <w:rsid w:val="00A83DF5"/>
    <w:rsid w:val="00B03D3B"/>
    <w:rsid w:val="00B050D3"/>
    <w:rsid w:val="00B3256C"/>
    <w:rsid w:val="00B5123D"/>
    <w:rsid w:val="00B718C0"/>
    <w:rsid w:val="00B8071E"/>
    <w:rsid w:val="00BA5388"/>
    <w:rsid w:val="00BE1C2D"/>
    <w:rsid w:val="00BF77AF"/>
    <w:rsid w:val="00C06224"/>
    <w:rsid w:val="00C30F17"/>
    <w:rsid w:val="00C833B5"/>
    <w:rsid w:val="00CA05D9"/>
    <w:rsid w:val="00CB6159"/>
    <w:rsid w:val="00CD0E1C"/>
    <w:rsid w:val="00CE5ED0"/>
    <w:rsid w:val="00D34FDB"/>
    <w:rsid w:val="00D950FF"/>
    <w:rsid w:val="00DD762A"/>
    <w:rsid w:val="00DE2C95"/>
    <w:rsid w:val="00DE2EF1"/>
    <w:rsid w:val="00DE5475"/>
    <w:rsid w:val="00E14F5F"/>
    <w:rsid w:val="00F04429"/>
    <w:rsid w:val="00F11073"/>
    <w:rsid w:val="00F1250D"/>
    <w:rsid w:val="00F25186"/>
    <w:rsid w:val="00F66AF1"/>
    <w:rsid w:val="00F66E4E"/>
    <w:rsid w:val="00FB4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E178-51F6-4226-88A7-656B36F0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7"/>
    <w:pPr>
      <w:widowControl w:val="0"/>
      <w:bidi/>
      <w:spacing w:after="0" w:line="360" w:lineRule="auto"/>
      <w:ind w:left="340"/>
      <w:contextualSpacing/>
      <w:jc w:val="both"/>
    </w:pPr>
    <w:rPr>
      <w:rFonts w:ascii="David" w:hAnsi="David" w:cs="David"/>
      <w:sz w:val="24"/>
      <w:szCs w:val="24"/>
    </w:rPr>
  </w:style>
  <w:style w:type="paragraph" w:styleId="Heading1">
    <w:name w:val="heading 1"/>
    <w:basedOn w:val="Normal"/>
    <w:next w:val="Normal"/>
    <w:link w:val="Heading1Char"/>
    <w:uiPriority w:val="9"/>
    <w:qFormat/>
    <w:rsid w:val="00C30F17"/>
    <w:pPr>
      <w:keepNext/>
      <w:keepLines/>
      <w:spacing w:before="240"/>
      <w:jc w:val="center"/>
      <w:outlineLvl w:val="0"/>
    </w:pPr>
    <w:rPr>
      <w:rFonts w:asciiTheme="majorHAnsi" w:eastAsiaTheme="majorEastAsia" w:hAnsiTheme="majorHAnsi"/>
      <w:bCs/>
      <w:sz w:val="32"/>
      <w:szCs w:val="36"/>
    </w:rPr>
  </w:style>
  <w:style w:type="paragraph" w:styleId="Heading2">
    <w:name w:val="heading 2"/>
    <w:basedOn w:val="Normal"/>
    <w:next w:val="Normal"/>
    <w:link w:val="Heading2Char"/>
    <w:unhideWhenUsed/>
    <w:qFormat/>
    <w:rsid w:val="00C30F17"/>
    <w:pPr>
      <w:ind w:left="0"/>
      <w:jc w:val="left"/>
      <w:outlineLvl w:val="1"/>
    </w:pPr>
    <w:rPr>
      <w:rFonts w:asciiTheme="majorHAnsi" w:eastAsiaTheme="majorEastAsia" w:hAnsiTheme="majorHAnsi"/>
      <w:bCs/>
      <w:sz w:val="26"/>
      <w:szCs w:val="36"/>
      <w:u w:val="single"/>
    </w:rPr>
  </w:style>
  <w:style w:type="paragraph" w:styleId="Heading3">
    <w:name w:val="heading 3"/>
    <w:basedOn w:val="Normal"/>
    <w:next w:val="Normal"/>
    <w:link w:val="Heading3Char"/>
    <w:unhideWhenUsed/>
    <w:qFormat/>
    <w:rsid w:val="00C30F17"/>
    <w:pPr>
      <w:spacing w:before="40"/>
      <w:ind w:left="0"/>
      <w:jc w:val="left"/>
      <w:outlineLvl w:val="2"/>
    </w:pPr>
    <w:rPr>
      <w:rFonts w:asciiTheme="majorHAnsi" w:eastAsiaTheme="majorEastAsia" w:hAnsiTheme="majorHAnsi"/>
      <w:szCs w:val="28"/>
      <w:u w:val="double"/>
    </w:rPr>
  </w:style>
  <w:style w:type="paragraph" w:styleId="Heading4">
    <w:name w:val="heading 4"/>
    <w:basedOn w:val="Normal"/>
    <w:next w:val="Normal"/>
    <w:link w:val="Heading4Char"/>
    <w:uiPriority w:val="9"/>
    <w:unhideWhenUsed/>
    <w:qFormat/>
    <w:rsid w:val="00C30F17"/>
    <w:pPr>
      <w:numPr>
        <w:numId w:val="1"/>
      </w:numPr>
      <w:spacing w:before="40" w:after="120"/>
      <w:outlineLvl w:val="3"/>
    </w:pPr>
    <w:rPr>
      <w:b/>
      <w:bCs/>
      <w:color w:val="000000" w:themeColor="text1"/>
      <w:szCs w:val="28"/>
    </w:rPr>
  </w:style>
  <w:style w:type="paragraph" w:styleId="Heading5">
    <w:name w:val="heading 5"/>
    <w:basedOn w:val="Normal"/>
    <w:next w:val="Normal"/>
    <w:link w:val="Heading5Char"/>
    <w:uiPriority w:val="9"/>
    <w:unhideWhenUsed/>
    <w:qFormat/>
    <w:rsid w:val="00C30F17"/>
    <w:pPr>
      <w:spacing w:line="259" w:lineRule="auto"/>
      <w:outlineLvl w:val="4"/>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17"/>
    <w:rPr>
      <w:rFonts w:asciiTheme="majorHAnsi" w:eastAsiaTheme="majorEastAsia" w:hAnsiTheme="majorHAnsi" w:cs="David"/>
      <w:bCs/>
      <w:sz w:val="32"/>
      <w:szCs w:val="36"/>
    </w:rPr>
  </w:style>
  <w:style w:type="character" w:customStyle="1" w:styleId="Heading4Char">
    <w:name w:val="Heading 4 Char"/>
    <w:basedOn w:val="DefaultParagraphFont"/>
    <w:link w:val="Heading4"/>
    <w:uiPriority w:val="9"/>
    <w:rsid w:val="00C30F17"/>
    <w:rPr>
      <w:rFonts w:ascii="David" w:hAnsi="David" w:cs="David"/>
      <w:b/>
      <w:bCs/>
      <w:color w:val="000000" w:themeColor="text1"/>
      <w:sz w:val="24"/>
      <w:szCs w:val="28"/>
    </w:rPr>
  </w:style>
  <w:style w:type="paragraph" w:customStyle="1" w:styleId="TableText">
    <w:name w:val="Table Text"/>
    <w:basedOn w:val="Normal"/>
    <w:rsid w:val="00C30F17"/>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C30F17"/>
    <w:pPr>
      <w:outlineLvl w:val="2"/>
    </w:pPr>
  </w:style>
  <w:style w:type="paragraph" w:customStyle="1" w:styleId="TableBlock">
    <w:name w:val="Table Block"/>
    <w:basedOn w:val="TableText"/>
    <w:rsid w:val="00C30F17"/>
    <w:pPr>
      <w:jc w:val="both"/>
    </w:pPr>
  </w:style>
  <w:style w:type="paragraph" w:customStyle="1" w:styleId="TableHead">
    <w:name w:val="Table Head"/>
    <w:basedOn w:val="TableText"/>
    <w:rsid w:val="00C30F17"/>
    <w:pPr>
      <w:jc w:val="center"/>
      <w:outlineLvl w:val="1"/>
    </w:pPr>
    <w:rPr>
      <w:b/>
      <w:bCs/>
    </w:rPr>
  </w:style>
  <w:style w:type="paragraph" w:customStyle="1" w:styleId="HeadMitparsemetBaze">
    <w:name w:val="Head MitparsemetBaze"/>
    <w:basedOn w:val="Normal"/>
    <w:rsid w:val="00C30F17"/>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Normal"/>
    <w:rsid w:val="00C30F17"/>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C30F17"/>
    <w:pPr>
      <w:tabs>
        <w:tab w:val="left" w:pos="680"/>
        <w:tab w:val="left" w:pos="1020"/>
      </w:tabs>
      <w:ind w:firstLine="0"/>
    </w:pPr>
  </w:style>
  <w:style w:type="paragraph" w:customStyle="1" w:styleId="HeadDivreiHesber">
    <w:name w:val="Head DivreiHesber"/>
    <w:basedOn w:val="Normal"/>
    <w:rsid w:val="00C30F17"/>
    <w:pPr>
      <w:snapToGrid w:val="0"/>
      <w:spacing w:before="360" w:after="120"/>
      <w:jc w:val="center"/>
      <w:outlineLvl w:val="1"/>
    </w:pPr>
    <w:rPr>
      <w:rFonts w:ascii="Arial" w:eastAsia="Arial Unicode MS" w:hAnsi="Arial"/>
      <w:b/>
      <w:snapToGrid w:val="0"/>
      <w:spacing w:val="40"/>
      <w:sz w:val="20"/>
      <w:szCs w:val="26"/>
    </w:rPr>
  </w:style>
  <w:style w:type="character" w:customStyle="1" w:styleId="Heading2Char">
    <w:name w:val="Heading 2 Char"/>
    <w:basedOn w:val="DefaultParagraphFont"/>
    <w:link w:val="Heading2"/>
    <w:rsid w:val="00C30F17"/>
    <w:rPr>
      <w:rFonts w:asciiTheme="majorHAnsi" w:eastAsiaTheme="majorEastAsia" w:hAnsiTheme="majorHAnsi" w:cs="David"/>
      <w:bCs/>
      <w:sz w:val="26"/>
      <w:szCs w:val="36"/>
      <w:u w:val="single"/>
    </w:rPr>
  </w:style>
  <w:style w:type="character" w:customStyle="1" w:styleId="Heading3Char">
    <w:name w:val="Heading 3 Char"/>
    <w:basedOn w:val="DefaultParagraphFont"/>
    <w:link w:val="Heading3"/>
    <w:rsid w:val="00C30F17"/>
    <w:rPr>
      <w:rFonts w:asciiTheme="majorHAnsi" w:eastAsiaTheme="majorEastAsia" w:hAnsiTheme="majorHAnsi" w:cs="David"/>
      <w:sz w:val="24"/>
      <w:szCs w:val="28"/>
      <w:u w:val="double"/>
    </w:rPr>
  </w:style>
  <w:style w:type="character" w:customStyle="1" w:styleId="Heading5Char">
    <w:name w:val="Heading 5 Char"/>
    <w:basedOn w:val="DefaultParagraphFont"/>
    <w:link w:val="Heading5"/>
    <w:uiPriority w:val="9"/>
    <w:rsid w:val="00C30F17"/>
    <w:rPr>
      <w:rFonts w:ascii="David" w:hAnsi="David" w:cs="David"/>
      <w:color w:val="000000" w:themeColor="text1"/>
      <w:sz w:val="24"/>
      <w:szCs w:val="24"/>
    </w:rPr>
  </w:style>
  <w:style w:type="paragraph" w:customStyle="1" w:styleId="HeadHatzaotHok4Futer">
    <w:name w:val="Head HatzaotHok4Futer"/>
    <w:basedOn w:val="HeadHatzaotHok"/>
    <w:rsid w:val="00C30F17"/>
    <w:pPr>
      <w:spacing w:before="120" w:after="120"/>
    </w:pPr>
    <w:rPr>
      <w:color w:val="FF0000"/>
      <w:w w:val="80"/>
    </w:rPr>
  </w:style>
  <w:style w:type="paragraph" w:styleId="EndnoteText">
    <w:name w:val="endnote text"/>
    <w:basedOn w:val="Normal"/>
    <w:link w:val="EndnoteTextChar"/>
    <w:semiHidden/>
    <w:rsid w:val="00C30F17"/>
    <w:pPr>
      <w:ind w:left="227" w:hanging="227"/>
    </w:pPr>
    <w:rPr>
      <w:sz w:val="14"/>
      <w:szCs w:val="22"/>
    </w:rPr>
  </w:style>
  <w:style w:type="character" w:customStyle="1" w:styleId="EndnoteTextChar">
    <w:name w:val="Endnote Text Char"/>
    <w:basedOn w:val="DefaultParagraphFont"/>
    <w:link w:val="EndnoteText"/>
    <w:semiHidden/>
    <w:rsid w:val="00C30F17"/>
    <w:rPr>
      <w:rFonts w:ascii="David" w:hAnsi="David" w:cs="David"/>
      <w:sz w:val="14"/>
    </w:rPr>
  </w:style>
  <w:style w:type="paragraph" w:customStyle="1" w:styleId="TableInnerSideHeading">
    <w:name w:val="Table InnerSideHeading"/>
    <w:basedOn w:val="TableSideHeading"/>
    <w:rsid w:val="00C30F17"/>
    <w:pPr>
      <w:outlineLvl w:val="9"/>
    </w:pPr>
  </w:style>
  <w:style w:type="paragraph" w:customStyle="1" w:styleId="Hesber">
    <w:name w:val="Hesber"/>
    <w:basedOn w:val="Normal"/>
    <w:rsid w:val="00C30F17"/>
    <w:pPr>
      <w:snapToGrid w:val="0"/>
      <w:ind w:left="0" w:firstLine="340"/>
    </w:pPr>
    <w:rPr>
      <w:rFonts w:ascii="Arial" w:eastAsia="Arial Unicode MS" w:hAnsi="Arial"/>
      <w:snapToGrid w:val="0"/>
      <w:sz w:val="20"/>
      <w:szCs w:val="26"/>
    </w:rPr>
  </w:style>
  <w:style w:type="paragraph" w:styleId="FootnoteText">
    <w:name w:val="footnote text"/>
    <w:basedOn w:val="Normal"/>
    <w:link w:val="FootnoteTextChar"/>
    <w:autoRedefine/>
    <w:semiHidden/>
    <w:rsid w:val="00C30F17"/>
    <w:pPr>
      <w:snapToGrid w:val="0"/>
      <w:spacing w:line="240" w:lineRule="auto"/>
      <w:ind w:left="0"/>
      <w:jc w:val="left"/>
    </w:pPr>
    <w:rPr>
      <w:rFonts w:ascii="Arial" w:eastAsia="Arial Unicode MS" w:hAnsi="Arial"/>
      <w:snapToGrid w:val="0"/>
      <w:sz w:val="14"/>
      <w:szCs w:val="20"/>
    </w:rPr>
  </w:style>
  <w:style w:type="character" w:customStyle="1" w:styleId="FootnoteTextChar">
    <w:name w:val="Footnote Text Char"/>
    <w:basedOn w:val="DefaultParagraphFont"/>
    <w:link w:val="FootnoteText"/>
    <w:semiHidden/>
    <w:rsid w:val="00C30F17"/>
    <w:rPr>
      <w:rFonts w:ascii="Arial" w:eastAsia="Arial Unicode MS" w:hAnsi="Arial" w:cs="David"/>
      <w:snapToGrid w:val="0"/>
      <w:sz w:val="14"/>
      <w:szCs w:val="20"/>
    </w:rPr>
  </w:style>
  <w:style w:type="character" w:styleId="FootnoteReference">
    <w:name w:val="footnote reference"/>
    <w:basedOn w:val="DefaultParagraphFont"/>
    <w:semiHidden/>
    <w:rsid w:val="00C30F17"/>
    <w:rPr>
      <w:vertAlign w:val="superscript"/>
    </w:rPr>
  </w:style>
  <w:style w:type="paragraph" w:customStyle="1" w:styleId="HesberHeading">
    <w:name w:val="Hesber Heading"/>
    <w:basedOn w:val="Hesber"/>
    <w:rsid w:val="00C30F17"/>
    <w:pPr>
      <w:tabs>
        <w:tab w:val="left" w:pos="624"/>
        <w:tab w:val="left" w:pos="1247"/>
      </w:tabs>
    </w:pPr>
    <w:rPr>
      <w:b/>
      <w:bCs/>
    </w:rPr>
  </w:style>
  <w:style w:type="paragraph" w:customStyle="1" w:styleId="HesberWriters">
    <w:name w:val="Hesber Writers"/>
    <w:basedOn w:val="Hesber"/>
    <w:rsid w:val="00C30F17"/>
    <w:pPr>
      <w:spacing w:before="120" w:after="120"/>
      <w:ind w:left="1418"/>
      <w:jc w:val="right"/>
    </w:pPr>
    <w:rPr>
      <w:b/>
      <w:bCs/>
    </w:rPr>
  </w:style>
  <w:style w:type="character" w:styleId="EndnoteReference">
    <w:name w:val="endnote reference"/>
    <w:basedOn w:val="DefaultParagraphFont"/>
    <w:semiHidden/>
    <w:rsid w:val="00C30F17"/>
    <w:rPr>
      <w:vertAlign w:val="superscript"/>
    </w:rPr>
  </w:style>
  <w:style w:type="paragraph" w:customStyle="1" w:styleId="TableBlockOutdent">
    <w:name w:val="Table BlockOutdent"/>
    <w:basedOn w:val="TableBlock"/>
    <w:rsid w:val="00C30F17"/>
    <w:pPr>
      <w:ind w:left="624" w:hanging="624"/>
    </w:pPr>
  </w:style>
  <w:style w:type="paragraph" w:styleId="Header">
    <w:name w:val="header"/>
    <w:basedOn w:val="Normal"/>
    <w:link w:val="HeaderChar"/>
    <w:rsid w:val="00C30F17"/>
    <w:pPr>
      <w:tabs>
        <w:tab w:val="center" w:pos="4153"/>
        <w:tab w:val="right" w:pos="8306"/>
      </w:tabs>
    </w:pPr>
  </w:style>
  <w:style w:type="character" w:customStyle="1" w:styleId="HeaderChar">
    <w:name w:val="Header Char"/>
    <w:basedOn w:val="DefaultParagraphFont"/>
    <w:link w:val="Header"/>
    <w:rsid w:val="00C30F17"/>
    <w:rPr>
      <w:rFonts w:ascii="David" w:hAnsi="David" w:cs="David"/>
      <w:sz w:val="24"/>
      <w:szCs w:val="24"/>
    </w:rPr>
  </w:style>
  <w:style w:type="paragraph" w:styleId="Footer">
    <w:name w:val="footer"/>
    <w:basedOn w:val="Normal"/>
    <w:link w:val="FooterChar"/>
    <w:rsid w:val="00C30F17"/>
    <w:pPr>
      <w:tabs>
        <w:tab w:val="center" w:pos="4153"/>
        <w:tab w:val="right" w:pos="8306"/>
      </w:tabs>
    </w:pPr>
  </w:style>
  <w:style w:type="character" w:customStyle="1" w:styleId="FooterChar">
    <w:name w:val="Footer Char"/>
    <w:basedOn w:val="DefaultParagraphFont"/>
    <w:link w:val="Footer"/>
    <w:rsid w:val="00C30F17"/>
    <w:rPr>
      <w:rFonts w:ascii="David" w:hAnsi="David" w:cs="David"/>
      <w:sz w:val="24"/>
      <w:szCs w:val="24"/>
    </w:rPr>
  </w:style>
  <w:style w:type="character" w:styleId="PageNumber">
    <w:name w:val="page number"/>
    <w:basedOn w:val="DefaultParagraphFont"/>
    <w:rsid w:val="00C30F17"/>
  </w:style>
  <w:style w:type="paragraph" w:customStyle="1" w:styleId="Cover1-Reshumot">
    <w:name w:val="Cover 1-Reshumot"/>
    <w:basedOn w:val="Normal"/>
    <w:rsid w:val="00C30F17"/>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C30F17"/>
    <w:rPr>
      <w:sz w:val="36"/>
      <w:szCs w:val="52"/>
    </w:rPr>
  </w:style>
  <w:style w:type="paragraph" w:customStyle="1" w:styleId="Cover3-Haknesset">
    <w:name w:val="Cover 3-Haknesset"/>
    <w:basedOn w:val="Cover1-Reshumot"/>
    <w:rsid w:val="00C30F17"/>
    <w:rPr>
      <w:b/>
      <w:bCs/>
      <w:spacing w:val="60"/>
    </w:rPr>
  </w:style>
  <w:style w:type="paragraph" w:customStyle="1" w:styleId="Cover4-Date">
    <w:name w:val="Cover 4-Date"/>
    <w:basedOn w:val="Normal"/>
    <w:rsid w:val="00C30F17"/>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Normal"/>
    <w:rsid w:val="00C30F17"/>
    <w:pPr>
      <w:snapToGrid w:val="0"/>
      <w:jc w:val="left"/>
    </w:pPr>
    <w:rPr>
      <w:rFonts w:ascii="Arial" w:eastAsia="Arial Unicode MS" w:hAnsi="Arial"/>
      <w:snapToGrid w:val="0"/>
      <w:sz w:val="20"/>
      <w:szCs w:val="26"/>
    </w:rPr>
  </w:style>
  <w:style w:type="paragraph" w:styleId="TOCHeading">
    <w:name w:val="TOC Heading"/>
    <w:basedOn w:val="Heading1"/>
    <w:next w:val="Normal"/>
    <w:uiPriority w:val="39"/>
    <w:unhideWhenUsed/>
    <w:qFormat/>
    <w:rsid w:val="00C30F17"/>
    <w:pPr>
      <w:widowControl/>
      <w:spacing w:before="120" w:after="120"/>
      <w:outlineLvl w:val="9"/>
    </w:pPr>
    <w:rPr>
      <w:rtl/>
      <w:cs/>
    </w:rPr>
  </w:style>
  <w:style w:type="paragraph" w:styleId="TOC1">
    <w:name w:val="toc 1"/>
    <w:basedOn w:val="Normal"/>
    <w:next w:val="Normal"/>
    <w:autoRedefine/>
    <w:uiPriority w:val="39"/>
    <w:unhideWhenUsed/>
    <w:rsid w:val="00C30F17"/>
    <w:pPr>
      <w:tabs>
        <w:tab w:val="right" w:leader="dot" w:pos="9629"/>
      </w:tabs>
      <w:spacing w:after="100"/>
    </w:pPr>
    <w:rPr>
      <w:bCs/>
      <w:szCs w:val="22"/>
    </w:rPr>
  </w:style>
  <w:style w:type="paragraph" w:styleId="TOC2">
    <w:name w:val="toc 2"/>
    <w:basedOn w:val="Normal"/>
    <w:next w:val="Normal"/>
    <w:uiPriority w:val="39"/>
    <w:unhideWhenUsed/>
    <w:rsid w:val="00C30F17"/>
    <w:pPr>
      <w:tabs>
        <w:tab w:val="right" w:leader="dot" w:pos="9628"/>
      </w:tabs>
      <w:spacing w:after="100"/>
    </w:pPr>
    <w:rPr>
      <w:szCs w:val="22"/>
    </w:rPr>
  </w:style>
  <w:style w:type="character" w:styleId="Hyperlink">
    <w:name w:val="Hyperlink"/>
    <w:basedOn w:val="DefaultParagraphFont"/>
    <w:uiPriority w:val="99"/>
    <w:unhideWhenUsed/>
    <w:rsid w:val="00C30F17"/>
    <w:rPr>
      <w:color w:val="0000FF" w:themeColor="hyperlink"/>
      <w:u w:val="single"/>
    </w:rPr>
  </w:style>
  <w:style w:type="paragraph" w:styleId="TOC3">
    <w:name w:val="toc 3"/>
    <w:basedOn w:val="Normal"/>
    <w:next w:val="Normal"/>
    <w:uiPriority w:val="39"/>
    <w:unhideWhenUsed/>
    <w:rsid w:val="00C30F17"/>
    <w:pPr>
      <w:numPr>
        <w:numId w:val="19"/>
      </w:numPr>
      <w:tabs>
        <w:tab w:val="right" w:leader="dot" w:pos="9629"/>
      </w:tabs>
      <w:spacing w:after="100"/>
      <w:ind w:left="811" w:hanging="357"/>
    </w:pPr>
    <w:rPr>
      <w:szCs w:val="22"/>
    </w:rPr>
  </w:style>
  <w:style w:type="paragraph" w:styleId="TOC4">
    <w:name w:val="toc 4"/>
    <w:basedOn w:val="Normal"/>
    <w:next w:val="Normal"/>
    <w:autoRedefine/>
    <w:unhideWhenUsed/>
    <w:qFormat/>
    <w:rsid w:val="00C30F17"/>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Normal"/>
    <w:next w:val="Normal"/>
    <w:semiHidden/>
    <w:unhideWhenUsed/>
    <w:rsid w:val="00C30F17"/>
    <w:pPr>
      <w:tabs>
        <w:tab w:val="right" w:leader="dot" w:pos="9628"/>
      </w:tabs>
      <w:spacing w:after="100"/>
      <w:ind w:left="567"/>
    </w:pPr>
    <w:rPr>
      <w:szCs w:val="22"/>
    </w:rPr>
  </w:style>
  <w:style w:type="paragraph" w:styleId="TOC6">
    <w:name w:val="toc 6"/>
    <w:basedOn w:val="Normal"/>
    <w:next w:val="Normal"/>
    <w:autoRedefine/>
    <w:semiHidden/>
    <w:unhideWhenUsed/>
    <w:rsid w:val="00C30F17"/>
    <w:pPr>
      <w:spacing w:after="100"/>
      <w:ind w:left="850"/>
    </w:pPr>
  </w:style>
  <w:style w:type="paragraph" w:styleId="TOC7">
    <w:name w:val="toc 7"/>
    <w:basedOn w:val="Normal"/>
    <w:next w:val="Normal"/>
    <w:autoRedefine/>
    <w:semiHidden/>
    <w:unhideWhenUsed/>
    <w:rsid w:val="00C30F17"/>
    <w:pPr>
      <w:spacing w:after="100"/>
      <w:ind w:left="1020"/>
    </w:pPr>
  </w:style>
  <w:style w:type="paragraph" w:styleId="TOC8">
    <w:name w:val="toc 8"/>
    <w:basedOn w:val="Normal"/>
    <w:next w:val="Normal"/>
    <w:autoRedefine/>
    <w:semiHidden/>
    <w:unhideWhenUsed/>
    <w:rsid w:val="00C30F17"/>
    <w:pPr>
      <w:spacing w:after="100"/>
      <w:ind w:left="1190"/>
    </w:pPr>
  </w:style>
  <w:style w:type="paragraph" w:styleId="TOC9">
    <w:name w:val="toc 9"/>
    <w:basedOn w:val="Normal"/>
    <w:next w:val="Normal"/>
    <w:autoRedefine/>
    <w:semiHidden/>
    <w:unhideWhenUsed/>
    <w:rsid w:val="00C30F17"/>
    <w:pPr>
      <w:spacing w:after="100"/>
      <w:ind w:left="1360"/>
    </w:pPr>
  </w:style>
  <w:style w:type="paragraph" w:customStyle="1" w:styleId="TableHead2">
    <w:name w:val="Table Head2"/>
    <w:basedOn w:val="TableHead"/>
    <w:qFormat/>
    <w:rsid w:val="00C30F17"/>
    <w:pPr>
      <w:outlineLvl w:val="9"/>
    </w:pPr>
  </w:style>
  <w:style w:type="paragraph" w:customStyle="1" w:styleId="TableSideHeading2">
    <w:name w:val="Table SideHeading2"/>
    <w:basedOn w:val="TableSideHeading"/>
    <w:autoRedefine/>
    <w:qFormat/>
    <w:rsid w:val="00C30F17"/>
    <w:pPr>
      <w:keepLines w:val="0"/>
      <w:outlineLvl w:val="9"/>
    </w:pPr>
  </w:style>
  <w:style w:type="paragraph" w:customStyle="1" w:styleId="0">
    <w:name w:val="סגנון שורה ראשונה:  0  ס''מ"/>
    <w:basedOn w:val="Heading2"/>
    <w:rsid w:val="00C30F17"/>
    <w:rPr>
      <w:rFonts w:eastAsia="Times New Roman"/>
    </w:rPr>
  </w:style>
  <w:style w:type="paragraph" w:styleId="ListParagraph">
    <w:name w:val="List Paragraph"/>
    <w:basedOn w:val="Normal"/>
    <w:uiPriority w:val="34"/>
    <w:qFormat/>
    <w:rsid w:val="00C30F17"/>
    <w:pPr>
      <w:widowControl/>
      <w:spacing w:line="259" w:lineRule="auto"/>
    </w:pPr>
    <w:rPr>
      <w:rFonts w:asciiTheme="minorHAnsi" w:hAnsiTheme="minorHAnsi"/>
      <w:sz w:val="22"/>
    </w:rPr>
  </w:style>
  <w:style w:type="table" w:styleId="TableGrid">
    <w:name w:val="Table Grid"/>
    <w:basedOn w:val="TableNormal"/>
    <w:rsid w:val="00C30F1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ה רגילה 11"/>
    <w:basedOn w:val="TableNormal"/>
    <w:uiPriority w:val="41"/>
    <w:rsid w:val="00C30F1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טבלת רשת 1 בהירה1"/>
    <w:basedOn w:val="TableNormal"/>
    <w:uiPriority w:val="46"/>
    <w:rsid w:val="00C30F17"/>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0">
    <w:name w:val="טבלת חקיקה"/>
    <w:basedOn w:val="TableNormal"/>
    <w:uiPriority w:val="99"/>
    <w:rsid w:val="00C30F17"/>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
    <w:name w:val="סגנון1"/>
    <w:basedOn w:val="TableNormal"/>
    <w:uiPriority w:val="99"/>
    <w:rsid w:val="00C30F17"/>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big-header">
    <w:name w:val="big-header"/>
    <w:basedOn w:val="Normal"/>
    <w:rsid w:val="006C1365"/>
    <w:pPr>
      <w:keepNext/>
      <w:keepLines/>
      <w:tabs>
        <w:tab w:val="left" w:pos="624"/>
        <w:tab w:val="left" w:pos="1021"/>
        <w:tab w:val="left" w:pos="1474"/>
        <w:tab w:val="left" w:pos="1928"/>
        <w:tab w:val="left" w:pos="2381"/>
        <w:tab w:val="left" w:pos="2835"/>
      </w:tabs>
      <w:suppressAutoHyphens/>
      <w:autoSpaceDE w:val="0"/>
      <w:autoSpaceDN w:val="0"/>
      <w:spacing w:before="440" w:after="120" w:line="240" w:lineRule="auto"/>
      <w:ind w:left="2835"/>
      <w:contextualSpacing w:val="0"/>
      <w:jc w:val="center"/>
    </w:pPr>
    <w:rPr>
      <w:rFonts w:ascii="Times New Roman" w:eastAsia="Times New Roman" w:hAnsi="Times New Roman" w:cs="Times New Roman"/>
      <w:noProof/>
      <w:sz w:val="20"/>
      <w:szCs w:val="32"/>
      <w:lang w:eastAsia="he-IL"/>
    </w:rPr>
  </w:style>
  <w:style w:type="character" w:customStyle="1" w:styleId="default">
    <w:name w:val="default"/>
    <w:rsid w:val="006C1365"/>
    <w:rPr>
      <w:rFonts w:ascii="Times New Roman" w:hAnsi="Times New Roman" w:cs="Times New Roman" w:hint="default"/>
      <w:sz w:val="26"/>
      <w:szCs w:val="26"/>
    </w:rPr>
  </w:style>
  <w:style w:type="paragraph" w:customStyle="1" w:styleId="a">
    <w:name w:val="אותיות מדורג"/>
    <w:basedOn w:val="Normal"/>
    <w:rsid w:val="00DE2EF1"/>
    <w:pPr>
      <w:widowControl/>
      <w:numPr>
        <w:numId w:val="23"/>
      </w:numPr>
      <w:spacing w:before="120"/>
      <w:contextualSpacing w:val="0"/>
    </w:pPr>
    <w:rPr>
      <w:rFonts w:ascii="Times New Roman" w:eastAsia="Times New Roman" w:hAnsi="Times New Roman"/>
      <w:szCs w:val="26"/>
      <w:lang w:eastAsia="he-IL"/>
    </w:rPr>
  </w:style>
  <w:style w:type="paragraph" w:customStyle="1" w:styleId="2">
    <w:name w:val="אותיות מדורג 2"/>
    <w:basedOn w:val="a"/>
    <w:rsid w:val="00DE2EF1"/>
    <w:pPr>
      <w:numPr>
        <w:ilvl w:val="1"/>
      </w:numPr>
      <w:tabs>
        <w:tab w:val="clear" w:pos="1191"/>
        <w:tab w:val="num" w:pos="360"/>
      </w:tabs>
      <w:ind w:right="0"/>
    </w:pPr>
  </w:style>
  <w:style w:type="paragraph" w:customStyle="1" w:styleId="3">
    <w:name w:val="אותיות מדורג 3"/>
    <w:basedOn w:val="a"/>
    <w:rsid w:val="00DE2EF1"/>
    <w:pPr>
      <w:numPr>
        <w:ilvl w:val="2"/>
      </w:numPr>
      <w:tabs>
        <w:tab w:val="clear" w:pos="1928"/>
        <w:tab w:val="num" w:pos="360"/>
      </w:tabs>
      <w:ind w:right="0"/>
    </w:pPr>
  </w:style>
  <w:style w:type="paragraph" w:customStyle="1" w:styleId="4">
    <w:name w:val="אותיות מדורג 4"/>
    <w:basedOn w:val="a"/>
    <w:rsid w:val="00DE2EF1"/>
    <w:pPr>
      <w:numPr>
        <w:ilvl w:val="3"/>
      </w:numPr>
      <w:tabs>
        <w:tab w:val="clear" w:pos="2665"/>
        <w:tab w:val="num" w:pos="360"/>
      </w:tabs>
      <w:ind w:right="0"/>
    </w:pPr>
  </w:style>
  <w:style w:type="paragraph" w:customStyle="1" w:styleId="5">
    <w:name w:val="אותיות מדורג 5"/>
    <w:basedOn w:val="a"/>
    <w:rsid w:val="00DE2EF1"/>
    <w:pPr>
      <w:numPr>
        <w:ilvl w:val="4"/>
      </w:numPr>
      <w:tabs>
        <w:tab w:val="clear" w:pos="3402"/>
        <w:tab w:val="num" w:pos="360"/>
      </w:tabs>
      <w:ind w:left="510" w:right="0" w:hanging="510"/>
    </w:pPr>
  </w:style>
  <w:style w:type="character" w:styleId="FollowedHyperlink">
    <w:name w:val="FollowedHyperlink"/>
    <w:basedOn w:val="DefaultParagraphFont"/>
    <w:uiPriority w:val="99"/>
    <w:semiHidden/>
    <w:unhideWhenUsed/>
    <w:rsid w:val="007838EB"/>
    <w:rPr>
      <w:color w:val="800080" w:themeColor="followedHyperlink"/>
      <w:u w:val="single"/>
    </w:rPr>
  </w:style>
  <w:style w:type="paragraph" w:styleId="BalloonText">
    <w:name w:val="Balloon Text"/>
    <w:basedOn w:val="Normal"/>
    <w:link w:val="BalloonTextChar"/>
    <w:uiPriority w:val="99"/>
    <w:semiHidden/>
    <w:unhideWhenUsed/>
    <w:rsid w:val="006C09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97D"/>
    <w:rPr>
      <w:rFonts w:ascii="Tahoma" w:hAnsi="Tahoma" w:cs="Tahoma"/>
      <w:sz w:val="16"/>
      <w:szCs w:val="16"/>
    </w:rPr>
  </w:style>
  <w:style w:type="character" w:styleId="CommentReference">
    <w:name w:val="annotation reference"/>
    <w:basedOn w:val="DefaultParagraphFont"/>
    <w:uiPriority w:val="99"/>
    <w:semiHidden/>
    <w:unhideWhenUsed/>
    <w:rsid w:val="00875B95"/>
    <w:rPr>
      <w:sz w:val="16"/>
      <w:szCs w:val="16"/>
    </w:rPr>
  </w:style>
  <w:style w:type="paragraph" w:styleId="CommentText">
    <w:name w:val="annotation text"/>
    <w:basedOn w:val="Normal"/>
    <w:link w:val="CommentTextChar"/>
    <w:uiPriority w:val="99"/>
    <w:semiHidden/>
    <w:unhideWhenUsed/>
    <w:rsid w:val="00875B95"/>
    <w:pPr>
      <w:spacing w:line="240" w:lineRule="auto"/>
    </w:pPr>
    <w:rPr>
      <w:sz w:val="20"/>
      <w:szCs w:val="20"/>
    </w:rPr>
  </w:style>
  <w:style w:type="character" w:customStyle="1" w:styleId="CommentTextChar">
    <w:name w:val="Comment Text Char"/>
    <w:basedOn w:val="DefaultParagraphFont"/>
    <w:link w:val="CommentText"/>
    <w:uiPriority w:val="99"/>
    <w:semiHidden/>
    <w:rsid w:val="00875B95"/>
    <w:rPr>
      <w:rFonts w:ascii="David" w:hAnsi="David" w:cs="David"/>
      <w:sz w:val="20"/>
      <w:szCs w:val="20"/>
    </w:rPr>
  </w:style>
  <w:style w:type="paragraph" w:styleId="CommentSubject">
    <w:name w:val="annotation subject"/>
    <w:basedOn w:val="CommentText"/>
    <w:next w:val="CommentText"/>
    <w:link w:val="CommentSubjectChar"/>
    <w:uiPriority w:val="99"/>
    <w:semiHidden/>
    <w:unhideWhenUsed/>
    <w:rsid w:val="00875B95"/>
    <w:rPr>
      <w:b/>
      <w:bCs/>
    </w:rPr>
  </w:style>
  <w:style w:type="character" w:customStyle="1" w:styleId="CommentSubjectChar">
    <w:name w:val="Comment Subject Char"/>
    <w:basedOn w:val="CommentTextChar"/>
    <w:link w:val="CommentSubject"/>
    <w:uiPriority w:val="99"/>
    <w:semiHidden/>
    <w:rsid w:val="00875B95"/>
    <w:rPr>
      <w:rFonts w:ascii="David" w:hAnsi="David" w:cs="David"/>
      <w:b/>
      <w:bCs/>
      <w:sz w:val="20"/>
      <w:szCs w:val="20"/>
    </w:rPr>
  </w:style>
  <w:style w:type="paragraph" w:customStyle="1" w:styleId="P11">
    <w:name w:val="P11"/>
    <w:basedOn w:val="Normal"/>
    <w:rsid w:val="00E14F5F"/>
    <w:pPr>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contextualSpacing w:val="0"/>
    </w:pPr>
    <w:rPr>
      <w:rFonts w:ascii="Times New Roman" w:eastAsia="Times New Roman" w:hAnsi="Times New Roman" w:cs="Times New Roman"/>
      <w:noProof/>
      <w:sz w:val="20"/>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5622">
      <w:bodyDiv w:val="1"/>
      <w:marLeft w:val="0"/>
      <w:marRight w:val="0"/>
      <w:marTop w:val="0"/>
      <w:marBottom w:val="0"/>
      <w:divBdr>
        <w:top w:val="none" w:sz="0" w:space="0" w:color="auto"/>
        <w:left w:val="none" w:sz="0" w:space="0" w:color="auto"/>
        <w:bottom w:val="none" w:sz="0" w:space="0" w:color="auto"/>
        <w:right w:val="none" w:sz="0" w:space="0" w:color="auto"/>
      </w:divBdr>
    </w:div>
    <w:div w:id="12648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hiriT\Desktop\&#1514;&#1499;&#1504;&#1497;&#1514;%20&#1500;&#1492;&#1508;&#1495;&#1514;&#1514;%20&#1504;&#1496;&#1500;%20&#1512;&#1500;&#1490;&#1493;&#1500;&#1496;&#1493;&#1512;&#1497;%20&#1508;&#1497;&#1511;&#1493;&#1495;%20&#1506;&#1500;%20&#1497;&#1510;&#1493;&#1488;%20&#1514;&#1493;&#1510;&#1512;&#1514;%20&#1496;&#1512;&#1497;&#1497;&#149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45112</Ref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DFEE1-AED2-4ADC-A4B2-C0E339BE0375}">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7239A74C-F1EF-4889-B24C-7BC3E8B4C0E5}">
  <ds:schemaRefs>
    <ds:schemaRef ds:uri="http://schemas.microsoft.com/sharepoint/v3/contenttype/forms"/>
  </ds:schemaRefs>
</ds:datastoreItem>
</file>

<file path=customXml/itemProps3.xml><?xml version="1.0" encoding="utf-8"?>
<ds:datastoreItem xmlns:ds="http://schemas.openxmlformats.org/officeDocument/2006/customXml" ds:itemID="{D55B753C-21F7-4A47-B767-EAC942C37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76CEC4-864F-43B6-8465-7A51C77E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תקנות לפיקוח על ייצוא הצמח ומוצריו (תיקון), התשעט-2019.docx</vt: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תקנות לפיקוח על ייצוא הצמח ומוצריו (תיקון), התשעט-2019.docx</dc:title>
  <dc:creator>שירי טישלר-לסמן[Shiri Tishler-lesman]</dc:creator>
  <cp:lastModifiedBy>Tal Elovits</cp:lastModifiedBy>
  <cp:revision>2</cp:revision>
  <cp:lastPrinted>2019-05-19T14:43:00Z</cp:lastPrinted>
  <dcterms:created xsi:type="dcterms:W3CDTF">2019-05-20T06:55:00Z</dcterms:created>
  <dcterms:modified xsi:type="dcterms:W3CDTF">2019-05-20T06:55:00Z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