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2E" w:rsidRPr="00807DAF" w:rsidRDefault="00072029" w:rsidP="00536D2E">
      <w:pPr>
        <w:spacing w:before="100" w:beforeAutospacing="1"/>
        <w:jc w:val="center"/>
        <w:rPr>
          <w:noProof/>
          <w:lang w:val="fr-FR" w:eastAsia="fr-FR"/>
        </w:rPr>
      </w:pPr>
      <w:bookmarkStart w:id="0" w:name="_GoBack"/>
      <w:bookmarkEnd w:id="0"/>
      <w:r>
        <w:rPr>
          <w:noProof/>
          <w:lang w:val="en-US" w:bidi="he-IL"/>
        </w:rPr>
        <w:drawing>
          <wp:inline distT="0" distB="0" distL="0" distR="0">
            <wp:extent cx="1550035" cy="760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035" cy="760095"/>
                    </a:xfrm>
                    <a:prstGeom prst="rect">
                      <a:avLst/>
                    </a:prstGeom>
                    <a:noFill/>
                    <a:ln>
                      <a:noFill/>
                    </a:ln>
                  </pic:spPr>
                </pic:pic>
              </a:graphicData>
            </a:graphic>
          </wp:inline>
        </w:drawing>
      </w:r>
    </w:p>
    <w:p w:rsidR="0007408E" w:rsidRPr="00807DAF" w:rsidRDefault="0007408E" w:rsidP="00536D2E">
      <w:pPr>
        <w:spacing w:before="960"/>
        <w:jc w:val="center"/>
        <w:rPr>
          <w:b/>
          <w:sz w:val="32"/>
        </w:rPr>
      </w:pPr>
      <w:r w:rsidRPr="00807DAF">
        <w:rPr>
          <w:b/>
          <w:sz w:val="32"/>
        </w:rPr>
        <w:t xml:space="preserve">Contracting </w:t>
      </w:r>
      <w:r w:rsidR="00D11783">
        <w:rPr>
          <w:b/>
          <w:sz w:val="32"/>
        </w:rPr>
        <w:t>a</w:t>
      </w:r>
      <w:r w:rsidR="00F118D3" w:rsidRPr="00807DAF">
        <w:rPr>
          <w:b/>
          <w:sz w:val="32"/>
        </w:rPr>
        <w:t>uthority</w:t>
      </w:r>
      <w:r w:rsidR="00F118D3" w:rsidRPr="00807DAF">
        <w:rPr>
          <w:sz w:val="32"/>
        </w:rPr>
        <w:t>:</w:t>
      </w:r>
      <w:r w:rsidR="0088168E" w:rsidRPr="00807DAF">
        <w:rPr>
          <w:sz w:val="32"/>
        </w:rPr>
        <w:t xml:space="preserve"> </w:t>
      </w:r>
      <w:r w:rsidR="00B6770F" w:rsidRPr="00B6770F">
        <w:rPr>
          <w:sz w:val="32"/>
        </w:rPr>
        <w:t>European Commission</w:t>
      </w:r>
    </w:p>
    <w:p w:rsidR="00B6770F" w:rsidRDefault="00B6770F" w:rsidP="00491F8A">
      <w:pPr>
        <w:pStyle w:val="SubTitle1"/>
        <w:spacing w:before="480"/>
        <w:rPr>
          <w:b w:val="0"/>
          <w:sz w:val="32"/>
          <w:szCs w:val="32"/>
        </w:rPr>
      </w:pPr>
      <w:r w:rsidRPr="00B6770F">
        <w:rPr>
          <w:b w:val="0"/>
          <w:sz w:val="32"/>
          <w:szCs w:val="32"/>
        </w:rPr>
        <w:t>Demonstration Pro</w:t>
      </w:r>
      <w:r>
        <w:rPr>
          <w:b w:val="0"/>
          <w:sz w:val="32"/>
          <w:szCs w:val="32"/>
        </w:rPr>
        <w:t>jects on Efficient Use of Water</w:t>
      </w:r>
    </w:p>
    <w:p w:rsidR="00491F8A" w:rsidRPr="00AD6B43" w:rsidRDefault="00DF1B4B" w:rsidP="00491F8A">
      <w:pPr>
        <w:pStyle w:val="SubTitle1"/>
        <w:spacing w:before="480"/>
        <w:rPr>
          <w:sz w:val="32"/>
          <w:szCs w:val="32"/>
        </w:rPr>
      </w:pPr>
      <w:r w:rsidRPr="00AD6B43">
        <w:rPr>
          <w:sz w:val="32"/>
          <w:szCs w:val="32"/>
        </w:rPr>
        <w:t xml:space="preserve">Guidelines </w:t>
      </w:r>
      <w:r w:rsidR="0007408E" w:rsidRPr="00AD6B43">
        <w:rPr>
          <w:sz w:val="32"/>
          <w:szCs w:val="32"/>
        </w:rPr>
        <w:t>for grant applicants</w:t>
      </w:r>
    </w:p>
    <w:p w:rsidR="00350F1E" w:rsidRDefault="0007408E" w:rsidP="00E13AE5">
      <w:pPr>
        <w:pStyle w:val="SubTitle1"/>
        <w:spacing w:before="480"/>
        <w:rPr>
          <w:b w:val="0"/>
          <w:sz w:val="32"/>
          <w:szCs w:val="32"/>
        </w:rPr>
      </w:pPr>
      <w:r w:rsidRPr="00B6770F">
        <w:rPr>
          <w:b w:val="0"/>
          <w:sz w:val="32"/>
          <w:szCs w:val="32"/>
        </w:rPr>
        <w:t xml:space="preserve">Budget line(s) </w:t>
      </w:r>
      <w:r w:rsidR="006C7808">
        <w:rPr>
          <w:b w:val="0"/>
          <w:sz w:val="32"/>
          <w:szCs w:val="32"/>
        </w:rPr>
        <w:t>22.04.01.02</w:t>
      </w:r>
      <w:r w:rsidR="00B6770F">
        <w:rPr>
          <w:b w:val="0"/>
          <w:sz w:val="32"/>
          <w:szCs w:val="32"/>
        </w:rPr>
        <w:t xml:space="preserve"> </w:t>
      </w:r>
    </w:p>
    <w:p w:rsidR="006225E8" w:rsidRPr="008503BC" w:rsidRDefault="00B6770F" w:rsidP="00350F1E">
      <w:pPr>
        <w:pStyle w:val="SubTitle1"/>
        <w:rPr>
          <w:b w:val="0"/>
          <w:sz w:val="32"/>
          <w:szCs w:val="32"/>
        </w:rPr>
      </w:pPr>
      <w:r w:rsidRPr="00B6770F">
        <w:rPr>
          <w:b w:val="0"/>
          <w:sz w:val="32"/>
          <w:szCs w:val="32"/>
        </w:rPr>
        <w:t>European Neighbourhood Instrument</w:t>
      </w:r>
    </w:p>
    <w:p w:rsidR="00AD6B43" w:rsidRDefault="006225E8" w:rsidP="00350F1E">
      <w:pPr>
        <w:pStyle w:val="SubTitle2"/>
        <w:spacing w:before="240"/>
        <w:rPr>
          <w:b w:val="0"/>
        </w:rPr>
      </w:pPr>
      <w:r w:rsidRPr="00807DAF">
        <w:rPr>
          <w:b w:val="0"/>
        </w:rPr>
        <w:t xml:space="preserve">Reference: </w:t>
      </w:r>
    </w:p>
    <w:p w:rsidR="00475B70" w:rsidRPr="00B965AB" w:rsidRDefault="00475B70" w:rsidP="00475B70">
      <w:pPr>
        <w:pStyle w:val="SubTitle2"/>
        <w:rPr>
          <w:b w:val="0"/>
          <w:noProof/>
          <w:szCs w:val="32"/>
        </w:rPr>
      </w:pPr>
      <w:r w:rsidRPr="00B965AB">
        <w:rPr>
          <w:b w:val="0"/>
          <w:szCs w:val="32"/>
        </w:rPr>
        <w:t>EuropeAid/</w:t>
      </w:r>
      <w:r w:rsidRPr="00B965AB">
        <w:rPr>
          <w:b w:val="0"/>
          <w:noProof/>
          <w:szCs w:val="32"/>
        </w:rPr>
        <w:t>163941</w:t>
      </w:r>
      <w:r w:rsidRPr="00B965AB">
        <w:rPr>
          <w:b w:val="0"/>
          <w:szCs w:val="32"/>
        </w:rPr>
        <w:t>/</w:t>
      </w:r>
      <w:r w:rsidRPr="00B965AB">
        <w:rPr>
          <w:b w:val="0"/>
          <w:noProof/>
          <w:szCs w:val="32"/>
        </w:rPr>
        <w:t>DH/ACT/Multi</w:t>
      </w:r>
    </w:p>
    <w:p w:rsidR="00AD6B43" w:rsidRDefault="007377DD" w:rsidP="00491F8A">
      <w:pPr>
        <w:pStyle w:val="SubTitle2"/>
        <w:rPr>
          <w:b w:val="0"/>
          <w:szCs w:val="32"/>
        </w:rPr>
      </w:pPr>
      <w:r w:rsidRPr="00807DAF">
        <w:rPr>
          <w:b w:val="0"/>
          <w:szCs w:val="32"/>
        </w:rPr>
        <w:t xml:space="preserve">Deadline for </w:t>
      </w:r>
      <w:r w:rsidR="006A7719" w:rsidRPr="00807DAF">
        <w:rPr>
          <w:b w:val="0"/>
          <w:szCs w:val="32"/>
        </w:rPr>
        <w:t>submission</w:t>
      </w:r>
      <w:r w:rsidR="00AD6B43">
        <w:rPr>
          <w:rStyle w:val="af6"/>
          <w:b w:val="0"/>
          <w:szCs w:val="32"/>
        </w:rPr>
        <w:footnoteReference w:id="2"/>
      </w:r>
      <w:r w:rsidR="006A7719" w:rsidRPr="00807DAF">
        <w:rPr>
          <w:b w:val="0"/>
          <w:szCs w:val="32"/>
        </w:rPr>
        <w:t xml:space="preserve"> </w:t>
      </w:r>
      <w:r w:rsidRPr="00807DAF">
        <w:rPr>
          <w:b w:val="0"/>
          <w:szCs w:val="32"/>
        </w:rPr>
        <w:t xml:space="preserve">of </w:t>
      </w:r>
      <w:r w:rsidR="00D84C87" w:rsidRPr="00B6770F">
        <w:rPr>
          <w:b w:val="0"/>
          <w:szCs w:val="32"/>
        </w:rPr>
        <w:t>c</w:t>
      </w:r>
      <w:r w:rsidR="007C4720" w:rsidRPr="00B6770F">
        <w:rPr>
          <w:b w:val="0"/>
          <w:szCs w:val="32"/>
        </w:rPr>
        <w:t>oncept note</w:t>
      </w:r>
      <w:r w:rsidRPr="00807DAF">
        <w:rPr>
          <w:b w:val="0"/>
          <w:szCs w:val="32"/>
        </w:rPr>
        <w:t xml:space="preserve">: </w:t>
      </w:r>
    </w:p>
    <w:p w:rsidR="00475B70" w:rsidRDefault="00475B70" w:rsidP="00491F8A">
      <w:pPr>
        <w:pStyle w:val="SubTitle2"/>
        <w:rPr>
          <w:b w:val="0"/>
          <w:szCs w:val="32"/>
        </w:rPr>
      </w:pPr>
    </w:p>
    <w:p w:rsidR="00491F8A" w:rsidRPr="00AD6B43" w:rsidRDefault="00AD6B43" w:rsidP="00491F8A">
      <w:pPr>
        <w:pStyle w:val="SubTitle2"/>
        <w:rPr>
          <w:szCs w:val="32"/>
        </w:rPr>
      </w:pPr>
      <w:r w:rsidRPr="00AD6B43">
        <w:rPr>
          <w:szCs w:val="32"/>
        </w:rPr>
        <w:t>04/06</w:t>
      </w:r>
      <w:r w:rsidR="00B6770F" w:rsidRPr="00AD6B43">
        <w:rPr>
          <w:szCs w:val="32"/>
        </w:rPr>
        <w:t>/2019</w:t>
      </w:r>
      <w:r w:rsidRPr="00AD6B43">
        <w:rPr>
          <w:szCs w:val="32"/>
        </w:rPr>
        <w:t xml:space="preserve"> at 12:00</w:t>
      </w:r>
      <w:r w:rsidR="00B6770F" w:rsidRPr="00AD6B43">
        <w:rPr>
          <w:szCs w:val="32"/>
        </w:rPr>
        <w:t xml:space="preserve"> (Brussels date and time)</w:t>
      </w:r>
    </w:p>
    <w:p w:rsidR="00AD6B43" w:rsidRPr="00AD6B43" w:rsidRDefault="00AD6B43" w:rsidP="00AD6B43">
      <w:pPr>
        <w:pStyle w:val="SubTitle2"/>
        <w:rPr>
          <w:b w:val="0"/>
          <w:sz w:val="24"/>
          <w:szCs w:val="32"/>
        </w:rPr>
      </w:pPr>
      <w:r w:rsidRPr="00AD6B43">
        <w:rPr>
          <w:b w:val="0"/>
          <w:sz w:val="24"/>
          <w:szCs w:val="32"/>
        </w:rPr>
        <w:t xml:space="preserve">(in order to convert to local time click </w:t>
      </w:r>
      <w:hyperlink r:id="rId9" w:history="1">
        <w:r w:rsidRPr="00AD6B43">
          <w:rPr>
            <w:rStyle w:val="Hyperlink"/>
            <w:b w:val="0"/>
            <w:sz w:val="24"/>
            <w:szCs w:val="32"/>
          </w:rPr>
          <w:t>here</w:t>
        </w:r>
      </w:hyperlink>
      <w:r w:rsidRPr="00AD6B43">
        <w:rPr>
          <w:b w:val="0"/>
          <w:sz w:val="24"/>
          <w:szCs w:val="32"/>
          <w:vertAlign w:val="superscript"/>
        </w:rPr>
        <w:footnoteReference w:id="3"/>
      </w:r>
      <w:r w:rsidRPr="00AD6B43">
        <w:rPr>
          <w:b w:val="0"/>
          <w:sz w:val="24"/>
          <w:szCs w:val="32"/>
        </w:rPr>
        <w:t>)</w:t>
      </w:r>
    </w:p>
    <w:p w:rsidR="00AD6B43" w:rsidRPr="00807DAF" w:rsidRDefault="00AD6B43" w:rsidP="00491F8A">
      <w:pPr>
        <w:pStyle w:val="SubTitle2"/>
        <w:rPr>
          <w:szCs w:val="32"/>
        </w:rPr>
      </w:pPr>
    </w:p>
    <w:p w:rsidR="0052492E" w:rsidRPr="00807DAF" w:rsidRDefault="007857D2" w:rsidP="00B6770F">
      <w:pPr>
        <w:pStyle w:val="SubTitle1"/>
        <w:jc w:val="both"/>
      </w:pPr>
      <w:r w:rsidRPr="00807DAF">
        <w:br w:type="page"/>
      </w:r>
    </w:p>
    <w:p w:rsidR="0052492E" w:rsidRPr="00807DAF" w:rsidRDefault="0052492E" w:rsidP="0052492E">
      <w:pPr>
        <w:pStyle w:val="SubTitle2"/>
      </w:pPr>
      <w:r w:rsidRPr="00807DAF">
        <w:t xml:space="preserve">Notice </w:t>
      </w:r>
    </w:p>
    <w:p w:rsidR="0052492E" w:rsidRPr="00807DAF" w:rsidRDefault="0052492E" w:rsidP="0052492E">
      <w:pPr>
        <w:pStyle w:val="af"/>
        <w:spacing w:after="240"/>
        <w:jc w:val="both"/>
        <w:rPr>
          <w:rFonts w:ascii="Times New Roman" w:hAnsi="Times New Roman"/>
          <w:b w:val="0"/>
          <w:sz w:val="22"/>
          <w:szCs w:val="22"/>
          <w:lang w:val="en-GB"/>
        </w:rPr>
      </w:pPr>
      <w:r w:rsidRPr="00B6770F">
        <w:rPr>
          <w:rFonts w:ascii="Times New Roman" w:hAnsi="Times New Roman"/>
          <w:b w:val="0"/>
          <w:sz w:val="22"/>
          <w:szCs w:val="22"/>
          <w:lang w:val="en-GB"/>
        </w:rPr>
        <w:t xml:space="preserve">This is a restricted </w:t>
      </w:r>
      <w:r w:rsidR="00D84C87" w:rsidRPr="00B6770F">
        <w:rPr>
          <w:rFonts w:ascii="Times New Roman" w:hAnsi="Times New Roman"/>
          <w:b w:val="0"/>
          <w:sz w:val="22"/>
          <w:szCs w:val="22"/>
          <w:lang w:val="en-GB"/>
        </w:rPr>
        <w:t>c</w:t>
      </w:r>
      <w:r w:rsidRPr="00B6770F">
        <w:rPr>
          <w:rFonts w:ascii="Times New Roman" w:hAnsi="Times New Roman"/>
          <w:b w:val="0"/>
          <w:sz w:val="22"/>
          <w:szCs w:val="22"/>
          <w:lang w:val="en-GB"/>
        </w:rPr>
        <w:t xml:space="preserve">all for </w:t>
      </w:r>
      <w:r w:rsidR="00D84C87" w:rsidRPr="00B6770F">
        <w:rPr>
          <w:rFonts w:ascii="Times New Roman" w:hAnsi="Times New Roman"/>
          <w:b w:val="0"/>
          <w:sz w:val="22"/>
          <w:szCs w:val="22"/>
          <w:lang w:val="en-GB"/>
        </w:rPr>
        <w:t>p</w:t>
      </w:r>
      <w:r w:rsidRPr="00B6770F">
        <w:rPr>
          <w:rFonts w:ascii="Times New Roman" w:hAnsi="Times New Roman"/>
          <w:b w:val="0"/>
          <w:sz w:val="22"/>
          <w:szCs w:val="22"/>
          <w:lang w:val="en-GB"/>
        </w:rPr>
        <w:t xml:space="preserve">roposals. In the first instance, only </w:t>
      </w:r>
      <w:r w:rsidR="00D84C87" w:rsidRPr="00B6770F">
        <w:rPr>
          <w:rFonts w:ascii="Times New Roman" w:hAnsi="Times New Roman"/>
          <w:b w:val="0"/>
          <w:sz w:val="22"/>
          <w:szCs w:val="22"/>
          <w:lang w:val="en-GB"/>
        </w:rPr>
        <w:t>c</w:t>
      </w:r>
      <w:r w:rsidRPr="00B6770F">
        <w:rPr>
          <w:rFonts w:ascii="Times New Roman" w:hAnsi="Times New Roman"/>
          <w:b w:val="0"/>
          <w:sz w:val="22"/>
          <w:szCs w:val="22"/>
          <w:lang w:val="en-GB"/>
        </w:rPr>
        <w:t xml:space="preserve">oncept </w:t>
      </w:r>
      <w:r w:rsidR="00D84C87" w:rsidRPr="00B6770F">
        <w:rPr>
          <w:rFonts w:ascii="Times New Roman" w:hAnsi="Times New Roman"/>
          <w:b w:val="0"/>
          <w:sz w:val="22"/>
          <w:szCs w:val="22"/>
          <w:lang w:val="en-GB"/>
        </w:rPr>
        <w:t>n</w:t>
      </w:r>
      <w:r w:rsidRPr="00B6770F">
        <w:rPr>
          <w:rFonts w:ascii="Times New Roman" w:hAnsi="Times New Roman"/>
          <w:b w:val="0"/>
          <w:sz w:val="22"/>
          <w:szCs w:val="22"/>
          <w:lang w:val="en-GB"/>
        </w:rPr>
        <w:t xml:space="preserve">otes </w:t>
      </w:r>
      <w:r w:rsidR="0031666A" w:rsidRPr="00B6770F">
        <w:rPr>
          <w:rFonts w:ascii="Times New Roman" w:hAnsi="Times New Roman"/>
          <w:b w:val="0"/>
          <w:sz w:val="22"/>
          <w:szCs w:val="22"/>
          <w:lang w:val="en-GB"/>
        </w:rPr>
        <w:t>(</w:t>
      </w:r>
      <w:r w:rsidR="00F077CA" w:rsidRPr="00EE4E75">
        <w:rPr>
          <w:rFonts w:ascii="Times New Roman" w:hAnsi="Times New Roman"/>
          <w:b w:val="0"/>
          <w:sz w:val="22"/>
          <w:szCs w:val="22"/>
          <w:lang w:val="en-GB"/>
        </w:rPr>
        <w:t>Part A of the grant application form</w:t>
      </w:r>
      <w:r w:rsidR="0031666A" w:rsidRPr="00B6770F">
        <w:rPr>
          <w:rFonts w:ascii="Times New Roman" w:hAnsi="Times New Roman"/>
          <w:b w:val="0"/>
          <w:sz w:val="22"/>
          <w:szCs w:val="22"/>
          <w:lang w:val="en-GB"/>
        </w:rPr>
        <w:t xml:space="preserve">) </w:t>
      </w:r>
      <w:r w:rsidRPr="00B6770F">
        <w:rPr>
          <w:rFonts w:ascii="Times New Roman" w:hAnsi="Times New Roman"/>
          <w:b w:val="0"/>
          <w:sz w:val="22"/>
          <w:szCs w:val="22"/>
          <w:lang w:val="en-GB"/>
        </w:rPr>
        <w:t xml:space="preserve">must be submitted for evaluation. Thereafter, </w:t>
      </w:r>
      <w:r w:rsidR="00ED0176" w:rsidRPr="00B6770F">
        <w:rPr>
          <w:rFonts w:ascii="Times New Roman" w:hAnsi="Times New Roman"/>
          <w:b w:val="0"/>
          <w:sz w:val="22"/>
          <w:szCs w:val="22"/>
          <w:lang w:val="en-GB"/>
        </w:rPr>
        <w:t>lead a</w:t>
      </w:r>
      <w:r w:rsidRPr="00B6770F">
        <w:rPr>
          <w:rFonts w:ascii="Times New Roman" w:hAnsi="Times New Roman"/>
          <w:b w:val="0"/>
          <w:sz w:val="22"/>
          <w:szCs w:val="22"/>
          <w:lang w:val="en-GB"/>
        </w:rPr>
        <w:t xml:space="preserve">pplicants who have been pre-selected will be invited to submit a </w:t>
      </w:r>
      <w:r w:rsidR="00D84C87" w:rsidRPr="00B6770F">
        <w:rPr>
          <w:rFonts w:ascii="Times New Roman" w:hAnsi="Times New Roman"/>
          <w:b w:val="0"/>
          <w:sz w:val="22"/>
          <w:szCs w:val="22"/>
          <w:lang w:val="en-GB"/>
        </w:rPr>
        <w:t>f</w:t>
      </w:r>
      <w:r w:rsidRPr="00B6770F">
        <w:rPr>
          <w:rFonts w:ascii="Times New Roman" w:hAnsi="Times New Roman"/>
          <w:b w:val="0"/>
          <w:sz w:val="22"/>
          <w:szCs w:val="22"/>
          <w:lang w:val="en-GB"/>
        </w:rPr>
        <w:t xml:space="preserve">ull </w:t>
      </w:r>
      <w:r w:rsidR="00D84C87" w:rsidRPr="00B6770F">
        <w:rPr>
          <w:rFonts w:ascii="Times New Roman" w:hAnsi="Times New Roman"/>
          <w:b w:val="0"/>
          <w:sz w:val="22"/>
          <w:szCs w:val="22"/>
          <w:lang w:val="en-GB"/>
        </w:rPr>
        <w:t>a</w:t>
      </w:r>
      <w:r w:rsidRPr="00B6770F">
        <w:rPr>
          <w:rFonts w:ascii="Times New Roman" w:hAnsi="Times New Roman"/>
          <w:b w:val="0"/>
          <w:sz w:val="22"/>
          <w:szCs w:val="22"/>
          <w:lang w:val="en-GB"/>
        </w:rPr>
        <w:t xml:space="preserve">pplication. </w:t>
      </w:r>
      <w:r w:rsidR="00D830C7" w:rsidRPr="00B6770F">
        <w:rPr>
          <w:rFonts w:ascii="Times New Roman" w:hAnsi="Times New Roman"/>
          <w:b w:val="0"/>
          <w:sz w:val="22"/>
          <w:szCs w:val="22"/>
          <w:lang w:val="en-GB"/>
        </w:rPr>
        <w:t>After</w:t>
      </w:r>
      <w:r w:rsidRPr="00B6770F">
        <w:rPr>
          <w:rFonts w:ascii="Times New Roman" w:hAnsi="Times New Roman"/>
          <w:b w:val="0"/>
          <w:sz w:val="22"/>
          <w:szCs w:val="22"/>
          <w:lang w:val="en-GB"/>
        </w:rPr>
        <w:t xml:space="preserve"> the evaluation of the </w:t>
      </w:r>
      <w:r w:rsidR="00D84C87" w:rsidRPr="00B6770F">
        <w:rPr>
          <w:rFonts w:ascii="Times New Roman" w:hAnsi="Times New Roman"/>
          <w:b w:val="0"/>
          <w:sz w:val="22"/>
          <w:szCs w:val="22"/>
          <w:lang w:val="en-GB"/>
        </w:rPr>
        <w:t>f</w:t>
      </w:r>
      <w:r w:rsidRPr="00B6770F">
        <w:rPr>
          <w:rFonts w:ascii="Times New Roman" w:hAnsi="Times New Roman"/>
          <w:b w:val="0"/>
          <w:sz w:val="22"/>
          <w:szCs w:val="22"/>
          <w:lang w:val="en-GB"/>
        </w:rPr>
        <w:t xml:space="preserve">ull </w:t>
      </w:r>
      <w:r w:rsidR="00D84C87" w:rsidRPr="00B6770F">
        <w:rPr>
          <w:rFonts w:ascii="Times New Roman" w:hAnsi="Times New Roman"/>
          <w:b w:val="0"/>
          <w:sz w:val="22"/>
          <w:szCs w:val="22"/>
          <w:lang w:val="en-GB"/>
        </w:rPr>
        <w:t>a</w:t>
      </w:r>
      <w:r w:rsidRPr="00B6770F">
        <w:rPr>
          <w:rFonts w:ascii="Times New Roman" w:hAnsi="Times New Roman"/>
          <w:b w:val="0"/>
          <w:sz w:val="22"/>
          <w:szCs w:val="22"/>
          <w:lang w:val="en-GB"/>
        </w:rPr>
        <w:t xml:space="preserve">pplications, an eligibility check will be performed for those which </w:t>
      </w:r>
      <w:r w:rsidR="00D830C7" w:rsidRPr="00B6770F">
        <w:rPr>
          <w:rFonts w:ascii="Times New Roman" w:hAnsi="Times New Roman"/>
          <w:b w:val="0"/>
          <w:sz w:val="22"/>
          <w:szCs w:val="22"/>
          <w:lang w:val="en-GB"/>
        </w:rPr>
        <w:t xml:space="preserve">have been </w:t>
      </w:r>
      <w:r w:rsidRPr="00B6770F">
        <w:rPr>
          <w:rFonts w:ascii="Times New Roman" w:hAnsi="Times New Roman"/>
          <w:b w:val="0"/>
          <w:sz w:val="22"/>
          <w:szCs w:val="22"/>
          <w:lang w:val="en-GB"/>
        </w:rPr>
        <w:t xml:space="preserve">provisionally selected. </w:t>
      </w:r>
      <w:r w:rsidR="001D2826" w:rsidRPr="00B6770F">
        <w:rPr>
          <w:rFonts w:ascii="Times New Roman" w:hAnsi="Times New Roman"/>
          <w:b w:val="0"/>
          <w:sz w:val="22"/>
          <w:szCs w:val="22"/>
          <w:lang w:val="en-GB"/>
        </w:rPr>
        <w:t>Eligibility</w:t>
      </w:r>
      <w:r w:rsidRPr="00B6770F">
        <w:rPr>
          <w:rFonts w:ascii="Times New Roman" w:hAnsi="Times New Roman"/>
          <w:b w:val="0"/>
          <w:sz w:val="22"/>
          <w:szCs w:val="22"/>
          <w:lang w:val="en-GB"/>
        </w:rPr>
        <w:t xml:space="preserve"> will be </w:t>
      </w:r>
      <w:r w:rsidR="001D2826" w:rsidRPr="00B6770F">
        <w:rPr>
          <w:rFonts w:ascii="Times New Roman" w:hAnsi="Times New Roman"/>
          <w:b w:val="0"/>
          <w:sz w:val="22"/>
          <w:szCs w:val="22"/>
          <w:lang w:val="en-GB"/>
        </w:rPr>
        <w:t xml:space="preserve">checked </w:t>
      </w:r>
      <w:r w:rsidRPr="00B6770F">
        <w:rPr>
          <w:rFonts w:ascii="Times New Roman" w:hAnsi="Times New Roman"/>
          <w:b w:val="0"/>
          <w:sz w:val="22"/>
          <w:szCs w:val="22"/>
          <w:lang w:val="en-GB"/>
        </w:rPr>
        <w:t xml:space="preserve">on the basis of the supporting documents requested by the </w:t>
      </w:r>
      <w:r w:rsidR="00D84C87" w:rsidRPr="00B6770F">
        <w:rPr>
          <w:rFonts w:ascii="Times New Roman" w:hAnsi="Times New Roman"/>
          <w:b w:val="0"/>
          <w:sz w:val="22"/>
          <w:szCs w:val="22"/>
          <w:lang w:val="en-GB"/>
        </w:rPr>
        <w:t>c</w:t>
      </w:r>
      <w:r w:rsidRPr="00B6770F">
        <w:rPr>
          <w:rFonts w:ascii="Times New Roman" w:hAnsi="Times New Roman"/>
          <w:b w:val="0"/>
          <w:sz w:val="22"/>
          <w:szCs w:val="22"/>
          <w:lang w:val="en-GB"/>
        </w:rPr>
        <w:t xml:space="preserve">ontracting </w:t>
      </w:r>
      <w:r w:rsidR="00D84C87" w:rsidRPr="00B6770F">
        <w:rPr>
          <w:rFonts w:ascii="Times New Roman" w:hAnsi="Times New Roman"/>
          <w:b w:val="0"/>
          <w:sz w:val="22"/>
          <w:szCs w:val="22"/>
          <w:lang w:val="en-GB"/>
        </w:rPr>
        <w:t>a</w:t>
      </w:r>
      <w:r w:rsidRPr="00B6770F">
        <w:rPr>
          <w:rFonts w:ascii="Times New Roman" w:hAnsi="Times New Roman"/>
          <w:b w:val="0"/>
          <w:sz w:val="22"/>
          <w:szCs w:val="22"/>
          <w:lang w:val="en-GB"/>
        </w:rPr>
        <w:t>uthority</w:t>
      </w:r>
      <w:r w:rsidR="009D29CA" w:rsidRPr="00B6770F">
        <w:rPr>
          <w:rFonts w:ascii="Times New Roman" w:hAnsi="Times New Roman"/>
          <w:b w:val="0"/>
          <w:sz w:val="22"/>
          <w:szCs w:val="22"/>
          <w:lang w:val="en-GB"/>
        </w:rPr>
        <w:t xml:space="preserve"> and</w:t>
      </w:r>
      <w:r w:rsidRPr="00B6770F">
        <w:rPr>
          <w:rFonts w:ascii="Times New Roman" w:hAnsi="Times New Roman"/>
          <w:b w:val="0"/>
          <w:sz w:val="22"/>
          <w:szCs w:val="22"/>
          <w:lang w:val="en-GB"/>
        </w:rPr>
        <w:t xml:space="preserve"> the signed </w:t>
      </w:r>
      <w:r w:rsidR="00A016F9" w:rsidRPr="00B6770F">
        <w:rPr>
          <w:rFonts w:ascii="Times New Roman" w:hAnsi="Times New Roman"/>
          <w:b w:val="0"/>
          <w:sz w:val="22"/>
          <w:szCs w:val="22"/>
          <w:lang w:val="en-GB"/>
        </w:rPr>
        <w:t>‘</w:t>
      </w:r>
      <w:r w:rsidR="00D84C87" w:rsidRPr="00B6770F">
        <w:rPr>
          <w:rFonts w:ascii="Times New Roman" w:hAnsi="Times New Roman"/>
          <w:b w:val="0"/>
          <w:sz w:val="22"/>
          <w:szCs w:val="22"/>
          <w:lang w:val="en-GB"/>
        </w:rPr>
        <w:t>d</w:t>
      </w:r>
      <w:r w:rsidRPr="00B6770F">
        <w:rPr>
          <w:rFonts w:ascii="Times New Roman" w:hAnsi="Times New Roman"/>
          <w:b w:val="0"/>
          <w:sz w:val="22"/>
          <w:szCs w:val="22"/>
          <w:lang w:val="en-GB"/>
        </w:rPr>
        <w:t xml:space="preserve">eclaration by the </w:t>
      </w:r>
      <w:r w:rsidR="00ED0176" w:rsidRPr="00B6770F">
        <w:rPr>
          <w:rFonts w:ascii="Times New Roman" w:hAnsi="Times New Roman"/>
          <w:b w:val="0"/>
          <w:sz w:val="22"/>
          <w:szCs w:val="22"/>
          <w:lang w:val="en-GB"/>
        </w:rPr>
        <w:t>lead a</w:t>
      </w:r>
      <w:r w:rsidRPr="00B6770F">
        <w:rPr>
          <w:rFonts w:ascii="Times New Roman" w:hAnsi="Times New Roman"/>
          <w:b w:val="0"/>
          <w:sz w:val="22"/>
          <w:szCs w:val="22"/>
          <w:lang w:val="en-GB"/>
        </w:rPr>
        <w:t>pplicant</w:t>
      </w:r>
      <w:r w:rsidR="00A016F9" w:rsidRPr="00B6770F">
        <w:rPr>
          <w:rFonts w:ascii="Times New Roman" w:hAnsi="Times New Roman"/>
          <w:b w:val="0"/>
          <w:sz w:val="22"/>
          <w:szCs w:val="22"/>
          <w:lang w:val="en-GB"/>
        </w:rPr>
        <w:t>’</w:t>
      </w:r>
      <w:r w:rsidRPr="00B6770F">
        <w:rPr>
          <w:rFonts w:ascii="Times New Roman" w:hAnsi="Times New Roman"/>
          <w:b w:val="0"/>
          <w:sz w:val="22"/>
          <w:szCs w:val="22"/>
          <w:lang w:val="en-GB"/>
        </w:rPr>
        <w:t xml:space="preserve"> sent together with the </w:t>
      </w:r>
      <w:r w:rsidR="000F59A0" w:rsidRPr="00B6770F">
        <w:rPr>
          <w:rFonts w:ascii="Times New Roman" w:hAnsi="Times New Roman"/>
          <w:b w:val="0"/>
          <w:sz w:val="22"/>
          <w:szCs w:val="22"/>
          <w:lang w:val="en-GB"/>
        </w:rPr>
        <w:t xml:space="preserve">full </w:t>
      </w:r>
      <w:r w:rsidR="00B6770F" w:rsidRPr="00B6770F">
        <w:rPr>
          <w:rFonts w:ascii="Times New Roman" w:hAnsi="Times New Roman"/>
          <w:b w:val="0"/>
          <w:sz w:val="22"/>
          <w:szCs w:val="22"/>
          <w:lang w:val="en-GB"/>
        </w:rPr>
        <w:t>application.</w:t>
      </w:r>
    </w:p>
    <w:p w:rsidR="00350F1E" w:rsidRDefault="00350F1E" w:rsidP="00495849"/>
    <w:p w:rsidR="00350F1E" w:rsidRDefault="00350F1E" w:rsidP="00350F1E">
      <w:pPr>
        <w:pStyle w:val="af"/>
        <w:pBdr>
          <w:top w:val="single" w:sz="4" w:space="1" w:color="auto"/>
          <w:left w:val="single" w:sz="4" w:space="0" w:color="auto"/>
          <w:bottom w:val="single" w:sz="4" w:space="1" w:color="auto"/>
          <w:right w:val="single" w:sz="4" w:space="4" w:color="auto"/>
        </w:pBdr>
        <w:spacing w:after="240"/>
        <w:jc w:val="both"/>
        <w:rPr>
          <w:rFonts w:ascii="Times New Roman" w:hAnsi="Times New Roman"/>
          <w:b w:val="0"/>
          <w:sz w:val="22"/>
          <w:lang w:val="en-GB"/>
        </w:rPr>
      </w:pPr>
      <w:r w:rsidRPr="00350F1E">
        <w:rPr>
          <w:rFonts w:ascii="Times New Roman" w:hAnsi="Times New Roman"/>
          <w:sz w:val="22"/>
          <w:lang w:val="en-GB"/>
        </w:rPr>
        <w:t>To apply to this call for proposals organisations must register in PADOR and submit their application in PROSPECT (see section 2.2.2 of the guidelines).</w:t>
      </w:r>
      <w:r w:rsidRPr="003736FE">
        <w:rPr>
          <w:rFonts w:ascii="Times New Roman" w:hAnsi="Times New Roman"/>
          <w:b w:val="0"/>
          <w:sz w:val="22"/>
          <w:lang w:val="en-GB"/>
        </w:rPr>
        <w:t xml:space="preserve"> The aim of PROSPECT is to increase the efficiency of the management of the call for proposals and to offer a better service to civil society organisations through a new panel of functionalities such as the on-line submission and the possibility to follow up online the status of their application. </w:t>
      </w:r>
    </w:p>
    <w:p w:rsidR="00350F1E" w:rsidRDefault="00475B70" w:rsidP="00350F1E">
      <w:pPr>
        <w:pStyle w:val="af"/>
        <w:pBdr>
          <w:top w:val="single" w:sz="4" w:space="1" w:color="auto"/>
          <w:left w:val="single" w:sz="4" w:space="0"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 xml:space="preserve">All organisations may find more information regarding PROSPECT in the </w:t>
      </w:r>
      <w:hyperlink r:id="rId10" w:history="1">
        <w:r w:rsidRPr="00E64E5A">
          <w:rPr>
            <w:rStyle w:val="Hyperlink"/>
            <w:rFonts w:ascii="Times New Roman" w:hAnsi="Times New Roman"/>
            <w:b w:val="0"/>
            <w:sz w:val="22"/>
            <w:lang w:val="en-GB"/>
          </w:rPr>
          <w:t>user’s manual</w:t>
        </w:r>
      </w:hyperlink>
      <w:r>
        <w:rPr>
          <w:rFonts w:ascii="Times New Roman" w:hAnsi="Times New Roman"/>
          <w:b w:val="0"/>
          <w:sz w:val="22"/>
          <w:lang w:val="en-GB"/>
        </w:rPr>
        <w:t xml:space="preserve"> and the </w:t>
      </w:r>
      <w:hyperlink r:id="rId11" w:history="1">
        <w:r w:rsidRPr="00E64E5A">
          <w:rPr>
            <w:rStyle w:val="Hyperlink"/>
            <w:rFonts w:ascii="Times New Roman" w:hAnsi="Times New Roman"/>
            <w:b w:val="0"/>
            <w:sz w:val="22"/>
            <w:lang w:val="en-GB"/>
          </w:rPr>
          <w:t>e-learning videos</w:t>
        </w:r>
      </w:hyperlink>
      <w:r>
        <w:rPr>
          <w:rFonts w:ascii="Times New Roman" w:hAnsi="Times New Roman"/>
          <w:b w:val="0"/>
          <w:sz w:val="22"/>
          <w:lang w:val="en-GB"/>
        </w:rPr>
        <w:t>.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sidR="00350F1E">
        <w:rPr>
          <w:rStyle w:val="af6"/>
          <w:rFonts w:ascii="Times New Roman" w:hAnsi="Times New Roman"/>
          <w:b w:val="0"/>
          <w:lang w:val="en-GB"/>
        </w:rPr>
        <w:footnoteReference w:id="4"/>
      </w:r>
      <w:r w:rsidR="00350F1E">
        <w:rPr>
          <w:rFonts w:ascii="Times New Roman" w:hAnsi="Times New Roman"/>
          <w:b w:val="0"/>
          <w:sz w:val="22"/>
          <w:lang w:val="en-GB"/>
        </w:rPr>
        <w:t>.</w:t>
      </w:r>
    </w:p>
    <w:p w:rsidR="00350F1E" w:rsidRDefault="00350F1E" w:rsidP="00350F1E">
      <w:pPr>
        <w:pStyle w:val="af"/>
        <w:spacing w:after="240"/>
        <w:jc w:val="both"/>
        <w:rPr>
          <w:rFonts w:ascii="Times New Roman" w:hAnsi="Times New Roman"/>
          <w:sz w:val="22"/>
          <w:lang w:val="en-GB"/>
        </w:rPr>
      </w:pPr>
    </w:p>
    <w:p w:rsidR="00350F1E" w:rsidRPr="00807DAF" w:rsidRDefault="00350F1E" w:rsidP="00495849">
      <w:pPr>
        <w:sectPr w:rsidR="00350F1E" w:rsidRPr="00807DAF" w:rsidSect="00262646">
          <w:footerReference w:type="default" r:id="rId12"/>
          <w:footerReference w:type="first" r:id="rId13"/>
          <w:pgSz w:w="11906" w:h="16838" w:code="9"/>
          <w:pgMar w:top="1021" w:right="1134" w:bottom="1021" w:left="1134" w:header="567" w:footer="545" w:gutter="0"/>
          <w:pgNumType w:start="1"/>
          <w:cols w:space="720"/>
          <w:titlePg/>
          <w:docGrid w:linePitch="299"/>
        </w:sectPr>
      </w:pPr>
    </w:p>
    <w:p w:rsidR="0007408E" w:rsidRPr="00807DAF" w:rsidRDefault="0007408E" w:rsidP="00EF1DCD">
      <w:pPr>
        <w:pageBreakBefore/>
        <w:spacing w:after="600"/>
        <w:jc w:val="center"/>
        <w:rPr>
          <w:sz w:val="32"/>
        </w:rPr>
      </w:pPr>
      <w:r w:rsidRPr="00807DAF">
        <w:rPr>
          <w:sz w:val="32"/>
        </w:rPr>
        <w:lastRenderedPageBreak/>
        <w:t>Table of contents</w:t>
      </w:r>
    </w:p>
    <w:p w:rsidR="009F6F2A" w:rsidRPr="00F016A9" w:rsidRDefault="004B7BC2">
      <w:pPr>
        <w:pStyle w:val="TOC1"/>
        <w:rPr>
          <w:rFonts w:ascii="Calibri" w:hAnsi="Calibri"/>
          <w:b w:val="0"/>
          <w:caps w:val="0"/>
          <w:noProof/>
          <w:snapToGrid/>
          <w:szCs w:val="22"/>
          <w:lang w:eastAsia="en-GB"/>
        </w:rPr>
      </w:pPr>
      <w:r>
        <w:rPr>
          <w:sz w:val="28"/>
          <w:szCs w:val="28"/>
        </w:rPr>
        <w:fldChar w:fldCharType="begin"/>
      </w:r>
      <w:r>
        <w:rPr>
          <w:sz w:val="28"/>
          <w:szCs w:val="28"/>
        </w:rPr>
        <w:instrText xml:space="preserve"> TOC \h \z \t "Guidelines 1;1;Guidelines 2;2;Guidelines 3;3" </w:instrText>
      </w:r>
      <w:r>
        <w:rPr>
          <w:sz w:val="28"/>
          <w:szCs w:val="28"/>
        </w:rPr>
        <w:fldChar w:fldCharType="separate"/>
      </w:r>
      <w:hyperlink w:anchor="_Toc1059723" w:history="1">
        <w:r w:rsidR="009F6F2A" w:rsidRPr="00E37D69">
          <w:rPr>
            <w:rStyle w:val="Hyperlink"/>
            <w:noProof/>
          </w:rPr>
          <w:t>1.</w:t>
        </w:r>
        <w:r w:rsidR="009F6F2A" w:rsidRPr="00F016A9">
          <w:rPr>
            <w:rFonts w:ascii="Calibri" w:hAnsi="Calibri"/>
            <w:b w:val="0"/>
            <w:caps w:val="0"/>
            <w:noProof/>
            <w:snapToGrid/>
            <w:szCs w:val="22"/>
            <w:lang w:eastAsia="en-GB"/>
          </w:rPr>
          <w:tab/>
        </w:r>
        <w:r w:rsidR="004748F5" w:rsidRPr="004748F5">
          <w:rPr>
            <w:rFonts w:ascii="Calibri" w:hAnsi="Calibri"/>
            <w:b w:val="0"/>
            <w:caps w:val="0"/>
            <w:noProof/>
            <w:snapToGrid/>
            <w:szCs w:val="22"/>
            <w:lang w:eastAsia="en-GB"/>
          </w:rPr>
          <w:t>«</w:t>
        </w:r>
        <w:r w:rsidR="009F6F2A" w:rsidRPr="00E37D69">
          <w:rPr>
            <w:rStyle w:val="Hyperlink"/>
            <w:rFonts w:ascii="Times New Roman" w:hAnsi="Times New Roman"/>
            <w:noProof/>
          </w:rPr>
          <w:t>DEMONSTRATION PROJECTS ON EFFICIENT USE OF WATER</w:t>
        </w:r>
        <w:r w:rsidR="004748F5" w:rsidRPr="004748F5">
          <w:rPr>
            <w:rStyle w:val="Hyperlink"/>
            <w:rFonts w:ascii="Times New Roman" w:hAnsi="Times New Roman"/>
            <w:noProof/>
          </w:rPr>
          <w:t>»</w:t>
        </w:r>
        <w:r w:rsidR="009F6F2A">
          <w:rPr>
            <w:noProof/>
            <w:webHidden/>
          </w:rPr>
          <w:tab/>
        </w:r>
        <w:r w:rsidR="009F6F2A">
          <w:rPr>
            <w:noProof/>
            <w:webHidden/>
          </w:rPr>
          <w:fldChar w:fldCharType="begin"/>
        </w:r>
        <w:r w:rsidR="009F6F2A">
          <w:rPr>
            <w:noProof/>
            <w:webHidden/>
          </w:rPr>
          <w:instrText xml:space="preserve"> PAGEREF _Toc1059723 \h </w:instrText>
        </w:r>
        <w:r w:rsidR="009F6F2A">
          <w:rPr>
            <w:noProof/>
            <w:webHidden/>
          </w:rPr>
        </w:r>
        <w:r w:rsidR="009F6F2A">
          <w:rPr>
            <w:noProof/>
            <w:webHidden/>
          </w:rPr>
          <w:fldChar w:fldCharType="separate"/>
        </w:r>
        <w:r w:rsidR="00262646">
          <w:rPr>
            <w:noProof/>
            <w:webHidden/>
          </w:rPr>
          <w:t>4</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24" w:history="1">
        <w:r w:rsidR="009F6F2A" w:rsidRPr="00E37D69">
          <w:rPr>
            <w:rStyle w:val="Hyperlink"/>
            <w:noProof/>
          </w:rPr>
          <w:t>1.1.</w:t>
        </w:r>
        <w:r w:rsidR="009F6F2A" w:rsidRPr="00F016A9">
          <w:rPr>
            <w:rFonts w:ascii="Calibri" w:hAnsi="Calibri"/>
            <w:noProof/>
            <w:snapToGrid/>
            <w:szCs w:val="22"/>
            <w:lang w:eastAsia="en-GB"/>
          </w:rPr>
          <w:tab/>
        </w:r>
        <w:r w:rsidR="009F6F2A" w:rsidRPr="00E37D69">
          <w:rPr>
            <w:rStyle w:val="Hyperlink"/>
            <w:noProof/>
          </w:rPr>
          <w:t>Background</w:t>
        </w:r>
        <w:r w:rsidR="009F6F2A">
          <w:rPr>
            <w:noProof/>
            <w:webHidden/>
          </w:rPr>
          <w:tab/>
        </w:r>
        <w:r w:rsidR="009F6F2A">
          <w:rPr>
            <w:noProof/>
            <w:webHidden/>
          </w:rPr>
          <w:fldChar w:fldCharType="begin"/>
        </w:r>
        <w:r w:rsidR="009F6F2A">
          <w:rPr>
            <w:noProof/>
            <w:webHidden/>
          </w:rPr>
          <w:instrText xml:space="preserve"> PAGEREF _Toc1059724 \h </w:instrText>
        </w:r>
        <w:r w:rsidR="009F6F2A">
          <w:rPr>
            <w:noProof/>
            <w:webHidden/>
          </w:rPr>
        </w:r>
        <w:r w:rsidR="009F6F2A">
          <w:rPr>
            <w:noProof/>
            <w:webHidden/>
          </w:rPr>
          <w:fldChar w:fldCharType="separate"/>
        </w:r>
        <w:r w:rsidR="00262646">
          <w:rPr>
            <w:noProof/>
            <w:webHidden/>
          </w:rPr>
          <w:t>4</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25" w:history="1">
        <w:r w:rsidR="009F6F2A" w:rsidRPr="00E37D69">
          <w:rPr>
            <w:rStyle w:val="Hyperlink"/>
            <w:noProof/>
          </w:rPr>
          <w:t>1.2.</w:t>
        </w:r>
        <w:r w:rsidR="009F6F2A" w:rsidRPr="00F016A9">
          <w:rPr>
            <w:rFonts w:ascii="Calibri" w:hAnsi="Calibri"/>
            <w:noProof/>
            <w:snapToGrid/>
            <w:szCs w:val="22"/>
            <w:lang w:eastAsia="en-GB"/>
          </w:rPr>
          <w:tab/>
        </w:r>
        <w:r w:rsidR="009F6F2A" w:rsidRPr="00E37D69">
          <w:rPr>
            <w:rStyle w:val="Hyperlink"/>
            <w:noProof/>
          </w:rPr>
          <w:t>Objectives of the programme and priority issues</w:t>
        </w:r>
        <w:r w:rsidR="009F6F2A">
          <w:rPr>
            <w:noProof/>
            <w:webHidden/>
          </w:rPr>
          <w:tab/>
        </w:r>
        <w:r w:rsidR="009F6F2A">
          <w:rPr>
            <w:noProof/>
            <w:webHidden/>
          </w:rPr>
          <w:fldChar w:fldCharType="begin"/>
        </w:r>
        <w:r w:rsidR="009F6F2A">
          <w:rPr>
            <w:noProof/>
            <w:webHidden/>
          </w:rPr>
          <w:instrText xml:space="preserve"> PAGEREF _Toc1059725 \h </w:instrText>
        </w:r>
        <w:r w:rsidR="009F6F2A">
          <w:rPr>
            <w:noProof/>
            <w:webHidden/>
          </w:rPr>
        </w:r>
        <w:r w:rsidR="009F6F2A">
          <w:rPr>
            <w:noProof/>
            <w:webHidden/>
          </w:rPr>
          <w:fldChar w:fldCharType="separate"/>
        </w:r>
        <w:r w:rsidR="00262646">
          <w:rPr>
            <w:noProof/>
            <w:webHidden/>
          </w:rPr>
          <w:t>4</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26" w:history="1">
        <w:r w:rsidR="009F6F2A" w:rsidRPr="00E37D69">
          <w:rPr>
            <w:rStyle w:val="Hyperlink"/>
            <w:noProof/>
          </w:rPr>
          <w:t>1.3.</w:t>
        </w:r>
        <w:r w:rsidR="009F6F2A" w:rsidRPr="00F016A9">
          <w:rPr>
            <w:rFonts w:ascii="Calibri" w:hAnsi="Calibri"/>
            <w:noProof/>
            <w:snapToGrid/>
            <w:szCs w:val="22"/>
            <w:lang w:eastAsia="en-GB"/>
          </w:rPr>
          <w:tab/>
        </w:r>
        <w:r w:rsidR="009F6F2A" w:rsidRPr="00E37D69">
          <w:rPr>
            <w:rStyle w:val="Hyperlink"/>
            <w:noProof/>
          </w:rPr>
          <w:t>Financial allocation provided by the contracting authority</w:t>
        </w:r>
        <w:r w:rsidR="009F6F2A">
          <w:rPr>
            <w:noProof/>
            <w:webHidden/>
          </w:rPr>
          <w:tab/>
        </w:r>
        <w:r w:rsidR="009F6F2A">
          <w:rPr>
            <w:noProof/>
            <w:webHidden/>
          </w:rPr>
          <w:fldChar w:fldCharType="begin"/>
        </w:r>
        <w:r w:rsidR="009F6F2A">
          <w:rPr>
            <w:noProof/>
            <w:webHidden/>
          </w:rPr>
          <w:instrText xml:space="preserve"> PAGEREF _Toc1059726 \h </w:instrText>
        </w:r>
        <w:r w:rsidR="009F6F2A">
          <w:rPr>
            <w:noProof/>
            <w:webHidden/>
          </w:rPr>
        </w:r>
        <w:r w:rsidR="009F6F2A">
          <w:rPr>
            <w:noProof/>
            <w:webHidden/>
          </w:rPr>
          <w:fldChar w:fldCharType="separate"/>
        </w:r>
        <w:r w:rsidR="00262646">
          <w:rPr>
            <w:noProof/>
            <w:webHidden/>
          </w:rPr>
          <w:t>7</w:t>
        </w:r>
        <w:r w:rsidR="009F6F2A">
          <w:rPr>
            <w:noProof/>
            <w:webHidden/>
          </w:rPr>
          <w:fldChar w:fldCharType="end"/>
        </w:r>
      </w:hyperlink>
    </w:p>
    <w:p w:rsidR="009F6F2A" w:rsidRPr="00F016A9" w:rsidRDefault="003143CD">
      <w:pPr>
        <w:pStyle w:val="TOC1"/>
        <w:rPr>
          <w:rFonts w:ascii="Calibri" w:hAnsi="Calibri"/>
          <w:b w:val="0"/>
          <w:caps w:val="0"/>
          <w:noProof/>
          <w:snapToGrid/>
          <w:szCs w:val="22"/>
          <w:lang w:eastAsia="en-GB"/>
        </w:rPr>
      </w:pPr>
      <w:hyperlink w:anchor="_Toc1059727" w:history="1">
        <w:r w:rsidR="009F6F2A" w:rsidRPr="00E37D69">
          <w:rPr>
            <w:rStyle w:val="Hyperlink"/>
            <w:noProof/>
          </w:rPr>
          <w:t>2.</w:t>
        </w:r>
        <w:r w:rsidR="009F6F2A" w:rsidRPr="00F016A9">
          <w:rPr>
            <w:rFonts w:ascii="Calibri" w:hAnsi="Calibri"/>
            <w:b w:val="0"/>
            <w:caps w:val="0"/>
            <w:noProof/>
            <w:snapToGrid/>
            <w:szCs w:val="22"/>
            <w:lang w:eastAsia="en-GB"/>
          </w:rPr>
          <w:tab/>
        </w:r>
        <w:r w:rsidR="009F6F2A" w:rsidRPr="00E37D69">
          <w:rPr>
            <w:rStyle w:val="Hyperlink"/>
            <w:rFonts w:ascii="Times New Roman" w:hAnsi="Times New Roman"/>
            <w:noProof/>
          </w:rPr>
          <w:t>Rules FOR thIS call for proposalS</w:t>
        </w:r>
        <w:r w:rsidR="009F6F2A">
          <w:rPr>
            <w:noProof/>
            <w:webHidden/>
          </w:rPr>
          <w:tab/>
        </w:r>
        <w:r w:rsidR="009F6F2A">
          <w:rPr>
            <w:noProof/>
            <w:webHidden/>
          </w:rPr>
          <w:fldChar w:fldCharType="begin"/>
        </w:r>
        <w:r w:rsidR="009F6F2A">
          <w:rPr>
            <w:noProof/>
            <w:webHidden/>
          </w:rPr>
          <w:instrText xml:space="preserve"> PAGEREF _Toc1059727 \h </w:instrText>
        </w:r>
        <w:r w:rsidR="009F6F2A">
          <w:rPr>
            <w:noProof/>
            <w:webHidden/>
          </w:rPr>
        </w:r>
        <w:r w:rsidR="009F6F2A">
          <w:rPr>
            <w:noProof/>
            <w:webHidden/>
          </w:rPr>
          <w:fldChar w:fldCharType="separate"/>
        </w:r>
        <w:r w:rsidR="00262646">
          <w:rPr>
            <w:noProof/>
            <w:webHidden/>
          </w:rPr>
          <w:t>8</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28" w:history="1">
        <w:r w:rsidR="009F6F2A" w:rsidRPr="00E37D69">
          <w:rPr>
            <w:rStyle w:val="Hyperlink"/>
            <w:noProof/>
          </w:rPr>
          <w:t>2.1.</w:t>
        </w:r>
        <w:r w:rsidR="009F6F2A" w:rsidRPr="00F016A9">
          <w:rPr>
            <w:rFonts w:ascii="Calibri" w:hAnsi="Calibri"/>
            <w:noProof/>
            <w:snapToGrid/>
            <w:szCs w:val="22"/>
            <w:lang w:eastAsia="en-GB"/>
          </w:rPr>
          <w:tab/>
        </w:r>
        <w:r w:rsidR="009F6F2A" w:rsidRPr="00E37D69">
          <w:rPr>
            <w:rStyle w:val="Hyperlink"/>
            <w:noProof/>
          </w:rPr>
          <w:t>Eligibility criteria</w:t>
        </w:r>
        <w:r w:rsidR="009F6F2A">
          <w:rPr>
            <w:noProof/>
            <w:webHidden/>
          </w:rPr>
          <w:tab/>
        </w:r>
        <w:r w:rsidR="009F6F2A">
          <w:rPr>
            <w:noProof/>
            <w:webHidden/>
          </w:rPr>
          <w:fldChar w:fldCharType="begin"/>
        </w:r>
        <w:r w:rsidR="009F6F2A">
          <w:rPr>
            <w:noProof/>
            <w:webHidden/>
          </w:rPr>
          <w:instrText xml:space="preserve"> PAGEREF _Toc1059728 \h </w:instrText>
        </w:r>
        <w:r w:rsidR="009F6F2A">
          <w:rPr>
            <w:noProof/>
            <w:webHidden/>
          </w:rPr>
        </w:r>
        <w:r w:rsidR="009F6F2A">
          <w:rPr>
            <w:noProof/>
            <w:webHidden/>
          </w:rPr>
          <w:fldChar w:fldCharType="separate"/>
        </w:r>
        <w:r w:rsidR="00262646">
          <w:rPr>
            <w:noProof/>
            <w:webHidden/>
          </w:rPr>
          <w:t>8</w:t>
        </w:r>
        <w:r w:rsidR="009F6F2A">
          <w:rPr>
            <w:noProof/>
            <w:webHidden/>
          </w:rPr>
          <w:fldChar w:fldCharType="end"/>
        </w:r>
      </w:hyperlink>
    </w:p>
    <w:p w:rsidR="009F6F2A" w:rsidRPr="00F016A9" w:rsidRDefault="003143CD">
      <w:pPr>
        <w:pStyle w:val="TOC3"/>
        <w:rPr>
          <w:rFonts w:ascii="Calibri" w:hAnsi="Calibri"/>
          <w:snapToGrid/>
          <w:sz w:val="22"/>
          <w:szCs w:val="22"/>
          <w:lang w:eastAsia="en-GB"/>
        </w:rPr>
      </w:pPr>
      <w:hyperlink w:anchor="_Toc1059729" w:history="1">
        <w:r w:rsidR="009F6F2A" w:rsidRPr="00E37D69">
          <w:rPr>
            <w:rStyle w:val="Hyperlink"/>
            <w:rFonts w:ascii="Times New Roman Bold" w:hAnsi="Times New Roman Bold"/>
          </w:rPr>
          <w:t>2.1.1.</w:t>
        </w:r>
        <w:r w:rsidR="009F6F2A" w:rsidRPr="00F016A9">
          <w:rPr>
            <w:rFonts w:ascii="Calibri" w:hAnsi="Calibri"/>
            <w:snapToGrid/>
            <w:sz w:val="22"/>
            <w:szCs w:val="22"/>
            <w:lang w:eastAsia="en-GB"/>
          </w:rPr>
          <w:tab/>
        </w:r>
        <w:r w:rsidR="009F6F2A" w:rsidRPr="00E37D69">
          <w:rPr>
            <w:rStyle w:val="Hyperlink"/>
          </w:rPr>
          <w:t>Eligibility of applicants (i.e. lead applicant and co-applicant(s))</w:t>
        </w:r>
        <w:r w:rsidR="009F6F2A">
          <w:rPr>
            <w:webHidden/>
          </w:rPr>
          <w:tab/>
        </w:r>
        <w:r w:rsidR="009F6F2A">
          <w:rPr>
            <w:webHidden/>
          </w:rPr>
          <w:fldChar w:fldCharType="begin"/>
        </w:r>
        <w:r w:rsidR="009F6F2A">
          <w:rPr>
            <w:webHidden/>
          </w:rPr>
          <w:instrText xml:space="preserve"> PAGEREF _Toc1059729 \h </w:instrText>
        </w:r>
        <w:r w:rsidR="009F6F2A">
          <w:rPr>
            <w:webHidden/>
          </w:rPr>
        </w:r>
        <w:r w:rsidR="009F6F2A">
          <w:rPr>
            <w:webHidden/>
          </w:rPr>
          <w:fldChar w:fldCharType="separate"/>
        </w:r>
        <w:r w:rsidR="00262646">
          <w:rPr>
            <w:webHidden/>
          </w:rPr>
          <w:t>8</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0" w:history="1">
        <w:r w:rsidR="009F6F2A" w:rsidRPr="00E37D69">
          <w:rPr>
            <w:rStyle w:val="Hyperlink"/>
            <w:rFonts w:ascii="Times New Roman Bold" w:hAnsi="Times New Roman Bold"/>
          </w:rPr>
          <w:t>2.1.2.</w:t>
        </w:r>
        <w:r w:rsidR="009F6F2A" w:rsidRPr="00F016A9">
          <w:rPr>
            <w:rFonts w:ascii="Calibri" w:hAnsi="Calibri"/>
            <w:snapToGrid/>
            <w:sz w:val="22"/>
            <w:szCs w:val="22"/>
            <w:lang w:eastAsia="en-GB"/>
          </w:rPr>
          <w:tab/>
        </w:r>
        <w:r w:rsidR="009F6F2A" w:rsidRPr="00E37D69">
          <w:rPr>
            <w:rStyle w:val="Hyperlink"/>
          </w:rPr>
          <w:t>Affiliated entities</w:t>
        </w:r>
        <w:r w:rsidR="009F6F2A">
          <w:rPr>
            <w:webHidden/>
          </w:rPr>
          <w:tab/>
        </w:r>
        <w:r w:rsidR="009F6F2A">
          <w:rPr>
            <w:webHidden/>
          </w:rPr>
          <w:fldChar w:fldCharType="begin"/>
        </w:r>
        <w:r w:rsidR="009F6F2A">
          <w:rPr>
            <w:webHidden/>
          </w:rPr>
          <w:instrText xml:space="preserve"> PAGEREF _Toc1059730 \h </w:instrText>
        </w:r>
        <w:r w:rsidR="009F6F2A">
          <w:rPr>
            <w:webHidden/>
          </w:rPr>
        </w:r>
        <w:r w:rsidR="009F6F2A">
          <w:rPr>
            <w:webHidden/>
          </w:rPr>
          <w:fldChar w:fldCharType="separate"/>
        </w:r>
        <w:r w:rsidR="00262646">
          <w:rPr>
            <w:webHidden/>
          </w:rPr>
          <w:t>10</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1" w:history="1">
        <w:r w:rsidR="009F6F2A" w:rsidRPr="00E37D69">
          <w:rPr>
            <w:rStyle w:val="Hyperlink"/>
            <w:rFonts w:ascii="Times New Roman Bold" w:hAnsi="Times New Roman Bold"/>
          </w:rPr>
          <w:t>2.1.3.</w:t>
        </w:r>
        <w:r w:rsidR="009F6F2A" w:rsidRPr="00F016A9">
          <w:rPr>
            <w:rFonts w:ascii="Calibri" w:hAnsi="Calibri"/>
            <w:snapToGrid/>
            <w:sz w:val="22"/>
            <w:szCs w:val="22"/>
            <w:lang w:eastAsia="en-GB"/>
          </w:rPr>
          <w:tab/>
        </w:r>
        <w:r w:rsidR="009F6F2A" w:rsidRPr="00E37D69">
          <w:rPr>
            <w:rStyle w:val="Hyperlink"/>
          </w:rPr>
          <w:t>Associates and contractors</w:t>
        </w:r>
        <w:r w:rsidR="009F6F2A">
          <w:rPr>
            <w:webHidden/>
          </w:rPr>
          <w:tab/>
        </w:r>
        <w:r w:rsidR="009F6F2A">
          <w:rPr>
            <w:webHidden/>
          </w:rPr>
          <w:fldChar w:fldCharType="begin"/>
        </w:r>
        <w:r w:rsidR="009F6F2A">
          <w:rPr>
            <w:webHidden/>
          </w:rPr>
          <w:instrText xml:space="preserve"> PAGEREF _Toc1059731 \h </w:instrText>
        </w:r>
        <w:r w:rsidR="009F6F2A">
          <w:rPr>
            <w:webHidden/>
          </w:rPr>
        </w:r>
        <w:r w:rsidR="009F6F2A">
          <w:rPr>
            <w:webHidden/>
          </w:rPr>
          <w:fldChar w:fldCharType="separate"/>
        </w:r>
        <w:r w:rsidR="00262646">
          <w:rPr>
            <w:webHidden/>
          </w:rPr>
          <w:t>12</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2" w:history="1">
        <w:r w:rsidR="009F6F2A" w:rsidRPr="00E37D69">
          <w:rPr>
            <w:rStyle w:val="Hyperlink"/>
            <w:rFonts w:ascii="Times New Roman Bold" w:hAnsi="Times New Roman Bold"/>
          </w:rPr>
          <w:t>2.1.4.</w:t>
        </w:r>
        <w:r w:rsidR="009F6F2A" w:rsidRPr="00F016A9">
          <w:rPr>
            <w:rFonts w:ascii="Calibri" w:hAnsi="Calibri"/>
            <w:snapToGrid/>
            <w:sz w:val="22"/>
            <w:szCs w:val="22"/>
            <w:lang w:eastAsia="en-GB"/>
          </w:rPr>
          <w:tab/>
        </w:r>
        <w:r w:rsidR="009F6F2A" w:rsidRPr="00E37D69">
          <w:rPr>
            <w:rStyle w:val="Hyperlink"/>
          </w:rPr>
          <w:t>Eligible actions: actions for which an application may be made</w:t>
        </w:r>
        <w:r w:rsidR="009F6F2A">
          <w:rPr>
            <w:webHidden/>
          </w:rPr>
          <w:tab/>
        </w:r>
        <w:r w:rsidR="009F6F2A">
          <w:rPr>
            <w:webHidden/>
          </w:rPr>
          <w:fldChar w:fldCharType="begin"/>
        </w:r>
        <w:r w:rsidR="009F6F2A">
          <w:rPr>
            <w:webHidden/>
          </w:rPr>
          <w:instrText xml:space="preserve"> PAGEREF _Toc1059732 \h </w:instrText>
        </w:r>
        <w:r w:rsidR="009F6F2A">
          <w:rPr>
            <w:webHidden/>
          </w:rPr>
        </w:r>
        <w:r w:rsidR="009F6F2A">
          <w:rPr>
            <w:webHidden/>
          </w:rPr>
          <w:fldChar w:fldCharType="separate"/>
        </w:r>
        <w:r w:rsidR="00262646">
          <w:rPr>
            <w:webHidden/>
          </w:rPr>
          <w:t>12</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3" w:history="1">
        <w:r w:rsidR="009F6F2A" w:rsidRPr="00E37D69">
          <w:rPr>
            <w:rStyle w:val="Hyperlink"/>
            <w:rFonts w:ascii="Times New Roman Bold" w:hAnsi="Times New Roman Bold"/>
          </w:rPr>
          <w:t>2.1.5.</w:t>
        </w:r>
        <w:r w:rsidR="009F6F2A" w:rsidRPr="00F016A9">
          <w:rPr>
            <w:rFonts w:ascii="Calibri" w:hAnsi="Calibri"/>
            <w:snapToGrid/>
            <w:sz w:val="22"/>
            <w:szCs w:val="22"/>
            <w:lang w:eastAsia="en-GB"/>
          </w:rPr>
          <w:tab/>
        </w:r>
        <w:r w:rsidR="009F6F2A" w:rsidRPr="00E37D69">
          <w:rPr>
            <w:rStyle w:val="Hyperlink"/>
          </w:rPr>
          <w:t>Eligibility of costs: costs that can be included</w:t>
        </w:r>
        <w:r w:rsidR="009F6F2A">
          <w:rPr>
            <w:webHidden/>
          </w:rPr>
          <w:tab/>
        </w:r>
        <w:r w:rsidR="009F6F2A">
          <w:rPr>
            <w:webHidden/>
          </w:rPr>
          <w:fldChar w:fldCharType="begin"/>
        </w:r>
        <w:r w:rsidR="009F6F2A">
          <w:rPr>
            <w:webHidden/>
          </w:rPr>
          <w:instrText xml:space="preserve"> PAGEREF _Toc1059733 \h </w:instrText>
        </w:r>
        <w:r w:rsidR="009F6F2A">
          <w:rPr>
            <w:webHidden/>
          </w:rPr>
        </w:r>
        <w:r w:rsidR="009F6F2A">
          <w:rPr>
            <w:webHidden/>
          </w:rPr>
          <w:fldChar w:fldCharType="separate"/>
        </w:r>
        <w:r w:rsidR="00262646">
          <w:rPr>
            <w:webHidden/>
          </w:rPr>
          <w:t>14</w:t>
        </w:r>
        <w:r w:rsidR="009F6F2A">
          <w:rPr>
            <w:webHidden/>
          </w:rPr>
          <w:fldChar w:fldCharType="end"/>
        </w:r>
      </w:hyperlink>
    </w:p>
    <w:p w:rsidR="009F6F2A" w:rsidRPr="00F016A9" w:rsidRDefault="003143CD">
      <w:pPr>
        <w:pStyle w:val="TOC2"/>
        <w:rPr>
          <w:rFonts w:ascii="Calibri" w:hAnsi="Calibri"/>
          <w:noProof/>
          <w:snapToGrid/>
          <w:szCs w:val="22"/>
          <w:lang w:eastAsia="en-GB"/>
        </w:rPr>
      </w:pPr>
      <w:hyperlink w:anchor="_Toc1059734" w:history="1">
        <w:r w:rsidR="009F6F2A" w:rsidRPr="00E37D69">
          <w:rPr>
            <w:rStyle w:val="Hyperlink"/>
            <w:noProof/>
          </w:rPr>
          <w:t>2.2.</w:t>
        </w:r>
        <w:r w:rsidR="009F6F2A" w:rsidRPr="00F016A9">
          <w:rPr>
            <w:rFonts w:ascii="Calibri" w:hAnsi="Calibri"/>
            <w:noProof/>
            <w:snapToGrid/>
            <w:szCs w:val="22"/>
            <w:lang w:eastAsia="en-GB"/>
          </w:rPr>
          <w:tab/>
        </w:r>
        <w:r w:rsidR="009F6F2A" w:rsidRPr="00E37D69">
          <w:rPr>
            <w:rStyle w:val="Hyperlink"/>
            <w:noProof/>
          </w:rPr>
          <w:t>How to apply and the procedures to follow</w:t>
        </w:r>
        <w:r w:rsidR="009F6F2A">
          <w:rPr>
            <w:noProof/>
            <w:webHidden/>
          </w:rPr>
          <w:tab/>
        </w:r>
        <w:r w:rsidR="009F6F2A">
          <w:rPr>
            <w:noProof/>
            <w:webHidden/>
          </w:rPr>
          <w:fldChar w:fldCharType="begin"/>
        </w:r>
        <w:r w:rsidR="009F6F2A">
          <w:rPr>
            <w:noProof/>
            <w:webHidden/>
          </w:rPr>
          <w:instrText xml:space="preserve"> PAGEREF _Toc1059734 \h </w:instrText>
        </w:r>
        <w:r w:rsidR="009F6F2A">
          <w:rPr>
            <w:noProof/>
            <w:webHidden/>
          </w:rPr>
        </w:r>
        <w:r w:rsidR="009F6F2A">
          <w:rPr>
            <w:noProof/>
            <w:webHidden/>
          </w:rPr>
          <w:fldChar w:fldCharType="separate"/>
        </w:r>
        <w:r w:rsidR="00262646">
          <w:rPr>
            <w:noProof/>
            <w:webHidden/>
          </w:rPr>
          <w:t>18</w:t>
        </w:r>
        <w:r w:rsidR="009F6F2A">
          <w:rPr>
            <w:noProof/>
            <w:webHidden/>
          </w:rPr>
          <w:fldChar w:fldCharType="end"/>
        </w:r>
      </w:hyperlink>
    </w:p>
    <w:p w:rsidR="009F6F2A" w:rsidRPr="00F016A9" w:rsidRDefault="003143CD">
      <w:pPr>
        <w:pStyle w:val="TOC3"/>
        <w:rPr>
          <w:rFonts w:ascii="Calibri" w:hAnsi="Calibri"/>
          <w:snapToGrid/>
          <w:sz w:val="22"/>
          <w:szCs w:val="22"/>
          <w:lang w:eastAsia="en-GB"/>
        </w:rPr>
      </w:pPr>
      <w:hyperlink w:anchor="_Toc1059735" w:history="1">
        <w:r w:rsidR="009F6F2A" w:rsidRPr="00E37D69">
          <w:rPr>
            <w:rStyle w:val="Hyperlink"/>
            <w:rFonts w:ascii="Times New Roman Bold" w:hAnsi="Times New Roman Bold"/>
          </w:rPr>
          <w:t>2.2.1.</w:t>
        </w:r>
        <w:r w:rsidR="009F6F2A" w:rsidRPr="00F016A9">
          <w:rPr>
            <w:rFonts w:ascii="Calibri" w:hAnsi="Calibri"/>
            <w:snapToGrid/>
            <w:sz w:val="22"/>
            <w:szCs w:val="22"/>
            <w:lang w:eastAsia="en-GB"/>
          </w:rPr>
          <w:tab/>
        </w:r>
        <w:r w:rsidR="009F6F2A" w:rsidRPr="00E37D69">
          <w:rPr>
            <w:rStyle w:val="Hyperlink"/>
          </w:rPr>
          <w:t>Concept note content</w:t>
        </w:r>
        <w:r w:rsidR="009F6F2A">
          <w:rPr>
            <w:webHidden/>
          </w:rPr>
          <w:tab/>
        </w:r>
        <w:r w:rsidR="009F6F2A">
          <w:rPr>
            <w:webHidden/>
          </w:rPr>
          <w:fldChar w:fldCharType="begin"/>
        </w:r>
        <w:r w:rsidR="009F6F2A">
          <w:rPr>
            <w:webHidden/>
          </w:rPr>
          <w:instrText xml:space="preserve"> PAGEREF _Toc1059735 \h </w:instrText>
        </w:r>
        <w:r w:rsidR="009F6F2A">
          <w:rPr>
            <w:webHidden/>
          </w:rPr>
        </w:r>
        <w:r w:rsidR="009F6F2A">
          <w:rPr>
            <w:webHidden/>
          </w:rPr>
          <w:fldChar w:fldCharType="separate"/>
        </w:r>
        <w:r w:rsidR="00262646">
          <w:rPr>
            <w:webHidden/>
          </w:rPr>
          <w:t>19</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6" w:history="1">
        <w:r w:rsidR="009F6F2A" w:rsidRPr="00E37D69">
          <w:rPr>
            <w:rStyle w:val="Hyperlink"/>
            <w:rFonts w:ascii="Times New Roman Bold" w:hAnsi="Times New Roman Bold"/>
          </w:rPr>
          <w:t>2.2.2.</w:t>
        </w:r>
        <w:r w:rsidR="009F6F2A" w:rsidRPr="00F016A9">
          <w:rPr>
            <w:rFonts w:ascii="Calibri" w:hAnsi="Calibri"/>
            <w:snapToGrid/>
            <w:sz w:val="22"/>
            <w:szCs w:val="22"/>
            <w:lang w:eastAsia="en-GB"/>
          </w:rPr>
          <w:tab/>
        </w:r>
        <w:r w:rsidR="009F6F2A" w:rsidRPr="00E37D69">
          <w:rPr>
            <w:rStyle w:val="Hyperlink"/>
          </w:rPr>
          <w:t>Where and how to send concept notes</w:t>
        </w:r>
        <w:r w:rsidR="009F6F2A">
          <w:rPr>
            <w:webHidden/>
          </w:rPr>
          <w:tab/>
        </w:r>
        <w:r w:rsidR="009F6F2A">
          <w:rPr>
            <w:webHidden/>
          </w:rPr>
          <w:fldChar w:fldCharType="begin"/>
        </w:r>
        <w:r w:rsidR="009F6F2A">
          <w:rPr>
            <w:webHidden/>
          </w:rPr>
          <w:instrText xml:space="preserve"> PAGEREF _Toc1059736 \h </w:instrText>
        </w:r>
        <w:r w:rsidR="009F6F2A">
          <w:rPr>
            <w:webHidden/>
          </w:rPr>
        </w:r>
        <w:r w:rsidR="009F6F2A">
          <w:rPr>
            <w:webHidden/>
          </w:rPr>
          <w:fldChar w:fldCharType="separate"/>
        </w:r>
        <w:r w:rsidR="00262646">
          <w:rPr>
            <w:webHidden/>
          </w:rPr>
          <w:t>20</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7" w:history="1">
        <w:r w:rsidR="009F6F2A" w:rsidRPr="00E37D69">
          <w:rPr>
            <w:rStyle w:val="Hyperlink"/>
            <w:rFonts w:ascii="Times New Roman Bold" w:hAnsi="Times New Roman Bold"/>
          </w:rPr>
          <w:t>2.2.3.</w:t>
        </w:r>
        <w:r w:rsidR="009F6F2A" w:rsidRPr="00F016A9">
          <w:rPr>
            <w:rFonts w:ascii="Calibri" w:hAnsi="Calibri"/>
            <w:snapToGrid/>
            <w:sz w:val="22"/>
            <w:szCs w:val="22"/>
            <w:lang w:eastAsia="en-GB"/>
          </w:rPr>
          <w:tab/>
        </w:r>
        <w:r w:rsidR="009F6F2A" w:rsidRPr="00E37D69">
          <w:rPr>
            <w:rStyle w:val="Hyperlink"/>
          </w:rPr>
          <w:t>Deadline for submission of concept notes</w:t>
        </w:r>
        <w:r w:rsidR="009F6F2A">
          <w:rPr>
            <w:webHidden/>
          </w:rPr>
          <w:tab/>
        </w:r>
        <w:r w:rsidR="009F6F2A">
          <w:rPr>
            <w:webHidden/>
          </w:rPr>
          <w:fldChar w:fldCharType="begin"/>
        </w:r>
        <w:r w:rsidR="009F6F2A">
          <w:rPr>
            <w:webHidden/>
          </w:rPr>
          <w:instrText xml:space="preserve"> PAGEREF _Toc1059737 \h </w:instrText>
        </w:r>
        <w:r w:rsidR="009F6F2A">
          <w:rPr>
            <w:webHidden/>
          </w:rPr>
        </w:r>
        <w:r w:rsidR="009F6F2A">
          <w:rPr>
            <w:webHidden/>
          </w:rPr>
          <w:fldChar w:fldCharType="separate"/>
        </w:r>
        <w:r w:rsidR="00262646">
          <w:rPr>
            <w:webHidden/>
          </w:rPr>
          <w:t>20</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8" w:history="1">
        <w:r w:rsidR="009F6F2A" w:rsidRPr="00E37D69">
          <w:rPr>
            <w:rStyle w:val="Hyperlink"/>
            <w:rFonts w:ascii="Times New Roman Bold" w:hAnsi="Times New Roman Bold"/>
          </w:rPr>
          <w:t>2.2.4.</w:t>
        </w:r>
        <w:r w:rsidR="009F6F2A" w:rsidRPr="00F016A9">
          <w:rPr>
            <w:rFonts w:ascii="Calibri" w:hAnsi="Calibri"/>
            <w:snapToGrid/>
            <w:sz w:val="22"/>
            <w:szCs w:val="22"/>
            <w:lang w:eastAsia="en-GB"/>
          </w:rPr>
          <w:tab/>
        </w:r>
        <w:r w:rsidR="009F6F2A" w:rsidRPr="00E37D69">
          <w:rPr>
            <w:rStyle w:val="Hyperlink"/>
          </w:rPr>
          <w:t>Further information about concept notes</w:t>
        </w:r>
        <w:r w:rsidR="009F6F2A">
          <w:rPr>
            <w:webHidden/>
          </w:rPr>
          <w:tab/>
        </w:r>
        <w:r w:rsidR="009F6F2A">
          <w:rPr>
            <w:webHidden/>
          </w:rPr>
          <w:fldChar w:fldCharType="begin"/>
        </w:r>
        <w:r w:rsidR="009F6F2A">
          <w:rPr>
            <w:webHidden/>
          </w:rPr>
          <w:instrText xml:space="preserve"> PAGEREF _Toc1059738 \h </w:instrText>
        </w:r>
        <w:r w:rsidR="009F6F2A">
          <w:rPr>
            <w:webHidden/>
          </w:rPr>
        </w:r>
        <w:r w:rsidR="009F6F2A">
          <w:rPr>
            <w:webHidden/>
          </w:rPr>
          <w:fldChar w:fldCharType="separate"/>
        </w:r>
        <w:r w:rsidR="00262646">
          <w:rPr>
            <w:webHidden/>
          </w:rPr>
          <w:t>20</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39" w:history="1">
        <w:r w:rsidR="009F6F2A" w:rsidRPr="00E37D69">
          <w:rPr>
            <w:rStyle w:val="Hyperlink"/>
            <w:rFonts w:ascii="Times New Roman Bold" w:hAnsi="Times New Roman Bold"/>
          </w:rPr>
          <w:t>2.2.5.</w:t>
        </w:r>
        <w:r w:rsidR="009F6F2A" w:rsidRPr="00F016A9">
          <w:rPr>
            <w:rFonts w:ascii="Calibri" w:hAnsi="Calibri"/>
            <w:snapToGrid/>
            <w:sz w:val="22"/>
            <w:szCs w:val="22"/>
            <w:lang w:eastAsia="en-GB"/>
          </w:rPr>
          <w:tab/>
        </w:r>
        <w:r w:rsidR="009F6F2A" w:rsidRPr="00E37D69">
          <w:rPr>
            <w:rStyle w:val="Hyperlink"/>
          </w:rPr>
          <w:t>Full applications</w:t>
        </w:r>
        <w:r w:rsidR="009F6F2A">
          <w:rPr>
            <w:webHidden/>
          </w:rPr>
          <w:tab/>
        </w:r>
        <w:r w:rsidR="009F6F2A">
          <w:rPr>
            <w:webHidden/>
          </w:rPr>
          <w:fldChar w:fldCharType="begin"/>
        </w:r>
        <w:r w:rsidR="009F6F2A">
          <w:rPr>
            <w:webHidden/>
          </w:rPr>
          <w:instrText xml:space="preserve"> PAGEREF _Toc1059739 \h </w:instrText>
        </w:r>
        <w:r w:rsidR="009F6F2A">
          <w:rPr>
            <w:webHidden/>
          </w:rPr>
        </w:r>
        <w:r w:rsidR="009F6F2A">
          <w:rPr>
            <w:webHidden/>
          </w:rPr>
          <w:fldChar w:fldCharType="separate"/>
        </w:r>
        <w:r w:rsidR="00262646">
          <w:rPr>
            <w:webHidden/>
          </w:rPr>
          <w:t>21</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40" w:history="1">
        <w:r w:rsidR="009F6F2A" w:rsidRPr="00E37D69">
          <w:rPr>
            <w:rStyle w:val="Hyperlink"/>
            <w:rFonts w:ascii="Times New Roman Bold" w:hAnsi="Times New Roman Bold"/>
          </w:rPr>
          <w:t>2.2.6.</w:t>
        </w:r>
        <w:r w:rsidR="009F6F2A" w:rsidRPr="00F016A9">
          <w:rPr>
            <w:rFonts w:ascii="Calibri" w:hAnsi="Calibri"/>
            <w:snapToGrid/>
            <w:sz w:val="22"/>
            <w:szCs w:val="22"/>
            <w:lang w:eastAsia="en-GB"/>
          </w:rPr>
          <w:tab/>
        </w:r>
        <w:r w:rsidR="009F6F2A" w:rsidRPr="00E37D69">
          <w:rPr>
            <w:rStyle w:val="Hyperlink"/>
          </w:rPr>
          <w:t>Where and how to send full applications</w:t>
        </w:r>
        <w:r w:rsidR="009F6F2A">
          <w:rPr>
            <w:webHidden/>
          </w:rPr>
          <w:tab/>
        </w:r>
        <w:r w:rsidR="009F6F2A">
          <w:rPr>
            <w:webHidden/>
          </w:rPr>
          <w:fldChar w:fldCharType="begin"/>
        </w:r>
        <w:r w:rsidR="009F6F2A">
          <w:rPr>
            <w:webHidden/>
          </w:rPr>
          <w:instrText xml:space="preserve"> PAGEREF _Toc1059740 \h </w:instrText>
        </w:r>
        <w:r w:rsidR="009F6F2A">
          <w:rPr>
            <w:webHidden/>
          </w:rPr>
        </w:r>
        <w:r w:rsidR="009F6F2A">
          <w:rPr>
            <w:webHidden/>
          </w:rPr>
          <w:fldChar w:fldCharType="separate"/>
        </w:r>
        <w:r w:rsidR="00262646">
          <w:rPr>
            <w:webHidden/>
          </w:rPr>
          <w:t>22</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41" w:history="1">
        <w:r w:rsidR="009F6F2A" w:rsidRPr="00E37D69">
          <w:rPr>
            <w:rStyle w:val="Hyperlink"/>
            <w:rFonts w:ascii="Times New Roman Bold" w:hAnsi="Times New Roman Bold"/>
          </w:rPr>
          <w:t>2.2.7.</w:t>
        </w:r>
        <w:r w:rsidR="009F6F2A" w:rsidRPr="00F016A9">
          <w:rPr>
            <w:rFonts w:ascii="Calibri" w:hAnsi="Calibri"/>
            <w:snapToGrid/>
            <w:sz w:val="22"/>
            <w:szCs w:val="22"/>
            <w:lang w:eastAsia="en-GB"/>
          </w:rPr>
          <w:tab/>
        </w:r>
        <w:r w:rsidR="009F6F2A" w:rsidRPr="00E37D69">
          <w:rPr>
            <w:rStyle w:val="Hyperlink"/>
          </w:rPr>
          <w:t>Deadline for submission of full applications</w:t>
        </w:r>
        <w:r w:rsidR="009F6F2A">
          <w:rPr>
            <w:webHidden/>
          </w:rPr>
          <w:tab/>
        </w:r>
        <w:r w:rsidR="009F6F2A">
          <w:rPr>
            <w:webHidden/>
          </w:rPr>
          <w:fldChar w:fldCharType="begin"/>
        </w:r>
        <w:r w:rsidR="009F6F2A">
          <w:rPr>
            <w:webHidden/>
          </w:rPr>
          <w:instrText xml:space="preserve"> PAGEREF _Toc1059741 \h </w:instrText>
        </w:r>
        <w:r w:rsidR="009F6F2A">
          <w:rPr>
            <w:webHidden/>
          </w:rPr>
        </w:r>
        <w:r w:rsidR="009F6F2A">
          <w:rPr>
            <w:webHidden/>
          </w:rPr>
          <w:fldChar w:fldCharType="separate"/>
        </w:r>
        <w:r w:rsidR="00262646">
          <w:rPr>
            <w:webHidden/>
          </w:rPr>
          <w:t>22</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42" w:history="1">
        <w:r w:rsidR="009F6F2A" w:rsidRPr="00E37D69">
          <w:rPr>
            <w:rStyle w:val="Hyperlink"/>
            <w:rFonts w:ascii="Times New Roman Bold" w:hAnsi="Times New Roman Bold"/>
          </w:rPr>
          <w:t>2.2.8.</w:t>
        </w:r>
        <w:r w:rsidR="009F6F2A" w:rsidRPr="00F016A9">
          <w:rPr>
            <w:rFonts w:ascii="Calibri" w:hAnsi="Calibri"/>
            <w:snapToGrid/>
            <w:sz w:val="22"/>
            <w:szCs w:val="22"/>
            <w:lang w:eastAsia="en-GB"/>
          </w:rPr>
          <w:tab/>
        </w:r>
        <w:r w:rsidR="009F6F2A" w:rsidRPr="00E37D69">
          <w:rPr>
            <w:rStyle w:val="Hyperlink"/>
          </w:rPr>
          <w:t>Further information about full applications</w:t>
        </w:r>
        <w:r w:rsidR="009F6F2A">
          <w:rPr>
            <w:webHidden/>
          </w:rPr>
          <w:tab/>
        </w:r>
        <w:r w:rsidR="009F6F2A">
          <w:rPr>
            <w:webHidden/>
          </w:rPr>
          <w:fldChar w:fldCharType="begin"/>
        </w:r>
        <w:r w:rsidR="009F6F2A">
          <w:rPr>
            <w:webHidden/>
          </w:rPr>
          <w:instrText xml:space="preserve"> PAGEREF _Toc1059742 \h </w:instrText>
        </w:r>
        <w:r w:rsidR="009F6F2A">
          <w:rPr>
            <w:webHidden/>
          </w:rPr>
        </w:r>
        <w:r w:rsidR="009F6F2A">
          <w:rPr>
            <w:webHidden/>
          </w:rPr>
          <w:fldChar w:fldCharType="separate"/>
        </w:r>
        <w:r w:rsidR="00262646">
          <w:rPr>
            <w:webHidden/>
          </w:rPr>
          <w:t>22</w:t>
        </w:r>
        <w:r w:rsidR="009F6F2A">
          <w:rPr>
            <w:webHidden/>
          </w:rPr>
          <w:fldChar w:fldCharType="end"/>
        </w:r>
      </w:hyperlink>
    </w:p>
    <w:p w:rsidR="009F6F2A" w:rsidRPr="00F016A9" w:rsidRDefault="003143CD">
      <w:pPr>
        <w:pStyle w:val="TOC2"/>
        <w:rPr>
          <w:rFonts w:ascii="Calibri" w:hAnsi="Calibri"/>
          <w:noProof/>
          <w:snapToGrid/>
          <w:szCs w:val="22"/>
          <w:lang w:eastAsia="en-GB"/>
        </w:rPr>
      </w:pPr>
      <w:hyperlink w:anchor="_Toc1059743" w:history="1">
        <w:r w:rsidR="009F6F2A" w:rsidRPr="00E37D69">
          <w:rPr>
            <w:rStyle w:val="Hyperlink"/>
            <w:noProof/>
          </w:rPr>
          <w:t>2.3.</w:t>
        </w:r>
        <w:r w:rsidR="009F6F2A" w:rsidRPr="00F016A9">
          <w:rPr>
            <w:rFonts w:ascii="Calibri" w:hAnsi="Calibri"/>
            <w:noProof/>
            <w:snapToGrid/>
            <w:szCs w:val="22"/>
            <w:lang w:eastAsia="en-GB"/>
          </w:rPr>
          <w:tab/>
        </w:r>
        <w:r w:rsidR="009F6F2A" w:rsidRPr="00E37D69">
          <w:rPr>
            <w:rStyle w:val="Hyperlink"/>
            <w:noProof/>
          </w:rPr>
          <w:t>Evaluation and selection of applications</w:t>
        </w:r>
        <w:r w:rsidR="009F6F2A">
          <w:rPr>
            <w:noProof/>
            <w:webHidden/>
          </w:rPr>
          <w:tab/>
        </w:r>
        <w:r w:rsidR="009F6F2A">
          <w:rPr>
            <w:noProof/>
            <w:webHidden/>
          </w:rPr>
          <w:fldChar w:fldCharType="begin"/>
        </w:r>
        <w:r w:rsidR="009F6F2A">
          <w:rPr>
            <w:noProof/>
            <w:webHidden/>
          </w:rPr>
          <w:instrText xml:space="preserve"> PAGEREF _Toc1059743 \h </w:instrText>
        </w:r>
        <w:r w:rsidR="009F6F2A">
          <w:rPr>
            <w:noProof/>
            <w:webHidden/>
          </w:rPr>
        </w:r>
        <w:r w:rsidR="009F6F2A">
          <w:rPr>
            <w:noProof/>
            <w:webHidden/>
          </w:rPr>
          <w:fldChar w:fldCharType="separate"/>
        </w:r>
        <w:r w:rsidR="00262646">
          <w:rPr>
            <w:noProof/>
            <w:webHidden/>
          </w:rPr>
          <w:t>23</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44" w:history="1">
        <w:r w:rsidR="009F6F2A" w:rsidRPr="00E37D69">
          <w:rPr>
            <w:rStyle w:val="Hyperlink"/>
            <w:noProof/>
          </w:rPr>
          <w:t>2.4.</w:t>
        </w:r>
        <w:r w:rsidR="009F6F2A" w:rsidRPr="00F016A9">
          <w:rPr>
            <w:rFonts w:ascii="Calibri" w:hAnsi="Calibri"/>
            <w:noProof/>
            <w:snapToGrid/>
            <w:szCs w:val="22"/>
            <w:lang w:eastAsia="en-GB"/>
          </w:rPr>
          <w:tab/>
        </w:r>
        <w:r w:rsidR="009F6F2A" w:rsidRPr="00E37D69">
          <w:rPr>
            <w:rStyle w:val="Hyperlink"/>
            <w:noProof/>
          </w:rPr>
          <w:t>Submission of supporting documents for provisionally selected applications</w:t>
        </w:r>
        <w:r w:rsidR="009F6F2A">
          <w:rPr>
            <w:noProof/>
            <w:webHidden/>
          </w:rPr>
          <w:tab/>
        </w:r>
        <w:r w:rsidR="009F6F2A">
          <w:rPr>
            <w:noProof/>
            <w:webHidden/>
          </w:rPr>
          <w:fldChar w:fldCharType="begin"/>
        </w:r>
        <w:r w:rsidR="009F6F2A">
          <w:rPr>
            <w:noProof/>
            <w:webHidden/>
          </w:rPr>
          <w:instrText xml:space="preserve"> PAGEREF _Toc1059744 \h </w:instrText>
        </w:r>
        <w:r w:rsidR="009F6F2A">
          <w:rPr>
            <w:noProof/>
            <w:webHidden/>
          </w:rPr>
        </w:r>
        <w:r w:rsidR="009F6F2A">
          <w:rPr>
            <w:noProof/>
            <w:webHidden/>
          </w:rPr>
          <w:fldChar w:fldCharType="separate"/>
        </w:r>
        <w:r w:rsidR="00262646">
          <w:rPr>
            <w:noProof/>
            <w:webHidden/>
          </w:rPr>
          <w:t>30</w:t>
        </w:r>
        <w:r w:rsidR="009F6F2A">
          <w:rPr>
            <w:noProof/>
            <w:webHidden/>
          </w:rPr>
          <w:fldChar w:fldCharType="end"/>
        </w:r>
      </w:hyperlink>
    </w:p>
    <w:p w:rsidR="009F6F2A" w:rsidRPr="00F016A9" w:rsidRDefault="003143CD">
      <w:pPr>
        <w:pStyle w:val="TOC2"/>
        <w:rPr>
          <w:rFonts w:ascii="Calibri" w:hAnsi="Calibri"/>
          <w:noProof/>
          <w:snapToGrid/>
          <w:szCs w:val="22"/>
          <w:lang w:eastAsia="en-GB"/>
        </w:rPr>
      </w:pPr>
      <w:hyperlink w:anchor="_Toc1059745" w:history="1">
        <w:r w:rsidR="009F6F2A" w:rsidRPr="00E37D69">
          <w:rPr>
            <w:rStyle w:val="Hyperlink"/>
            <w:noProof/>
          </w:rPr>
          <w:t>2.5.</w:t>
        </w:r>
        <w:r w:rsidR="009F6F2A" w:rsidRPr="00F016A9">
          <w:rPr>
            <w:rFonts w:ascii="Calibri" w:hAnsi="Calibri"/>
            <w:noProof/>
            <w:snapToGrid/>
            <w:szCs w:val="22"/>
            <w:lang w:eastAsia="en-GB"/>
          </w:rPr>
          <w:tab/>
        </w:r>
        <w:r w:rsidR="009F6F2A" w:rsidRPr="00E37D69">
          <w:rPr>
            <w:rStyle w:val="Hyperlink"/>
            <w:noProof/>
          </w:rPr>
          <w:t>Notification of the Contracting Authority’s decision</w:t>
        </w:r>
        <w:r w:rsidR="009F6F2A">
          <w:rPr>
            <w:noProof/>
            <w:webHidden/>
          </w:rPr>
          <w:tab/>
        </w:r>
        <w:r w:rsidR="009F6F2A">
          <w:rPr>
            <w:noProof/>
            <w:webHidden/>
          </w:rPr>
          <w:fldChar w:fldCharType="begin"/>
        </w:r>
        <w:r w:rsidR="009F6F2A">
          <w:rPr>
            <w:noProof/>
            <w:webHidden/>
          </w:rPr>
          <w:instrText xml:space="preserve"> PAGEREF _Toc1059745 \h </w:instrText>
        </w:r>
        <w:r w:rsidR="009F6F2A">
          <w:rPr>
            <w:noProof/>
            <w:webHidden/>
          </w:rPr>
        </w:r>
        <w:r w:rsidR="009F6F2A">
          <w:rPr>
            <w:noProof/>
            <w:webHidden/>
          </w:rPr>
          <w:fldChar w:fldCharType="separate"/>
        </w:r>
        <w:r w:rsidR="00262646">
          <w:rPr>
            <w:noProof/>
            <w:webHidden/>
          </w:rPr>
          <w:t>31</w:t>
        </w:r>
        <w:r w:rsidR="009F6F2A">
          <w:rPr>
            <w:noProof/>
            <w:webHidden/>
          </w:rPr>
          <w:fldChar w:fldCharType="end"/>
        </w:r>
      </w:hyperlink>
    </w:p>
    <w:p w:rsidR="009F6F2A" w:rsidRPr="00F016A9" w:rsidRDefault="003143CD">
      <w:pPr>
        <w:pStyle w:val="TOC3"/>
        <w:rPr>
          <w:rFonts w:ascii="Calibri" w:hAnsi="Calibri"/>
          <w:snapToGrid/>
          <w:sz w:val="22"/>
          <w:szCs w:val="22"/>
          <w:lang w:eastAsia="en-GB"/>
        </w:rPr>
      </w:pPr>
      <w:hyperlink w:anchor="_Toc1059746" w:history="1">
        <w:r w:rsidR="009F6F2A" w:rsidRPr="00E37D69">
          <w:rPr>
            <w:rStyle w:val="Hyperlink"/>
            <w:rFonts w:ascii="Times New Roman Bold" w:hAnsi="Times New Roman Bold"/>
          </w:rPr>
          <w:t>2.5.1.</w:t>
        </w:r>
        <w:r w:rsidR="009F6F2A" w:rsidRPr="00F016A9">
          <w:rPr>
            <w:rFonts w:ascii="Calibri" w:hAnsi="Calibri"/>
            <w:snapToGrid/>
            <w:sz w:val="22"/>
            <w:szCs w:val="22"/>
            <w:lang w:eastAsia="en-GB"/>
          </w:rPr>
          <w:tab/>
        </w:r>
        <w:r w:rsidR="009F6F2A" w:rsidRPr="00E37D69">
          <w:rPr>
            <w:rStyle w:val="Hyperlink"/>
          </w:rPr>
          <w:t>Content of the decision</w:t>
        </w:r>
        <w:r w:rsidR="009F6F2A">
          <w:rPr>
            <w:webHidden/>
          </w:rPr>
          <w:tab/>
        </w:r>
        <w:r w:rsidR="009F6F2A">
          <w:rPr>
            <w:webHidden/>
          </w:rPr>
          <w:fldChar w:fldCharType="begin"/>
        </w:r>
        <w:r w:rsidR="009F6F2A">
          <w:rPr>
            <w:webHidden/>
          </w:rPr>
          <w:instrText xml:space="preserve"> PAGEREF _Toc1059746 \h </w:instrText>
        </w:r>
        <w:r w:rsidR="009F6F2A">
          <w:rPr>
            <w:webHidden/>
          </w:rPr>
        </w:r>
        <w:r w:rsidR="009F6F2A">
          <w:rPr>
            <w:webHidden/>
          </w:rPr>
          <w:fldChar w:fldCharType="separate"/>
        </w:r>
        <w:r w:rsidR="00262646">
          <w:rPr>
            <w:webHidden/>
          </w:rPr>
          <w:t>31</w:t>
        </w:r>
        <w:r w:rsidR="009F6F2A">
          <w:rPr>
            <w:webHidden/>
          </w:rPr>
          <w:fldChar w:fldCharType="end"/>
        </w:r>
      </w:hyperlink>
    </w:p>
    <w:p w:rsidR="009F6F2A" w:rsidRPr="00F016A9" w:rsidRDefault="003143CD">
      <w:pPr>
        <w:pStyle w:val="TOC3"/>
        <w:rPr>
          <w:rFonts w:ascii="Calibri" w:hAnsi="Calibri"/>
          <w:snapToGrid/>
          <w:sz w:val="22"/>
          <w:szCs w:val="22"/>
          <w:lang w:eastAsia="en-GB"/>
        </w:rPr>
      </w:pPr>
      <w:hyperlink w:anchor="_Toc1059747" w:history="1">
        <w:r w:rsidR="009F6F2A" w:rsidRPr="00E37D69">
          <w:rPr>
            <w:rStyle w:val="Hyperlink"/>
            <w:rFonts w:ascii="Times New Roman Bold" w:hAnsi="Times New Roman Bold"/>
          </w:rPr>
          <w:t>2.5.2.</w:t>
        </w:r>
        <w:r w:rsidR="009F6F2A" w:rsidRPr="00F016A9">
          <w:rPr>
            <w:rFonts w:ascii="Calibri" w:hAnsi="Calibri"/>
            <w:snapToGrid/>
            <w:sz w:val="22"/>
            <w:szCs w:val="22"/>
            <w:lang w:eastAsia="en-GB"/>
          </w:rPr>
          <w:tab/>
        </w:r>
        <w:r w:rsidR="009F6F2A" w:rsidRPr="00E37D69">
          <w:rPr>
            <w:rStyle w:val="Hyperlink"/>
          </w:rPr>
          <w:t>Indicative timetable</w:t>
        </w:r>
        <w:r w:rsidR="009F6F2A">
          <w:rPr>
            <w:webHidden/>
          </w:rPr>
          <w:tab/>
        </w:r>
        <w:r w:rsidR="009F6F2A">
          <w:rPr>
            <w:webHidden/>
          </w:rPr>
          <w:fldChar w:fldCharType="begin"/>
        </w:r>
        <w:r w:rsidR="009F6F2A">
          <w:rPr>
            <w:webHidden/>
          </w:rPr>
          <w:instrText xml:space="preserve"> PAGEREF _Toc1059747 \h </w:instrText>
        </w:r>
        <w:r w:rsidR="009F6F2A">
          <w:rPr>
            <w:webHidden/>
          </w:rPr>
        </w:r>
        <w:r w:rsidR="009F6F2A">
          <w:rPr>
            <w:webHidden/>
          </w:rPr>
          <w:fldChar w:fldCharType="separate"/>
        </w:r>
        <w:r w:rsidR="00262646">
          <w:rPr>
            <w:webHidden/>
          </w:rPr>
          <w:t>31</w:t>
        </w:r>
        <w:r w:rsidR="009F6F2A">
          <w:rPr>
            <w:webHidden/>
          </w:rPr>
          <w:fldChar w:fldCharType="end"/>
        </w:r>
      </w:hyperlink>
    </w:p>
    <w:p w:rsidR="009F6F2A" w:rsidRPr="00F016A9" w:rsidRDefault="003143CD">
      <w:pPr>
        <w:pStyle w:val="TOC2"/>
        <w:rPr>
          <w:rFonts w:ascii="Calibri" w:hAnsi="Calibri"/>
          <w:noProof/>
          <w:snapToGrid/>
          <w:szCs w:val="22"/>
          <w:lang w:eastAsia="en-GB"/>
        </w:rPr>
      </w:pPr>
      <w:hyperlink w:anchor="_Toc1059748" w:history="1">
        <w:r w:rsidR="009F6F2A" w:rsidRPr="00E37D69">
          <w:rPr>
            <w:rStyle w:val="Hyperlink"/>
            <w:noProof/>
          </w:rPr>
          <w:t>2.6.</w:t>
        </w:r>
        <w:r w:rsidR="009F6F2A" w:rsidRPr="00F016A9">
          <w:rPr>
            <w:rFonts w:ascii="Calibri" w:hAnsi="Calibri"/>
            <w:noProof/>
            <w:snapToGrid/>
            <w:szCs w:val="22"/>
            <w:lang w:eastAsia="en-GB"/>
          </w:rPr>
          <w:tab/>
        </w:r>
        <w:r w:rsidR="009F6F2A" w:rsidRPr="00E37D69">
          <w:rPr>
            <w:rStyle w:val="Hyperlink"/>
            <w:noProof/>
          </w:rPr>
          <w:t>Conditions for implementation after the contracting authority’s decision to award a grant</w:t>
        </w:r>
        <w:r w:rsidR="009F6F2A">
          <w:rPr>
            <w:noProof/>
            <w:webHidden/>
          </w:rPr>
          <w:tab/>
        </w:r>
        <w:r w:rsidR="009F6F2A">
          <w:rPr>
            <w:noProof/>
            <w:webHidden/>
          </w:rPr>
          <w:fldChar w:fldCharType="begin"/>
        </w:r>
        <w:r w:rsidR="009F6F2A">
          <w:rPr>
            <w:noProof/>
            <w:webHidden/>
          </w:rPr>
          <w:instrText xml:space="preserve"> PAGEREF _Toc1059748 \h </w:instrText>
        </w:r>
        <w:r w:rsidR="009F6F2A">
          <w:rPr>
            <w:noProof/>
            <w:webHidden/>
          </w:rPr>
        </w:r>
        <w:r w:rsidR="009F6F2A">
          <w:rPr>
            <w:noProof/>
            <w:webHidden/>
          </w:rPr>
          <w:fldChar w:fldCharType="separate"/>
        </w:r>
        <w:r w:rsidR="00262646">
          <w:rPr>
            <w:noProof/>
            <w:webHidden/>
          </w:rPr>
          <w:t>32</w:t>
        </w:r>
        <w:r w:rsidR="009F6F2A">
          <w:rPr>
            <w:noProof/>
            <w:webHidden/>
          </w:rPr>
          <w:fldChar w:fldCharType="end"/>
        </w:r>
      </w:hyperlink>
    </w:p>
    <w:p w:rsidR="009F6F2A" w:rsidRPr="00F016A9" w:rsidRDefault="003143CD">
      <w:pPr>
        <w:pStyle w:val="TOC1"/>
        <w:rPr>
          <w:rFonts w:ascii="Calibri" w:hAnsi="Calibri"/>
          <w:b w:val="0"/>
          <w:caps w:val="0"/>
          <w:noProof/>
          <w:snapToGrid/>
          <w:szCs w:val="22"/>
          <w:lang w:eastAsia="en-GB"/>
        </w:rPr>
      </w:pPr>
      <w:hyperlink w:anchor="_Toc1059749" w:history="1">
        <w:r w:rsidR="009F6F2A" w:rsidRPr="00E37D69">
          <w:rPr>
            <w:rStyle w:val="Hyperlink"/>
            <w:noProof/>
          </w:rPr>
          <w:t>3.</w:t>
        </w:r>
        <w:r w:rsidR="009F6F2A" w:rsidRPr="00F016A9">
          <w:rPr>
            <w:rFonts w:ascii="Calibri" w:hAnsi="Calibri"/>
            <w:b w:val="0"/>
            <w:caps w:val="0"/>
            <w:noProof/>
            <w:snapToGrid/>
            <w:szCs w:val="22"/>
            <w:lang w:eastAsia="en-GB"/>
          </w:rPr>
          <w:tab/>
        </w:r>
        <w:r w:rsidR="009F6F2A" w:rsidRPr="00E37D69">
          <w:rPr>
            <w:rStyle w:val="Hyperlink"/>
            <w:rFonts w:ascii="Times New Roman" w:hAnsi="Times New Roman"/>
            <w:noProof/>
          </w:rPr>
          <w:t>LIST OF annexes</w:t>
        </w:r>
        <w:r w:rsidR="009F6F2A">
          <w:rPr>
            <w:noProof/>
            <w:webHidden/>
          </w:rPr>
          <w:tab/>
        </w:r>
        <w:r w:rsidR="009F6F2A">
          <w:rPr>
            <w:noProof/>
            <w:webHidden/>
          </w:rPr>
          <w:fldChar w:fldCharType="begin"/>
        </w:r>
        <w:r w:rsidR="009F6F2A">
          <w:rPr>
            <w:noProof/>
            <w:webHidden/>
          </w:rPr>
          <w:instrText xml:space="preserve"> PAGEREF _Toc1059749 \h </w:instrText>
        </w:r>
        <w:r w:rsidR="009F6F2A">
          <w:rPr>
            <w:noProof/>
            <w:webHidden/>
          </w:rPr>
        </w:r>
        <w:r w:rsidR="009F6F2A">
          <w:rPr>
            <w:noProof/>
            <w:webHidden/>
          </w:rPr>
          <w:fldChar w:fldCharType="separate"/>
        </w:r>
        <w:r w:rsidR="00262646">
          <w:rPr>
            <w:noProof/>
            <w:webHidden/>
          </w:rPr>
          <w:t>34</w:t>
        </w:r>
        <w:r w:rsidR="009F6F2A">
          <w:rPr>
            <w:noProof/>
            <w:webHidden/>
          </w:rPr>
          <w:fldChar w:fldCharType="end"/>
        </w:r>
      </w:hyperlink>
    </w:p>
    <w:p w:rsidR="00491F8A" w:rsidRPr="00807DAF" w:rsidRDefault="004B7BC2" w:rsidP="00495849">
      <w:pPr>
        <w:rPr>
          <w:sz w:val="28"/>
          <w:szCs w:val="28"/>
        </w:rPr>
        <w:sectPr w:rsidR="00491F8A" w:rsidRPr="00807DAF" w:rsidSect="002D4ACD">
          <w:footerReference w:type="first" r:id="rId14"/>
          <w:pgSz w:w="11906" w:h="16838" w:code="9"/>
          <w:pgMar w:top="1021" w:right="1134" w:bottom="1021" w:left="1134" w:header="567" w:footer="545" w:gutter="0"/>
          <w:cols w:space="720"/>
          <w:titlePg/>
        </w:sectPr>
      </w:pPr>
      <w:r>
        <w:rPr>
          <w:sz w:val="28"/>
          <w:szCs w:val="28"/>
        </w:rPr>
        <w:fldChar w:fldCharType="end"/>
      </w:r>
    </w:p>
    <w:p w:rsidR="0007408E" w:rsidRPr="00807DAF" w:rsidRDefault="00B6770F" w:rsidP="00B6770F">
      <w:pPr>
        <w:pStyle w:val="Guidelines1"/>
        <w:rPr>
          <w:rFonts w:ascii="Times New Roman" w:hAnsi="Times New Roman"/>
        </w:rPr>
      </w:pPr>
      <w:bookmarkStart w:id="1" w:name="_Toc1059723"/>
      <w:r w:rsidRPr="00B6770F">
        <w:rPr>
          <w:rFonts w:ascii="Times New Roman" w:hAnsi="Times New Roman"/>
        </w:rPr>
        <w:lastRenderedPageBreak/>
        <w:t>DEMONSTRATION PROJECTS ON EFFICIENT USE OF WATER</w:t>
      </w:r>
      <w:bookmarkEnd w:id="1"/>
    </w:p>
    <w:p w:rsidR="0007408E" w:rsidRPr="00807DAF" w:rsidRDefault="0007408E" w:rsidP="004741A1">
      <w:pPr>
        <w:pStyle w:val="Guidelines2"/>
      </w:pPr>
      <w:bookmarkStart w:id="2" w:name="_Toc1059724"/>
      <w:r w:rsidRPr="00807DAF">
        <w:t>Background</w:t>
      </w:r>
      <w:bookmarkEnd w:id="2"/>
    </w:p>
    <w:p w:rsidR="00864FA8" w:rsidRDefault="00864FA8" w:rsidP="00864FA8">
      <w:r>
        <w:t>The European Council recognised that “water is a prerequisite for human survival and dignity and a fundamental basis for the resilience of both societies and the environment”. The Southern Mediterranean Region is undergoing intensive demographic, social, economic and environmental changes.</w:t>
      </w:r>
      <w:r>
        <w:rPr>
          <w:rStyle w:val="af6"/>
        </w:rPr>
        <w:footnoteReference w:id="5"/>
      </w:r>
      <w:r>
        <w:t xml:space="preserve"> Population growth and its concentration in the coastal areas generate multiple pressures on the already scarce water resources. In addition, the changes in consumption patterns due to increasing development imply a drastic increase in the volume of water used. </w:t>
      </w:r>
    </w:p>
    <w:p w:rsidR="00864FA8" w:rsidRDefault="00864FA8" w:rsidP="00864FA8">
      <w:r>
        <w:t xml:space="preserve">The Mediterranean region is also a climate change hotspot. Most of the Southern Mediterranean countries are already experiencing rising temperatures, increasing water scarcity, rising frequency of drought and growing rates of desertification. Agriculture makes extensive use of water. Rural areas where the population is mainly depending on agriculture and where water is an irregular, scare and fragile resource, need to make efficient use of it. </w:t>
      </w:r>
    </w:p>
    <w:p w:rsidR="00864FA8" w:rsidRDefault="00864FA8" w:rsidP="00864FA8">
      <w:r>
        <w:t>The challenges linked to the sustainable use of natural resources cannot be sufficiently addressed by countries individually. The European Union, in the framework of the European Neighbourhood Policy (ENP), is therefore promoting regional projects that foster dialogue and cooperation on these fundamental issues in the Southern Mediterranean region. EU action in the region is closely linked to the implementation of the 2030 Agenda for Sustainable Development. In particular, the actions described in this document refer to the Sustainable Development Goals (SDGs) 6 on "Clean Water and Sanitation", 12 on "Responsible consumption and production" and 13 on "Climate action".</w:t>
      </w:r>
    </w:p>
    <w:p w:rsidR="00864FA8" w:rsidRDefault="00864FA8" w:rsidP="00864FA8">
      <w:r>
        <w:t>In November 2018, the EU adopted the regional programme «GreenMed III», which aims, among other things, to promote water efficiency and reduce the water stress in rural and urban areas. Within the framework of GreenMed III, the EU is currently launching the project “Water and Environment Support for the Neighbourhood South Region (WES)”. The project will consist of activities in the area of water including technical assistance, capacity building and institutional reinforcement towards central and local authorities, civil society, professional and citizens association. The WES pr</w:t>
      </w:r>
      <w:r w:rsidR="00EC1E00">
        <w:t xml:space="preserve">oject will support and monitor </w:t>
      </w:r>
      <w:r>
        <w:t>the pilot actions described in this document.</w:t>
      </w:r>
    </w:p>
    <w:p w:rsidR="00864FA8" w:rsidRDefault="00864FA8" w:rsidP="00864FA8">
      <w:pPr>
        <w:rPr>
          <w:highlight w:val="yellow"/>
        </w:rPr>
      </w:pPr>
      <w:r>
        <w:t>The objective of the present call for proposal is to finance a set of demonstration projects that implement innovative approaches and demonstrate the feasibility of efficient use of water. Internal and external project monitoring will be key in order to disseminate lessons learnt and best practices in the region and to increase the replicability of successful practices.</w:t>
      </w:r>
    </w:p>
    <w:p w:rsidR="0007408E" w:rsidRPr="00807DAF" w:rsidRDefault="0007408E" w:rsidP="004741A1">
      <w:pPr>
        <w:pStyle w:val="Guidelines2"/>
      </w:pPr>
      <w:bookmarkStart w:id="3" w:name="_Toc1059725"/>
      <w:r w:rsidRPr="00807DAF">
        <w:t>Objectives of the programme and priority issues</w:t>
      </w:r>
      <w:bookmarkEnd w:id="3"/>
      <w:r w:rsidRPr="00807DAF">
        <w:t xml:space="preserve"> </w:t>
      </w:r>
    </w:p>
    <w:p w:rsidR="00026D5B" w:rsidRPr="00807DAF" w:rsidRDefault="00026D5B" w:rsidP="00BD6FF1">
      <w:r w:rsidRPr="00807DAF">
        <w:t xml:space="preserve">The </w:t>
      </w:r>
      <w:r w:rsidRPr="00807DAF">
        <w:rPr>
          <w:b/>
        </w:rPr>
        <w:t>global objective</w:t>
      </w:r>
      <w:r w:rsidRPr="00807DAF">
        <w:t xml:space="preserve"> of this </w:t>
      </w:r>
      <w:r w:rsidR="002F0314">
        <w:t>c</w:t>
      </w:r>
      <w:r w:rsidRPr="00807DAF">
        <w:t xml:space="preserve">all for </w:t>
      </w:r>
      <w:r w:rsidR="002F0314">
        <w:t>p</w:t>
      </w:r>
      <w:r w:rsidRPr="00807DAF">
        <w:t xml:space="preserve">roposals </w:t>
      </w:r>
      <w:r w:rsidR="001C0E02" w:rsidRPr="00807DAF">
        <w:t>is</w:t>
      </w:r>
      <w:r w:rsidRPr="00807DAF">
        <w:t xml:space="preserve"> </w:t>
      </w:r>
      <w:r w:rsidR="001C0E02" w:rsidRPr="001C0E02">
        <w:t>the promotion of efficient use of water in urban and rural areas, in order to adapting and enhancing resilience to the water-related impacts of climate change</w:t>
      </w:r>
      <w:r w:rsidR="001C0E02">
        <w:t>;</w:t>
      </w:r>
    </w:p>
    <w:p w:rsidR="00026D5B" w:rsidRDefault="00026D5B" w:rsidP="00BD6FF1">
      <w:r w:rsidRPr="00807DAF">
        <w:t xml:space="preserve">The </w:t>
      </w:r>
      <w:r w:rsidR="0096166C">
        <w:rPr>
          <w:b/>
        </w:rPr>
        <w:t>specific objective</w:t>
      </w:r>
      <w:r w:rsidRPr="00807DAF">
        <w:rPr>
          <w:b/>
        </w:rPr>
        <w:t xml:space="preserve"> </w:t>
      </w:r>
      <w:r w:rsidRPr="00807DAF">
        <w:t xml:space="preserve">of this </w:t>
      </w:r>
      <w:r w:rsidR="002F0314">
        <w:t>c</w:t>
      </w:r>
      <w:r w:rsidRPr="00807DAF">
        <w:t xml:space="preserve">all for </w:t>
      </w:r>
      <w:r w:rsidR="002F0314">
        <w:t>p</w:t>
      </w:r>
      <w:r w:rsidRPr="00807DAF">
        <w:t>roposals is</w:t>
      </w:r>
      <w:r w:rsidR="001C0E02" w:rsidRPr="00807DAF">
        <w:t xml:space="preserve"> </w:t>
      </w:r>
      <w:r w:rsidR="001C0E02">
        <w:t xml:space="preserve">to identify, test and </w:t>
      </w:r>
      <w:r w:rsidR="00712449">
        <w:t>showcase</w:t>
      </w:r>
      <w:r w:rsidR="001C0E02">
        <w:t xml:space="preserve"> innovative technical and </w:t>
      </w:r>
      <w:r w:rsidR="001C0E02" w:rsidRPr="001D5778">
        <w:rPr>
          <w:szCs w:val="22"/>
        </w:rPr>
        <w:t xml:space="preserve">institutional solutions </w:t>
      </w:r>
      <w:r w:rsidR="001C0E02">
        <w:rPr>
          <w:szCs w:val="22"/>
        </w:rPr>
        <w:t>that have the potential to be scale</w:t>
      </w:r>
      <w:r w:rsidR="00712449">
        <w:rPr>
          <w:szCs w:val="22"/>
        </w:rPr>
        <w:t>d</w:t>
      </w:r>
      <w:r w:rsidR="001C0E02">
        <w:rPr>
          <w:szCs w:val="22"/>
        </w:rPr>
        <w:t xml:space="preserve"> up </w:t>
      </w:r>
      <w:r w:rsidR="00712449">
        <w:rPr>
          <w:szCs w:val="22"/>
        </w:rPr>
        <w:t>and that lead</w:t>
      </w:r>
      <w:r w:rsidR="001C0E02">
        <w:rPr>
          <w:szCs w:val="22"/>
        </w:rPr>
        <w:t xml:space="preserve"> to the efficient use of water</w:t>
      </w:r>
      <w:r w:rsidR="0096166C">
        <w:rPr>
          <w:szCs w:val="22"/>
        </w:rPr>
        <w:t xml:space="preserve"> in the Southern Mediterranean region</w:t>
      </w:r>
      <w:r w:rsidR="001C0E02">
        <w:rPr>
          <w:szCs w:val="22"/>
        </w:rPr>
        <w:t>.</w:t>
      </w:r>
      <w:r w:rsidRPr="00807DAF">
        <w:t xml:space="preserve"> </w:t>
      </w:r>
    </w:p>
    <w:p w:rsidR="001C0E02" w:rsidRPr="001C0E02" w:rsidRDefault="001C0E02" w:rsidP="001C0E02">
      <w:r w:rsidRPr="001C0E02">
        <w:t xml:space="preserve">Projects on </w:t>
      </w:r>
      <w:r w:rsidRPr="001C0E02">
        <w:rPr>
          <w:u w:val="single"/>
        </w:rPr>
        <w:t>innovative solutions</w:t>
      </w:r>
      <w:r w:rsidRPr="001C0E02">
        <w:t xml:space="preserve"> are defined as follows:</w:t>
      </w:r>
    </w:p>
    <w:p w:rsidR="001C0E02" w:rsidRPr="001C0E02" w:rsidRDefault="001C0E02" w:rsidP="001C0E02">
      <w:r w:rsidRPr="001C0E02">
        <w:lastRenderedPageBreak/>
        <w:t xml:space="preserve">i) Projects that apply a technology, action, methodology or approach that has not been applied or tested before on a large scale ; that offer potential advantages compared to current best practices; and that could subsequently be applied on a larger scale to similar situations, </w:t>
      </w:r>
      <w:r w:rsidRPr="001C0E02">
        <w:rPr>
          <w:b/>
          <w:u w:val="single"/>
        </w:rPr>
        <w:t>or</w:t>
      </w:r>
    </w:p>
    <w:p w:rsidR="001C0E02" w:rsidRDefault="001C0E02" w:rsidP="001C0E02">
      <w:r w:rsidRPr="001C0E02">
        <w:t xml:space="preserve">ii) Projects that put into practice, test, evaluate and disseminate a technology, action, methodology or approach that is new or unknown in the specific context of the </w:t>
      </w:r>
      <w:r w:rsidR="000E5B34">
        <w:t>Southern Mediterranean region</w:t>
      </w:r>
      <w:r w:rsidRPr="001C0E02">
        <w:t xml:space="preserve">, such as the geographical, ecological, socio-economic context; and that could subsequently be </w:t>
      </w:r>
      <w:r w:rsidR="000E5B34">
        <w:t>replicated</w:t>
      </w:r>
      <w:r w:rsidRPr="001C0E02">
        <w:t xml:space="preserve"> elsewhere in similar circumstances.</w:t>
      </w:r>
    </w:p>
    <w:p w:rsidR="00B73F3F" w:rsidRDefault="001C0E02" w:rsidP="00BD6FF1">
      <w:r>
        <w:t xml:space="preserve">The </w:t>
      </w:r>
      <w:r w:rsidRPr="001C0E02">
        <w:rPr>
          <w:u w:val="single"/>
        </w:rPr>
        <w:t>priorities</w:t>
      </w:r>
      <w:r w:rsidR="00B73F3F" w:rsidRPr="00B73F3F">
        <w:t xml:space="preserve"> of this call for proposal</w:t>
      </w:r>
      <w:r w:rsidR="00B73F3F">
        <w:t>s</w:t>
      </w:r>
      <w:r>
        <w:t xml:space="preserve"> are:</w:t>
      </w:r>
    </w:p>
    <w:p w:rsidR="005C6D49" w:rsidRDefault="005C6D49" w:rsidP="00F016A9">
      <w:pPr>
        <w:numPr>
          <w:ilvl w:val="0"/>
          <w:numId w:val="34"/>
        </w:numPr>
      </w:pPr>
      <w:r>
        <w:t>Promoting</w:t>
      </w:r>
      <w:r w:rsidR="0096166C" w:rsidRPr="001C0E02">
        <w:t xml:space="preserve"> water efficiency measures in line with water national strategies and plans</w:t>
      </w:r>
      <w:r>
        <w:t>;</w:t>
      </w:r>
      <w:r w:rsidR="0096166C">
        <w:t xml:space="preserve"> </w:t>
      </w:r>
    </w:p>
    <w:p w:rsidR="0096166C" w:rsidRPr="001C0E02" w:rsidRDefault="005C6D49" w:rsidP="00F016A9">
      <w:pPr>
        <w:numPr>
          <w:ilvl w:val="0"/>
          <w:numId w:val="34"/>
        </w:numPr>
      </w:pPr>
      <w:r>
        <w:t>Facilitating</w:t>
      </w:r>
      <w:r w:rsidR="0096166C" w:rsidRPr="001C0E02">
        <w:t xml:space="preserve"> the regulation and distribution of water among different use</w:t>
      </w:r>
      <w:r w:rsidR="0096166C">
        <w:t>s</w:t>
      </w:r>
      <w:r>
        <w:t>;</w:t>
      </w:r>
    </w:p>
    <w:p w:rsidR="0096166C" w:rsidRPr="00A541FA" w:rsidRDefault="0096166C" w:rsidP="00F016A9">
      <w:pPr>
        <w:numPr>
          <w:ilvl w:val="0"/>
          <w:numId w:val="34"/>
        </w:numPr>
      </w:pPr>
      <w:r w:rsidRPr="00A541FA">
        <w:t xml:space="preserve">Protecting conventional water resources (notably against uncontrolled tapping); </w:t>
      </w:r>
    </w:p>
    <w:p w:rsidR="0096166C" w:rsidRPr="00A541FA" w:rsidRDefault="005C6D49" w:rsidP="00F016A9">
      <w:pPr>
        <w:numPr>
          <w:ilvl w:val="0"/>
          <w:numId w:val="34"/>
        </w:numPr>
      </w:pPr>
      <w:r>
        <w:t>P</w:t>
      </w:r>
      <w:r w:rsidR="0096166C" w:rsidRPr="00854B75">
        <w:t>romot</w:t>
      </w:r>
      <w:r>
        <w:t>ing</w:t>
      </w:r>
      <w:r w:rsidR="0096166C" w:rsidRPr="00854B75">
        <w:t xml:space="preserve"> </w:t>
      </w:r>
      <w:r w:rsidR="0096166C">
        <w:t xml:space="preserve">the use of renewable and </w:t>
      </w:r>
      <w:r w:rsidR="0096166C" w:rsidRPr="00854B75">
        <w:t xml:space="preserve">non-conventional water resources </w:t>
      </w:r>
      <w:r w:rsidR="0096166C" w:rsidRPr="0092053A">
        <w:t xml:space="preserve">and </w:t>
      </w:r>
      <w:r w:rsidR="0096166C">
        <w:t>their</w:t>
      </w:r>
      <w:r w:rsidR="0096166C" w:rsidRPr="0092053A">
        <w:t xml:space="preserve"> distribution;</w:t>
      </w:r>
    </w:p>
    <w:p w:rsidR="0096166C" w:rsidRPr="004B50AA" w:rsidRDefault="0096166C" w:rsidP="00F016A9">
      <w:pPr>
        <w:numPr>
          <w:ilvl w:val="0"/>
          <w:numId w:val="34"/>
        </w:numPr>
      </w:pPr>
      <w:r w:rsidRPr="00FF328E">
        <w:t>Promot</w:t>
      </w:r>
      <w:r>
        <w:t>ing</w:t>
      </w:r>
      <w:r w:rsidRPr="00FF328E">
        <w:t xml:space="preserve"> measures </w:t>
      </w:r>
      <w:r>
        <w:t xml:space="preserve">leading to </w:t>
      </w:r>
      <w:r w:rsidRPr="00FF328E">
        <w:t xml:space="preserve">the reduction of water losses and </w:t>
      </w:r>
      <w:r>
        <w:t xml:space="preserve">to </w:t>
      </w:r>
      <w:r w:rsidRPr="00FF328E">
        <w:t>water saving in urban or rural areas</w:t>
      </w:r>
      <w:r>
        <w:t>;</w:t>
      </w:r>
    </w:p>
    <w:p w:rsidR="0096166C" w:rsidRDefault="0096166C" w:rsidP="00F016A9">
      <w:pPr>
        <w:numPr>
          <w:ilvl w:val="0"/>
          <w:numId w:val="34"/>
        </w:numPr>
      </w:pPr>
      <w:r>
        <w:t xml:space="preserve">Optimising </w:t>
      </w:r>
      <w:r w:rsidRPr="00CB7231">
        <w:t xml:space="preserve">water </w:t>
      </w:r>
      <w:r w:rsidRPr="003736FE">
        <w:t>financing</w:t>
      </w:r>
      <w:r w:rsidRPr="00CB7231">
        <w:t xml:space="preserve"> and related instruments with emphasis on innov</w:t>
      </w:r>
      <w:r>
        <w:t>ative mechanisms at local level;</w:t>
      </w:r>
    </w:p>
    <w:p w:rsidR="0096166C" w:rsidRPr="00CB7231" w:rsidRDefault="0096166C" w:rsidP="00F016A9">
      <w:pPr>
        <w:numPr>
          <w:ilvl w:val="0"/>
          <w:numId w:val="34"/>
        </w:numPr>
      </w:pPr>
      <w:r>
        <w:t>Promoting governance measures leading to water savings in industrial processes, that can include as examples, but not limited to, innovative regulatory,</w:t>
      </w:r>
      <w:r w:rsidR="005C6D49">
        <w:t xml:space="preserve"> fiscal, institutional measures;</w:t>
      </w:r>
    </w:p>
    <w:p w:rsidR="0096166C" w:rsidRDefault="0096166C" w:rsidP="00F016A9">
      <w:pPr>
        <w:numPr>
          <w:ilvl w:val="0"/>
          <w:numId w:val="34"/>
        </w:numPr>
        <w:spacing w:after="240"/>
        <w:ind w:left="714" w:hanging="357"/>
      </w:pPr>
      <w:r w:rsidRPr="003736FE">
        <w:t>Supporting the implementation of the Water, Energy, Food Security and Ecosystem Nexus</w:t>
      </w:r>
      <w:r>
        <w:t>.</w:t>
      </w:r>
      <w:r w:rsidRPr="00817851" w:rsidDel="00817851">
        <w:t xml:space="preserve"> </w:t>
      </w:r>
      <w:r>
        <w:t xml:space="preserve">Where relevant and in view to having a fully integrated approach, activities linked to sustainable irrigation, land protection and crop management may be addressed; </w:t>
      </w:r>
    </w:p>
    <w:p w:rsidR="0096166C" w:rsidRPr="001C0E02" w:rsidRDefault="0096166C" w:rsidP="00F016A9">
      <w:pPr>
        <w:numPr>
          <w:ilvl w:val="0"/>
          <w:numId w:val="34"/>
        </w:numPr>
        <w:spacing w:after="240"/>
        <w:ind w:left="714" w:hanging="357"/>
      </w:pPr>
      <w:r w:rsidRPr="001C0E02">
        <w:t>Controlling the use of poor quality water (untreated wastewater) for secondary activities, in part</w:t>
      </w:r>
      <w:r>
        <w:t>icular supplementary irrigation.</w:t>
      </w:r>
    </w:p>
    <w:p w:rsidR="00712449" w:rsidRPr="00712449" w:rsidRDefault="00712449" w:rsidP="00712449">
      <w:r w:rsidRPr="00712449">
        <w:t>Each Application</w:t>
      </w:r>
      <w:r w:rsidR="00FA6BBC">
        <w:t xml:space="preserve"> (concept note and full application)</w:t>
      </w:r>
      <w:r w:rsidRPr="00712449">
        <w:t xml:space="preserve"> is expected to directly target at least one of the above priorities and can cover several of these priorities.</w:t>
      </w:r>
    </w:p>
    <w:p w:rsidR="00712449" w:rsidRPr="00712449" w:rsidRDefault="00712449" w:rsidP="00712449">
      <w:r w:rsidRPr="00712449">
        <w:t>Every Application has to fully address all of the following methodological elements:</w:t>
      </w:r>
    </w:p>
    <w:p w:rsidR="00712449" w:rsidRPr="00712449" w:rsidRDefault="00712449" w:rsidP="00F016A9">
      <w:pPr>
        <w:numPr>
          <w:ilvl w:val="0"/>
          <w:numId w:val="35"/>
        </w:numPr>
      </w:pPr>
      <w:r w:rsidRPr="00712449">
        <w:t>Addressing a clearly identified priority problem, through projects that present interesting potential for replication and positive impact on the efficient use of water in the target countries.</w:t>
      </w:r>
    </w:p>
    <w:p w:rsidR="00712449" w:rsidRPr="00712449" w:rsidRDefault="00712449" w:rsidP="00F016A9">
      <w:pPr>
        <w:numPr>
          <w:ilvl w:val="0"/>
          <w:numId w:val="35"/>
        </w:numPr>
      </w:pPr>
      <w:r w:rsidRPr="00712449">
        <w:t xml:space="preserve">Beyond the impact on water efficiency, the applications should, to the maximum possible extent, address one or several of the following </w:t>
      </w:r>
      <w:r w:rsidRPr="00712449">
        <w:rPr>
          <w:u w:val="single"/>
        </w:rPr>
        <w:t>added-value items</w:t>
      </w:r>
      <w:r w:rsidRPr="00712449">
        <w:t xml:space="preserve">: creating job opportunities (especially for youth and women), making companies more competitive,  enhancing resilience to climate change, stimulating the local and/or rural economy and promoting the sustainable use of local resources. </w:t>
      </w:r>
    </w:p>
    <w:p w:rsidR="00712449" w:rsidRPr="00712449" w:rsidRDefault="00712449" w:rsidP="00F016A9">
      <w:pPr>
        <w:numPr>
          <w:ilvl w:val="0"/>
          <w:numId w:val="35"/>
        </w:numPr>
      </w:pPr>
      <w:r w:rsidRPr="00712449">
        <w:t xml:space="preserve">The </w:t>
      </w:r>
      <w:r w:rsidRPr="00712449">
        <w:rPr>
          <w:u w:val="single"/>
        </w:rPr>
        <w:t>participation of at least 30% of women</w:t>
      </w:r>
      <w:r w:rsidRPr="00712449">
        <w:t xml:space="preserve"> in the activities of the project should be targeted whenever possible. In case this target cannot be reached, an explanation should be given;</w:t>
      </w:r>
    </w:p>
    <w:p w:rsidR="00712449" w:rsidRPr="00712449" w:rsidRDefault="00712449" w:rsidP="00F016A9">
      <w:pPr>
        <w:numPr>
          <w:ilvl w:val="0"/>
          <w:numId w:val="35"/>
        </w:numPr>
      </w:pPr>
      <w:r w:rsidRPr="00712449">
        <w:t xml:space="preserve">Having a </w:t>
      </w:r>
      <w:r w:rsidRPr="00712449">
        <w:rPr>
          <w:u w:val="single"/>
        </w:rPr>
        <w:t>clearly demonstrated and measurable direct impact at local level</w:t>
      </w:r>
      <w:r w:rsidRPr="00712449">
        <w:t xml:space="preserve"> – without excluding actions with a national scope. </w:t>
      </w:r>
    </w:p>
    <w:p w:rsidR="00712449" w:rsidRPr="00712449" w:rsidRDefault="00712449" w:rsidP="00F016A9">
      <w:pPr>
        <w:numPr>
          <w:ilvl w:val="0"/>
          <w:numId w:val="35"/>
        </w:numPr>
      </w:pPr>
      <w:r w:rsidRPr="00712449">
        <w:t>Adopting</w:t>
      </w:r>
      <w:r w:rsidR="000E5B34">
        <w:t>, when relevant,</w:t>
      </w:r>
      <w:r w:rsidRPr="00712449">
        <w:t xml:space="preserve"> a </w:t>
      </w:r>
      <w:r w:rsidRPr="00712449">
        <w:rPr>
          <w:u w:val="single"/>
        </w:rPr>
        <w:t>participative approach</w:t>
      </w:r>
      <w:r w:rsidRPr="00712449">
        <w:t xml:space="preserve"> at all stages of the project, involving local stakeholders and Civil Society organisations. Public-private partnership should be sought when possible. </w:t>
      </w:r>
    </w:p>
    <w:p w:rsidR="00712449" w:rsidRPr="00712449" w:rsidRDefault="00712449" w:rsidP="00F016A9">
      <w:pPr>
        <w:numPr>
          <w:ilvl w:val="0"/>
          <w:numId w:val="35"/>
        </w:numPr>
      </w:pPr>
      <w:r w:rsidRPr="00712449">
        <w:rPr>
          <w:u w:val="single"/>
        </w:rPr>
        <w:lastRenderedPageBreak/>
        <w:t>Long-term sustainability</w:t>
      </w:r>
      <w:r w:rsidRPr="00712449">
        <w:t>, at institutional, technical, environmental and financial levels must be addressed at all stages, from action design to implementation and after project completion;</w:t>
      </w:r>
      <w:r w:rsidRPr="00712449">
        <w:rPr>
          <w:vertAlign w:val="superscript"/>
        </w:rPr>
        <w:footnoteReference w:id="6"/>
      </w:r>
    </w:p>
    <w:p w:rsidR="00712449" w:rsidRPr="00712449" w:rsidRDefault="00712449" w:rsidP="00F016A9">
      <w:pPr>
        <w:numPr>
          <w:ilvl w:val="0"/>
          <w:numId w:val="35"/>
        </w:numPr>
      </w:pPr>
      <w:r w:rsidRPr="00712449">
        <w:t xml:space="preserve">Presence of a strong </w:t>
      </w:r>
      <w:r w:rsidRPr="00712449">
        <w:rPr>
          <w:u w:val="single"/>
        </w:rPr>
        <w:t>internal monitoring</w:t>
      </w:r>
      <w:r w:rsidRPr="00712449">
        <w:t xml:space="preserve"> component, with dedicated resources and suitable indicators so that results and impacts can be documented and disseminated in the most objective manner. SMART (Specific, Measurable, Achievable, Relevant and Time bound) indicators that rely on existing and reliable sources are identified before the start of the project.</w:t>
      </w:r>
    </w:p>
    <w:p w:rsidR="00712449" w:rsidRPr="00712449" w:rsidRDefault="00712449" w:rsidP="00F016A9">
      <w:pPr>
        <w:numPr>
          <w:ilvl w:val="0"/>
          <w:numId w:val="35"/>
        </w:numPr>
      </w:pPr>
      <w:r w:rsidRPr="00712449">
        <w:t xml:space="preserve">Include activities linked to the </w:t>
      </w:r>
      <w:r w:rsidRPr="00712449">
        <w:rPr>
          <w:u w:val="single"/>
        </w:rPr>
        <w:t>dissemination of good practices</w:t>
      </w:r>
      <w:r w:rsidRPr="00712449">
        <w:t xml:space="preserve">. The methodology will have to be well described and take into account the replicability and transferability of the proposed activities. </w:t>
      </w:r>
    </w:p>
    <w:p w:rsidR="00712449" w:rsidRPr="00712449" w:rsidRDefault="00712449" w:rsidP="00F016A9">
      <w:pPr>
        <w:numPr>
          <w:ilvl w:val="0"/>
          <w:numId w:val="35"/>
        </w:numPr>
      </w:pPr>
      <w:r w:rsidRPr="00712449">
        <w:t xml:space="preserve">Orientating the activities toward policy or technical recommendations. Projects must highlight the economic benefits of their actions (job creation, resources efficiency, productivity gains, etc.), as well as translate the project results into a policy recommendation and/or policy brief. </w:t>
      </w:r>
    </w:p>
    <w:p w:rsidR="00712449" w:rsidRPr="00712449" w:rsidRDefault="00712449" w:rsidP="00F016A9">
      <w:pPr>
        <w:numPr>
          <w:ilvl w:val="0"/>
          <w:numId w:val="35"/>
        </w:numPr>
      </w:pPr>
      <w:r w:rsidRPr="00712449">
        <w:t xml:space="preserve">The Action must be </w:t>
      </w:r>
      <w:r w:rsidRPr="00712449">
        <w:rPr>
          <w:u w:val="single"/>
        </w:rPr>
        <w:t xml:space="preserve">consistent with EU </w:t>
      </w:r>
      <w:r w:rsidRPr="00712449">
        <w:t xml:space="preserve">policies in the field of water management, as well as with </w:t>
      </w:r>
      <w:r w:rsidRPr="00712449">
        <w:rPr>
          <w:u w:val="single"/>
        </w:rPr>
        <w:t>the needs of the country/ies were the Action is to take place</w:t>
      </w:r>
      <w:r w:rsidRPr="00712449">
        <w:t xml:space="preserve">. </w:t>
      </w:r>
      <w:r w:rsidRPr="00712449">
        <w:rPr>
          <w:b/>
        </w:rPr>
        <w:t xml:space="preserve">A letter of endorsement by the competent national </w:t>
      </w:r>
      <w:r w:rsidR="000E5B34">
        <w:rPr>
          <w:b/>
        </w:rPr>
        <w:t xml:space="preserve">or local </w:t>
      </w:r>
      <w:r w:rsidRPr="00712449">
        <w:rPr>
          <w:b/>
        </w:rPr>
        <w:t>authority may be submitted and will be regarded as an asset during the evaluation of the full application</w:t>
      </w:r>
      <w:r w:rsidRPr="00712449">
        <w:t>;</w:t>
      </w:r>
    </w:p>
    <w:p w:rsidR="00712449" w:rsidRPr="00712449" w:rsidRDefault="00712449" w:rsidP="00712449">
      <w:r w:rsidRPr="00712449">
        <w:t xml:space="preserve">During the preparation of the proposals, prospective applicants should look for </w:t>
      </w:r>
      <w:r w:rsidRPr="00712449">
        <w:rPr>
          <w:u w:val="single"/>
        </w:rPr>
        <w:t>synergies with ongoing water related programmes</w:t>
      </w:r>
      <w:r w:rsidRPr="00712449">
        <w:t xml:space="preserve"> in the beneficiary country(/ies);</w:t>
      </w:r>
    </w:p>
    <w:p w:rsidR="00712449" w:rsidRPr="00712449" w:rsidRDefault="00712449" w:rsidP="00712449">
      <w:r w:rsidRPr="00712449">
        <w:t xml:space="preserve">The Action can cover one or several </w:t>
      </w:r>
      <w:r w:rsidRPr="00712449">
        <w:rPr>
          <w:u w:val="single"/>
        </w:rPr>
        <w:t>beneficiary countries</w:t>
      </w:r>
      <w:r w:rsidRPr="00712449">
        <w:t>.</w:t>
      </w:r>
    </w:p>
    <w:p w:rsidR="00712449" w:rsidRPr="00712449" w:rsidRDefault="00712449" w:rsidP="00712449">
      <w:r w:rsidRPr="00712449">
        <w:rPr>
          <w:u w:val="single"/>
        </w:rPr>
        <w:t>Additional information</w:t>
      </w:r>
      <w:r w:rsidRPr="00712449">
        <w:t>:</w:t>
      </w:r>
    </w:p>
    <w:p w:rsidR="00DF1B4B" w:rsidRDefault="00DF1B4B" w:rsidP="00DF1B4B">
      <w:r>
        <w:t xml:space="preserve">Strong coordination will be established between the Water and Environment Support for the </w:t>
      </w:r>
      <w:r w:rsidR="00350F1E">
        <w:t>Neighbourhood South Region (WES</w:t>
      </w:r>
      <w:r>
        <w:t>) and the demonstration projects. The WES, together with the European Commission will be involved in the demonstration projects monitoring throughout their duration. Such a coordination aims at ensuring the integration of the demonstration projects into a wider strategy on efficient use of water in the Neighbourhood South countries.</w:t>
      </w:r>
    </w:p>
    <w:p w:rsidR="00DF1B4B" w:rsidRDefault="00DF1B4B" w:rsidP="00DF1B4B">
      <w:r>
        <w:t>In the pursuit of this more integrated approach, the project selected for funding may be requested to participate in workshops organised by the Water and Environment Support. A provision for the participation of at least one representative for each applicant and co-applicant in one regional seminar per year should be included in the project financial proposal (Annex B Budget). The WES may finance participation in other regional events from its own budget.</w:t>
      </w:r>
    </w:p>
    <w:p w:rsidR="00712449" w:rsidRPr="00712449" w:rsidRDefault="00712449" w:rsidP="00DF1B4B">
      <w:r w:rsidRPr="00712449">
        <w:t>The WES will support the implementation of the demonstration projects by</w:t>
      </w:r>
      <w:r w:rsidR="000E5B34">
        <w:t>:</w:t>
      </w:r>
      <w:r w:rsidRPr="00712449">
        <w:t xml:space="preserve"> </w:t>
      </w:r>
    </w:p>
    <w:p w:rsidR="00712449" w:rsidRPr="00712449" w:rsidRDefault="00712449" w:rsidP="00F016A9">
      <w:pPr>
        <w:numPr>
          <w:ilvl w:val="0"/>
          <w:numId w:val="36"/>
        </w:numPr>
      </w:pPr>
      <w:r w:rsidRPr="00712449">
        <w:t xml:space="preserve">providing ad hoc technical advices upon request, </w:t>
      </w:r>
    </w:p>
    <w:p w:rsidR="00712449" w:rsidRPr="00712449" w:rsidRDefault="00712449" w:rsidP="00F016A9">
      <w:pPr>
        <w:numPr>
          <w:ilvl w:val="0"/>
          <w:numId w:val="36"/>
        </w:numPr>
      </w:pPr>
      <w:r w:rsidRPr="00712449">
        <w:t xml:space="preserve">Performing external monitoring of each demonstration project in order to make recommendations that can improve the project effectiveness, efficiency, sustainability and impact; </w:t>
      </w:r>
    </w:p>
    <w:p w:rsidR="00712449" w:rsidRPr="00712449" w:rsidRDefault="00712449" w:rsidP="00F016A9">
      <w:pPr>
        <w:numPr>
          <w:ilvl w:val="0"/>
          <w:numId w:val="36"/>
        </w:numPr>
      </w:pPr>
      <w:r w:rsidRPr="00712449">
        <w:t xml:space="preserve">Facilitate the communication and dissemination of the activities by reviewing the communication plan of each demonstration projects and by creating a webpage on the WES website for each demonstration project. </w:t>
      </w:r>
    </w:p>
    <w:p w:rsidR="001C0E02" w:rsidRPr="00807DAF" w:rsidRDefault="00712449" w:rsidP="00BD6FF1">
      <w:r w:rsidRPr="00712449">
        <w:t>In addition, water national focal points will be involved in the process of following the demonstration projects to promote the assimilation by the countries of the proposed innovations.</w:t>
      </w:r>
    </w:p>
    <w:p w:rsidR="0007408E" w:rsidRPr="00807DAF" w:rsidRDefault="0007408E" w:rsidP="004741A1">
      <w:pPr>
        <w:pStyle w:val="Guidelines2"/>
      </w:pPr>
      <w:bookmarkStart w:id="4" w:name="_Toc1059726"/>
      <w:r w:rsidRPr="00807DAF">
        <w:lastRenderedPageBreak/>
        <w:t>Financial allocation provided by the contracting authority</w:t>
      </w:r>
      <w:bookmarkEnd w:id="4"/>
    </w:p>
    <w:p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807DAF">
        <w:t>EUR</w:t>
      </w:r>
      <w:r w:rsidRPr="00807DAF">
        <w:t xml:space="preserve"> </w:t>
      </w:r>
      <w:r w:rsidR="00323A82">
        <w:t>5,000,000</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rsidR="0007408E" w:rsidRPr="00323A82" w:rsidRDefault="00A016F9" w:rsidP="00BD6FF1">
      <w:pPr>
        <w:rPr>
          <w:b/>
        </w:rPr>
      </w:pPr>
      <w:r w:rsidRPr="00323A82">
        <w:rPr>
          <w:b/>
        </w:rPr>
        <w:t>Size</w:t>
      </w:r>
      <w:r w:rsidR="0007408E" w:rsidRPr="00323A82">
        <w:rPr>
          <w:b/>
        </w:rPr>
        <w:t xml:space="preserve"> of grants</w:t>
      </w:r>
    </w:p>
    <w:p w:rsidR="0007408E" w:rsidRPr="00807DAF" w:rsidRDefault="0007408E" w:rsidP="00BD6FF1">
      <w:r w:rsidRPr="00807DAF">
        <w:t xml:space="preserve">Any grant </w:t>
      </w:r>
      <w:r w:rsidR="00470768" w:rsidRPr="00807DAF">
        <w:t>requested</w:t>
      </w:r>
      <w:r w:rsidRPr="00807DAF">
        <w:t xml:space="preserve"> under this </w:t>
      </w:r>
      <w:r w:rsidR="002F0314">
        <w:t>c</w:t>
      </w:r>
      <w:r w:rsidR="00332780" w:rsidRPr="00807DAF">
        <w:t xml:space="preserve">all for </w:t>
      </w:r>
      <w:r w:rsidR="002F0314">
        <w:t>p</w:t>
      </w:r>
      <w:r w:rsidR="00332780" w:rsidRPr="00807DAF">
        <w:t xml:space="preserve">roposals </w:t>
      </w:r>
      <w:r w:rsidRPr="00807DAF">
        <w:t>must fall between the following</w:t>
      </w:r>
      <w:r w:rsidR="00323A82">
        <w:t xml:space="preserve"> </w:t>
      </w:r>
      <w:r w:rsidRPr="00323A82">
        <w:t>minimum</w:t>
      </w:r>
      <w:r w:rsidR="00323A82">
        <w:t xml:space="preserve"> and </w:t>
      </w:r>
      <w:r w:rsidRPr="00807DAF">
        <w:t>maximum amounts:</w:t>
      </w:r>
    </w:p>
    <w:p w:rsidR="00323A82" w:rsidRPr="00807DAF" w:rsidRDefault="00323A82" w:rsidP="00F016A9">
      <w:pPr>
        <w:numPr>
          <w:ilvl w:val="0"/>
          <w:numId w:val="14"/>
        </w:numPr>
      </w:pPr>
      <w:r w:rsidRPr="003736FE">
        <w:t>minimum amount: EUR</w:t>
      </w:r>
      <w:r w:rsidRPr="00807DAF">
        <w:t xml:space="preserve"> </w:t>
      </w:r>
      <w:r>
        <w:t>500,000</w:t>
      </w:r>
    </w:p>
    <w:p w:rsidR="0007408E" w:rsidRPr="00807DAF" w:rsidRDefault="0007408E" w:rsidP="00F016A9">
      <w:pPr>
        <w:numPr>
          <w:ilvl w:val="0"/>
          <w:numId w:val="14"/>
        </w:numPr>
      </w:pPr>
      <w:r w:rsidRPr="00807DAF">
        <w:t xml:space="preserve">maximum amount: </w:t>
      </w:r>
      <w:r w:rsidR="0006470D" w:rsidRPr="00807DAF">
        <w:t>EUR</w:t>
      </w:r>
      <w:r w:rsidRPr="00807DAF">
        <w:t xml:space="preserve"> </w:t>
      </w:r>
      <w:r w:rsidR="00323A82">
        <w:t>1,000,000</w:t>
      </w:r>
    </w:p>
    <w:p w:rsidR="00BA00F7" w:rsidRPr="00807DAF" w:rsidRDefault="00BA00F7" w:rsidP="00BD6FF1">
      <w:r w:rsidRPr="00807DAF">
        <w:t xml:space="preserve">Any grant </w:t>
      </w:r>
      <w:r w:rsidR="00470768" w:rsidRPr="00807DAF">
        <w:t>requested</w:t>
      </w:r>
      <w:r w:rsidRPr="00807DAF">
        <w:t xml:space="preserve"> under this </w:t>
      </w:r>
      <w:r w:rsidR="002F0314">
        <w:t>c</w:t>
      </w:r>
      <w:r w:rsidRPr="00807DAF">
        <w:t xml:space="preserve">all for </w:t>
      </w:r>
      <w:r w:rsidR="002F0314">
        <w:t>p</w:t>
      </w:r>
      <w:r w:rsidRPr="00807DAF">
        <w:t xml:space="preserve">roposals must fall between the following </w:t>
      </w:r>
      <w:r w:rsidRPr="00323A82">
        <w:t>minimum and</w:t>
      </w:r>
      <w:r w:rsidRPr="00807DAF">
        <w:t xml:space="preserve"> maximum percentages of total eligible costs of the action</w:t>
      </w:r>
      <w:r w:rsidR="00D57C7A" w:rsidRPr="00807DAF">
        <w:t>:</w:t>
      </w:r>
    </w:p>
    <w:p w:rsidR="000F62AF" w:rsidRPr="00807DAF" w:rsidRDefault="00323A82" w:rsidP="00F016A9">
      <w:pPr>
        <w:numPr>
          <w:ilvl w:val="0"/>
          <w:numId w:val="15"/>
        </w:numPr>
      </w:pPr>
      <w:r w:rsidRPr="003736FE">
        <w:t xml:space="preserve">Minimum percentage: </w:t>
      </w:r>
      <w:r>
        <w:t xml:space="preserve">50 </w:t>
      </w:r>
      <w:r w:rsidRPr="003736FE">
        <w:t>% of the total eligible costs of the action.</w:t>
      </w:r>
    </w:p>
    <w:p w:rsidR="00201E89" w:rsidRDefault="00BA00F7" w:rsidP="00F016A9">
      <w:pPr>
        <w:numPr>
          <w:ilvl w:val="0"/>
          <w:numId w:val="15"/>
        </w:numPr>
      </w:pPr>
      <w:r w:rsidRPr="00807DAF">
        <w:t xml:space="preserve">Maximum </w:t>
      </w:r>
      <w:r w:rsidR="006E0555" w:rsidRPr="00807DAF">
        <w:t>percentage:</w:t>
      </w:r>
      <w:r w:rsidR="00350F1E">
        <w:t xml:space="preserve"> </w:t>
      </w:r>
      <w:r w:rsidR="00323A82">
        <w:t xml:space="preserve">80 </w:t>
      </w:r>
      <w:r w:rsidR="0007408E" w:rsidRPr="00807DAF">
        <w:t xml:space="preserve">% of the total eligible costs of the action (see also </w:t>
      </w:r>
      <w:r w:rsidR="00D11783">
        <w:t>S</w:t>
      </w:r>
      <w:r w:rsidR="00896ECA" w:rsidRPr="00807DAF">
        <w:t>ection</w:t>
      </w:r>
      <w:r w:rsidR="0007408E" w:rsidRPr="00807DAF">
        <w:t xml:space="preserve"> 2.1.</w:t>
      </w:r>
      <w:r w:rsidR="00446C56" w:rsidRPr="00807DAF">
        <w:t>5</w:t>
      </w:r>
      <w:r w:rsidR="0007408E" w:rsidRPr="00807DAF">
        <w:t>).</w:t>
      </w:r>
      <w:r w:rsidR="00FF4BB3" w:rsidRPr="00807DAF">
        <w:t xml:space="preserve"> </w:t>
      </w:r>
    </w:p>
    <w:p w:rsidR="0007408E" w:rsidRPr="00807DAF" w:rsidRDefault="0007408E" w:rsidP="00042967">
      <w:pPr>
        <w:tabs>
          <w:tab w:val="num" w:pos="0"/>
        </w:tabs>
        <w:spacing w:before="120"/>
        <w:rPr>
          <w:szCs w:val="22"/>
        </w:rPr>
      </w:pPr>
      <w:r w:rsidRPr="00807DAF">
        <w:rPr>
          <w:szCs w:val="22"/>
        </w:rPr>
        <w:t>The balance</w:t>
      </w:r>
      <w:r w:rsidR="00470768" w:rsidRPr="00807DAF">
        <w:rPr>
          <w:szCs w:val="22"/>
        </w:rPr>
        <w:t xml:space="preserve"> (i.e.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must be financed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af6"/>
        </w:rPr>
        <w:footnoteReference w:id="7"/>
      </w:r>
      <w:r w:rsidR="004D357E" w:rsidRPr="00807DAF">
        <w:rPr>
          <w:szCs w:val="22"/>
        </w:rPr>
        <w:t>.</w:t>
      </w:r>
    </w:p>
    <w:p w:rsidR="0007408E" w:rsidRPr="00807DAF" w:rsidRDefault="00267E4F" w:rsidP="00D97BE7">
      <w:pPr>
        <w:pStyle w:val="Guidelines1"/>
        <w:rPr>
          <w:rFonts w:ascii="Times New Roman" w:hAnsi="Times New Roman"/>
        </w:rPr>
      </w:pPr>
      <w:r w:rsidRPr="00807DAF">
        <w:rPr>
          <w:rFonts w:ascii="Times New Roman" w:hAnsi="Times New Roman"/>
        </w:rPr>
        <w:br w:type="page"/>
      </w:r>
      <w:bookmarkStart w:id="5" w:name="_Toc1059727"/>
      <w:r w:rsidR="0007408E" w:rsidRPr="00807DAF">
        <w:rPr>
          <w:rFonts w:ascii="Times New Roman" w:hAnsi="Times New Roman"/>
        </w:rPr>
        <w:lastRenderedPageBreak/>
        <w:t xml:space="preserve">Rules </w:t>
      </w:r>
      <w:r w:rsidR="0024146B" w:rsidRPr="00807DAF">
        <w:rPr>
          <w:rFonts w:ascii="Times New Roman" w:hAnsi="Times New Roman"/>
        </w:rPr>
        <w:t xml:space="preserve">FOR </w:t>
      </w:r>
      <w:r w:rsidR="0007408E" w:rsidRPr="00807DAF">
        <w:rPr>
          <w:rFonts w:ascii="Times New Roman" w:hAnsi="Times New Roman"/>
        </w:rPr>
        <w:t>thIS call for proposalS</w:t>
      </w:r>
      <w:bookmarkEnd w:id="5"/>
    </w:p>
    <w:p w:rsidR="0007408E" w:rsidRPr="00807DAF" w:rsidRDefault="0007408E" w:rsidP="00BD6FF1">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5" w:history="1">
        <w:r w:rsidR="009C7178" w:rsidRPr="00F2526B">
          <w:rPr>
            <w:rStyle w:val="Hyperlink"/>
          </w:rPr>
          <w:t>http://ec.europa.eu/europeaid/prag/document.do?locale=en</w:t>
        </w:r>
      </w:hyperlink>
      <w:r w:rsidR="001A3FE1" w:rsidRPr="00807DAF">
        <w:t>)</w:t>
      </w:r>
      <w:r w:rsidRPr="00807DAF">
        <w:t>.</w:t>
      </w:r>
      <w:r w:rsidR="00C60C7C">
        <w:rPr>
          <w:rStyle w:val="af6"/>
        </w:rPr>
        <w:footnoteReference w:id="8"/>
      </w:r>
    </w:p>
    <w:p w:rsidR="0007408E" w:rsidRPr="00807DAF" w:rsidRDefault="0007408E" w:rsidP="004741A1">
      <w:pPr>
        <w:pStyle w:val="Guidelines2"/>
      </w:pPr>
      <w:bookmarkStart w:id="6" w:name="_Toc1059728"/>
      <w:r w:rsidRPr="00807DAF">
        <w:t>Eligibility criteria</w:t>
      </w:r>
      <w:bookmarkEnd w:id="6"/>
    </w:p>
    <w:p w:rsidR="0007408E" w:rsidRPr="00807DAF" w:rsidRDefault="0007408E" w:rsidP="006E0555">
      <w:r w:rsidRPr="00807DAF">
        <w:t>There are three sets of eligibility criteria, relating to:</w:t>
      </w:r>
    </w:p>
    <w:p w:rsidR="003477DE" w:rsidRPr="00807DAF" w:rsidRDefault="00296A25" w:rsidP="00F016A9">
      <w:pPr>
        <w:numPr>
          <w:ilvl w:val="0"/>
          <w:numId w:val="28"/>
        </w:numPr>
      </w:pPr>
      <w:r w:rsidRPr="00807DAF">
        <w:t>the actors:</w:t>
      </w:r>
    </w:p>
    <w:p w:rsidR="003477DE" w:rsidRPr="00807DAF" w:rsidRDefault="006A36F9" w:rsidP="00F016A9">
      <w:pPr>
        <w:numPr>
          <w:ilvl w:val="0"/>
          <w:numId w:val="16"/>
        </w:numPr>
        <w:ind w:left="1134"/>
      </w:pPr>
      <w:r w:rsidRPr="00807DAF">
        <w:t xml:space="preserve">The </w:t>
      </w:r>
      <w:r w:rsidR="00D11783">
        <w:t>‘</w:t>
      </w:r>
      <w:r w:rsidR="00ED0176">
        <w:rPr>
          <w:b/>
        </w:rPr>
        <w:t>lead a</w:t>
      </w:r>
      <w:r w:rsidRPr="00807DAF">
        <w:rPr>
          <w:b/>
        </w:rPr>
        <w:t>pplicant</w:t>
      </w:r>
      <w:r w:rsidR="00D11783">
        <w:rPr>
          <w:b/>
        </w:rPr>
        <w:t>’</w:t>
      </w:r>
      <w:r w:rsidRPr="00807DAF">
        <w:t xml:space="preserve">, </w:t>
      </w:r>
      <w:r w:rsidR="00296A25" w:rsidRPr="00807DAF">
        <w:t xml:space="preserve">i.e.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F06309" w:rsidRPr="00807DAF">
        <w:t xml:space="preserve"> (2.1.1),</w:t>
      </w:r>
    </w:p>
    <w:p w:rsidR="003477DE" w:rsidRPr="00807DAF" w:rsidRDefault="00A31B91" w:rsidP="00F016A9">
      <w:pPr>
        <w:numPr>
          <w:ilvl w:val="0"/>
          <w:numId w:val="16"/>
        </w:numPr>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BF158E">
        <w:rPr>
          <w:b/>
          <w:u w:val="single"/>
        </w:rPr>
        <w:t>applicant</w:t>
      </w:r>
      <w:r w:rsidR="009F3146" w:rsidRPr="00BF158E">
        <w:rPr>
          <w:b/>
          <w:u w:val="single"/>
        </w:rPr>
        <w:t>(</w:t>
      </w:r>
      <w:r w:rsidR="006A36F9" w:rsidRPr="00BF158E">
        <w:rPr>
          <w:b/>
          <w:u w:val="single"/>
        </w:rPr>
        <w:t>s</w:t>
      </w:r>
      <w:r w:rsidR="009F3146" w:rsidRPr="00BF158E">
        <w:rPr>
          <w:b/>
          <w:u w:val="single"/>
        </w:rPr>
        <w:t>)</w:t>
      </w:r>
      <w:r w:rsidR="00D11783" w:rsidRPr="00BF158E">
        <w:rPr>
          <w:b/>
          <w:u w:val="single"/>
        </w:rPr>
        <w:t>’</w:t>
      </w:r>
      <w:r w:rsidRPr="00807DAF">
        <w:t>)</w:t>
      </w:r>
      <w:r w:rsidR="006A36F9" w:rsidRPr="00807DAF">
        <w:t xml:space="preserve"> (2.1.1), </w:t>
      </w:r>
    </w:p>
    <w:p w:rsidR="00E95995" w:rsidRPr="00807DAF" w:rsidRDefault="006A36F9" w:rsidP="00F016A9">
      <w:pPr>
        <w:numPr>
          <w:ilvl w:val="0"/>
          <w:numId w:val="16"/>
        </w:numPr>
        <w:ind w:left="1134"/>
      </w:pPr>
      <w:r w:rsidRPr="00807DAF">
        <w:t>and</w:t>
      </w:r>
      <w:r w:rsidR="00A31B91" w:rsidRPr="00807DAF">
        <w:t>, if any,</w:t>
      </w:r>
      <w:r w:rsidRPr="00807DAF">
        <w:t xml:space="preserve"> </w:t>
      </w:r>
      <w:r w:rsidR="00A31B91" w:rsidRPr="00807DAF">
        <w:rPr>
          <w:b/>
        </w:rPr>
        <w:t>affiliated entity(ies)</w:t>
      </w:r>
      <w:r w:rsidR="00296A25" w:rsidRPr="00807DAF">
        <w:rPr>
          <w:b/>
        </w:rPr>
        <w:t xml:space="preserve"> </w:t>
      </w:r>
      <w:r w:rsidR="00296A25" w:rsidRPr="00807DAF">
        <w:t xml:space="preserve">to the </w:t>
      </w:r>
      <w:r w:rsidR="00ED0176">
        <w:t>lead a</w:t>
      </w:r>
      <w:r w:rsidR="00296A25" w:rsidRPr="00807DAF">
        <w:t xml:space="preserve">pplicant and/or to a co-applicant(s). </w:t>
      </w:r>
      <w:r w:rsidR="00A31B91" w:rsidRPr="00807DAF">
        <w:t>(2.1.</w:t>
      </w:r>
      <w:r w:rsidR="00F06309" w:rsidRPr="00807DAF">
        <w:t>2</w:t>
      </w:r>
      <w:r w:rsidRPr="00807DAF">
        <w:t>);</w:t>
      </w:r>
    </w:p>
    <w:p w:rsidR="00E95995" w:rsidRPr="00807DAF" w:rsidRDefault="00296A25" w:rsidP="00F016A9">
      <w:pPr>
        <w:numPr>
          <w:ilvl w:val="0"/>
          <w:numId w:val="28"/>
        </w:numPr>
      </w:pPr>
      <w:r w:rsidRPr="00807DAF">
        <w:t xml:space="preserve">the </w:t>
      </w:r>
      <w:r w:rsidR="00F06309" w:rsidRPr="00807DAF">
        <w:t>a</w:t>
      </w:r>
      <w:r w:rsidR="006F1CFC" w:rsidRPr="00807DAF">
        <w:t>ctions</w:t>
      </w:r>
      <w:r w:rsidRPr="00807DAF">
        <w:t>:</w:t>
      </w:r>
    </w:p>
    <w:p w:rsidR="003477DE" w:rsidRPr="00807DAF" w:rsidRDefault="006F1CFC" w:rsidP="00E95995">
      <w:pPr>
        <w:ind w:left="720"/>
      </w:pPr>
      <w:r w:rsidRPr="00807DAF">
        <w:t>Action</w:t>
      </w:r>
      <w:r w:rsidR="00A07623" w:rsidRPr="00807DAF">
        <w:t>s</w:t>
      </w:r>
      <w:r w:rsidR="003477DE" w:rsidRPr="00807DAF">
        <w:t xml:space="preserve"> for which a grant may be awarded (2.1.4);</w:t>
      </w:r>
    </w:p>
    <w:p w:rsidR="00E95995" w:rsidRPr="00807DAF" w:rsidRDefault="00296A25" w:rsidP="00F016A9">
      <w:pPr>
        <w:numPr>
          <w:ilvl w:val="0"/>
          <w:numId w:val="28"/>
        </w:numPr>
      </w:pPr>
      <w:r w:rsidRPr="00807DAF">
        <w:t>the costs:</w:t>
      </w:r>
    </w:p>
    <w:p w:rsidR="00267E4F" w:rsidRDefault="0007408E" w:rsidP="00F016A9">
      <w:pPr>
        <w:numPr>
          <w:ilvl w:val="0"/>
          <w:numId w:val="16"/>
        </w:numPr>
        <w:ind w:left="1134"/>
      </w:pPr>
      <w:r w:rsidRPr="00807DAF">
        <w:t xml:space="preserve">types of cost </w:t>
      </w:r>
      <w:r w:rsidR="00AA424B" w:rsidRPr="00807DAF">
        <w:t xml:space="preserve">that </w:t>
      </w:r>
      <w:r w:rsidRPr="00807DAF">
        <w:t>may be taken into account in setting the amount of the grant</w:t>
      </w:r>
      <w:r w:rsidR="0032711C" w:rsidRPr="00807DAF">
        <w:t xml:space="preserve"> (2.1.</w:t>
      </w:r>
      <w:r w:rsidR="00B971F7" w:rsidRPr="00807DAF">
        <w:t>5</w:t>
      </w:r>
      <w:r w:rsidR="0032711C" w:rsidRPr="00807DAF">
        <w:t>)</w:t>
      </w:r>
      <w:r w:rsidRPr="00807DAF">
        <w:t>.</w:t>
      </w:r>
    </w:p>
    <w:p w:rsidR="00EE182A" w:rsidRPr="00807DAF" w:rsidRDefault="00EE182A" w:rsidP="00EE182A">
      <w:pPr>
        <w:ind w:left="1134"/>
      </w:pPr>
    </w:p>
    <w:p w:rsidR="0007408E" w:rsidRPr="00807DAF" w:rsidRDefault="0007408E" w:rsidP="004B7BC2">
      <w:pPr>
        <w:pStyle w:val="Guidelines3"/>
      </w:pPr>
      <w:bookmarkStart w:id="7" w:name="_Toc1059729"/>
      <w:r w:rsidRPr="00807DAF">
        <w:t>Eligibility of applicant</w:t>
      </w:r>
      <w:r w:rsidR="00A2450D" w:rsidRPr="00807DAF">
        <w:t>s</w:t>
      </w:r>
      <w:r w:rsidR="00C4172B" w:rsidRPr="00807DAF">
        <w:t xml:space="preserve"> (i.e. </w:t>
      </w:r>
      <w:r w:rsidR="00ED0176">
        <w:t>lead a</w:t>
      </w:r>
      <w:r w:rsidR="00C4172B" w:rsidRPr="00807DAF">
        <w:t>pplicant and co-applicant(s))</w:t>
      </w:r>
      <w:bookmarkEnd w:id="7"/>
    </w:p>
    <w:p w:rsidR="004127BD" w:rsidRPr="00951BF6" w:rsidRDefault="00ED0176" w:rsidP="006E0555">
      <w:pPr>
        <w:spacing w:before="240"/>
        <w:rPr>
          <w:b/>
        </w:rPr>
      </w:pPr>
      <w:r w:rsidRPr="00951BF6">
        <w:rPr>
          <w:b/>
        </w:rPr>
        <w:t>Lead a</w:t>
      </w:r>
      <w:r w:rsidR="004127BD" w:rsidRPr="007E4F56">
        <w:rPr>
          <w:b/>
        </w:rPr>
        <w:t>pplicant</w:t>
      </w:r>
    </w:p>
    <w:p w:rsidR="0007408E" w:rsidRPr="00807DAF" w:rsidRDefault="006E0555" w:rsidP="006E0555">
      <w:pPr>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rsidR="0007408E" w:rsidRPr="004803FB" w:rsidRDefault="0007408E" w:rsidP="00F016A9">
      <w:pPr>
        <w:numPr>
          <w:ilvl w:val="0"/>
          <w:numId w:val="17"/>
        </w:numPr>
      </w:pPr>
      <w:r w:rsidRPr="004803FB">
        <w:t xml:space="preserve">be </w:t>
      </w:r>
      <w:r w:rsidR="00AD3EB3" w:rsidRPr="004803FB">
        <w:t xml:space="preserve">a </w:t>
      </w:r>
      <w:r w:rsidR="00C175CE" w:rsidRPr="004803FB">
        <w:t>legal person</w:t>
      </w:r>
      <w:r w:rsidR="00792D34" w:rsidRPr="004803FB">
        <w:t xml:space="preserve"> </w:t>
      </w:r>
      <w:r w:rsidR="00792D34" w:rsidRPr="004803FB">
        <w:rPr>
          <w:b/>
        </w:rPr>
        <w:t>and</w:t>
      </w:r>
      <w:r w:rsidRPr="004803FB">
        <w:rPr>
          <w:b/>
        </w:rPr>
        <w:t xml:space="preserve"> </w:t>
      </w:r>
    </w:p>
    <w:p w:rsidR="00323A82" w:rsidRPr="004803FB" w:rsidRDefault="0032711C" w:rsidP="00F016A9">
      <w:pPr>
        <w:numPr>
          <w:ilvl w:val="0"/>
          <w:numId w:val="17"/>
        </w:numPr>
      </w:pPr>
      <w:r w:rsidRPr="004803FB">
        <w:t>be non</w:t>
      </w:r>
      <w:r w:rsidR="00AA424B" w:rsidRPr="004803FB">
        <w:t>-</w:t>
      </w:r>
      <w:r w:rsidRPr="004803FB">
        <w:t>profit</w:t>
      </w:r>
      <w:r w:rsidR="00AA424B" w:rsidRPr="004803FB">
        <w:t>-</w:t>
      </w:r>
      <w:r w:rsidRPr="004803FB">
        <w:t>making</w:t>
      </w:r>
      <w:r w:rsidR="00792D34" w:rsidRPr="004803FB">
        <w:t xml:space="preserve"> </w:t>
      </w:r>
      <w:r w:rsidR="00792D34" w:rsidRPr="004803FB">
        <w:rPr>
          <w:b/>
        </w:rPr>
        <w:t>and</w:t>
      </w:r>
    </w:p>
    <w:p w:rsidR="0007408E" w:rsidRPr="00EE182A" w:rsidRDefault="0007408E" w:rsidP="00F016A9">
      <w:pPr>
        <w:numPr>
          <w:ilvl w:val="0"/>
          <w:numId w:val="17"/>
        </w:numPr>
      </w:pPr>
      <w:r w:rsidRPr="004803FB">
        <w:t xml:space="preserve">be </w:t>
      </w:r>
      <w:r w:rsidR="00195EAB" w:rsidRPr="004803FB">
        <w:t xml:space="preserve">a </w:t>
      </w:r>
      <w:r w:rsidR="009D29CA" w:rsidRPr="004803FB">
        <w:t xml:space="preserve">specific </w:t>
      </w:r>
      <w:r w:rsidRPr="004803FB">
        <w:t>type of organisation such as: non-governmental organisation, public sector operator, local authorit</w:t>
      </w:r>
      <w:r w:rsidR="00195EAB" w:rsidRPr="004803FB">
        <w:t>y</w:t>
      </w:r>
      <w:r w:rsidRPr="004803FB">
        <w:t>, international (inter-governmental) organisation</w:t>
      </w:r>
      <w:r w:rsidR="00341C39" w:rsidRPr="004803FB">
        <w:t xml:space="preserve"> as defined by </w:t>
      </w:r>
      <w:r w:rsidR="00392B2D" w:rsidRPr="004803FB">
        <w:t xml:space="preserve">Article 43 of the </w:t>
      </w:r>
      <w:r w:rsidR="00D11783" w:rsidRPr="004803FB">
        <w:t>r</w:t>
      </w:r>
      <w:r w:rsidR="00DC45A8" w:rsidRPr="004803FB">
        <w:t>ules of application</w:t>
      </w:r>
      <w:r w:rsidR="00392B2D" w:rsidRPr="004803FB">
        <w:t xml:space="preserve"> </w:t>
      </w:r>
      <w:r w:rsidR="00DC45A8" w:rsidRPr="004803FB">
        <w:t xml:space="preserve">of </w:t>
      </w:r>
      <w:r w:rsidR="00341C39" w:rsidRPr="004803FB">
        <w:t>the E</w:t>
      </w:r>
      <w:r w:rsidR="00DC45A8" w:rsidRPr="004803FB">
        <w:t>U</w:t>
      </w:r>
      <w:r w:rsidR="00341C39" w:rsidRPr="004803FB">
        <w:t xml:space="preserve"> Financial Regulation</w:t>
      </w:r>
      <w:r w:rsidR="00341C39" w:rsidRPr="004803FB">
        <w:rPr>
          <w:rStyle w:val="af6"/>
        </w:rPr>
        <w:footnoteReference w:id="9"/>
      </w:r>
      <w:r w:rsidR="00167D43" w:rsidRPr="004803FB">
        <w:t xml:space="preserve"> </w:t>
      </w:r>
      <w:r w:rsidR="00D14F8D" w:rsidRPr="005124D7">
        <w:rPr>
          <w:b/>
        </w:rPr>
        <w:t>a</w:t>
      </w:r>
      <w:r w:rsidR="00341C39" w:rsidRPr="005124D7">
        <w:rPr>
          <w:b/>
        </w:rPr>
        <w:t>nd</w:t>
      </w:r>
      <w:r w:rsidR="00D14F8D" w:rsidRPr="005124D7">
        <w:rPr>
          <w:b/>
        </w:rPr>
        <w:t xml:space="preserve"> </w:t>
      </w:r>
    </w:p>
    <w:p w:rsidR="00EE182A" w:rsidRDefault="00EE182A" w:rsidP="00EE182A">
      <w:pPr>
        <w:rPr>
          <w:b/>
        </w:rPr>
      </w:pPr>
    </w:p>
    <w:p w:rsidR="00EE182A" w:rsidRPr="004803FB" w:rsidRDefault="00EE182A" w:rsidP="00EE182A"/>
    <w:p w:rsidR="00165771" w:rsidRDefault="00165771" w:rsidP="00165771">
      <w:pPr>
        <w:numPr>
          <w:ilvl w:val="0"/>
          <w:numId w:val="17"/>
        </w:numPr>
      </w:pPr>
      <w:r>
        <w:lastRenderedPageBreak/>
        <w:t>be established in</w:t>
      </w:r>
      <w:r w:rsidR="008C0382">
        <w:rPr>
          <w:rStyle w:val="af6"/>
        </w:rPr>
        <w:footnoteReference w:id="10"/>
      </w:r>
      <w:r>
        <w:t xml:space="preserve"> a Member State of the European Union</w:t>
      </w:r>
      <w:r w:rsidR="008C0382">
        <w:rPr>
          <w:rStyle w:val="af6"/>
        </w:rPr>
        <w:footnoteReference w:id="11"/>
      </w:r>
      <w:r>
        <w:t xml:space="preserve"> or one of the E</w:t>
      </w:r>
      <w:r w:rsidRPr="00165771">
        <w:t xml:space="preserve">uropean </w:t>
      </w:r>
      <w:r>
        <w:t>N</w:t>
      </w:r>
      <w:r w:rsidRPr="00165771">
        <w:t xml:space="preserve">eighbourhood </w:t>
      </w:r>
      <w:r>
        <w:t>I</w:t>
      </w:r>
      <w:r w:rsidRPr="00165771">
        <w:t>nstrument</w:t>
      </w:r>
      <w:r>
        <w:t xml:space="preserve"> (ENI) South partner countries (Algeria, Egypt, Israel</w:t>
      </w:r>
      <w:r w:rsidR="008C0382">
        <w:rPr>
          <w:rStyle w:val="af6"/>
        </w:rPr>
        <w:footnoteReference w:id="12"/>
      </w:r>
      <w:r>
        <w:t>, Jordan, Lebanon, Libya, Morocco, Palestine</w:t>
      </w:r>
      <w:r w:rsidR="008C0382">
        <w:rPr>
          <w:rStyle w:val="af6"/>
        </w:rPr>
        <w:footnoteReference w:id="13"/>
      </w:r>
      <w:r>
        <w:t>, Syria</w:t>
      </w:r>
      <w:r w:rsidR="008C0382">
        <w:rPr>
          <w:rStyle w:val="af6"/>
        </w:rPr>
        <w:footnoteReference w:id="14"/>
      </w:r>
      <w:r>
        <w:rPr>
          <w:rStyle w:val="Caractresdenotedebasdepage"/>
          <w:sz w:val="24"/>
          <w:szCs w:val="24"/>
        </w:rPr>
        <w:t xml:space="preserve"> </w:t>
      </w:r>
      <w:r>
        <w:t>and</w:t>
      </w:r>
      <w:r>
        <w:rPr>
          <w:sz w:val="24"/>
          <w:szCs w:val="24"/>
        </w:rPr>
        <w:t xml:space="preserve"> </w:t>
      </w:r>
      <w:r>
        <w:t>Tunisia) or a country that is a beneficiary of an Instrument for Pre-Accession Assistance (IPA) set up by Council Regulation (EC) No 1085/2006 or a Member State of the European Economic Area (EEA);</w:t>
      </w:r>
    </w:p>
    <w:p w:rsidR="005124D7" w:rsidRPr="005124D7" w:rsidRDefault="0067518E" w:rsidP="005124D7">
      <w:pPr>
        <w:spacing w:after="0"/>
        <w:ind w:left="1211"/>
        <w:rPr>
          <w:rFonts w:eastAsia="Calibri"/>
          <w:snapToGrid/>
          <w:color w:val="000000"/>
          <w:szCs w:val="22"/>
        </w:rPr>
      </w:pPr>
      <w:r w:rsidRPr="004803FB">
        <w:rPr>
          <w:rFonts w:eastAsia="Calibri"/>
          <w:snapToGrid/>
          <w:color w:val="000000"/>
          <w:szCs w:val="22"/>
        </w:rPr>
        <w:t>For British applicants: Please be aware that eligibility criteria must be complied with for the entire duration of</w:t>
      </w:r>
      <w:r w:rsidR="00266751" w:rsidRPr="004803FB">
        <w:rPr>
          <w:rFonts w:eastAsia="Calibri"/>
          <w:snapToGrid/>
          <w:color w:val="000000"/>
          <w:szCs w:val="22"/>
        </w:rPr>
        <w:t xml:space="preserve"> the grant.</w:t>
      </w:r>
      <w:r w:rsidRPr="004803FB">
        <w:rPr>
          <w:rFonts w:eastAsia="Calibri"/>
          <w:snapToGrid/>
          <w:color w:val="000000"/>
          <w:szCs w:val="22"/>
        </w:rPr>
        <w:t xml:space="preserve"> Unless sector-specific eligibility rules provide otherwise</w:t>
      </w:r>
      <w:r w:rsidRPr="004803FB">
        <w:rPr>
          <w:rStyle w:val="af6"/>
          <w:rFonts w:eastAsia="Calibri"/>
          <w:snapToGrid/>
          <w:color w:val="000000"/>
          <w:szCs w:val="22"/>
        </w:rPr>
        <w:footnoteReference w:id="15"/>
      </w:r>
      <w:r w:rsidRPr="004803FB">
        <w:rPr>
          <w:rFonts w:eastAsia="Calibri"/>
          <w:snapToGrid/>
          <w:color w:val="000000"/>
          <w:szCs w:val="22"/>
        </w:rPr>
        <w:t xml:space="preserve">, if the United Kingdom withdraws from the EU during the grant period without concluding an agreement with the EU ensuring in particular that British applicants continue to be eligible, you will cease to receive EU funding (while continuing, where possible to participate) or will be required to leave the project on the basis of Article </w:t>
      </w:r>
      <w:r w:rsidR="00EE182A">
        <w:rPr>
          <w:rFonts w:eastAsia="Calibri"/>
          <w:snapToGrid/>
          <w:color w:val="000000"/>
          <w:szCs w:val="22"/>
        </w:rPr>
        <w:t xml:space="preserve">12 </w:t>
      </w:r>
      <w:r w:rsidR="004803FB">
        <w:rPr>
          <w:rFonts w:eastAsia="Calibri"/>
          <w:snapToGrid/>
          <w:color w:val="000000"/>
          <w:szCs w:val="22"/>
        </w:rPr>
        <w:t>of the</w:t>
      </w:r>
      <w:r w:rsidR="005124D7">
        <w:rPr>
          <w:rFonts w:eastAsia="Calibri"/>
          <w:snapToGrid/>
          <w:color w:val="000000"/>
          <w:szCs w:val="22"/>
        </w:rPr>
        <w:t xml:space="preserve"> </w:t>
      </w:r>
      <w:r w:rsidR="005124D7" w:rsidRPr="005124D7">
        <w:rPr>
          <w:rFonts w:eastAsia="Calibri"/>
          <w:snapToGrid/>
          <w:color w:val="000000"/>
          <w:szCs w:val="22"/>
        </w:rPr>
        <w:t>grant agreement</w:t>
      </w:r>
      <w:r w:rsidR="008C0382">
        <w:rPr>
          <w:rFonts w:eastAsia="Calibri"/>
          <w:snapToGrid/>
          <w:color w:val="000000"/>
          <w:szCs w:val="22"/>
        </w:rPr>
        <w:t xml:space="preserve"> (General Conditions 12.2.e</w:t>
      </w:r>
      <w:r w:rsidR="006C1734">
        <w:rPr>
          <w:rFonts w:eastAsia="Calibri"/>
          <w:snapToGrid/>
          <w:color w:val="000000"/>
          <w:szCs w:val="22"/>
        </w:rPr>
        <w:t>)</w:t>
      </w:r>
      <w:r w:rsidR="00DD2E94">
        <w:rPr>
          <w:rFonts w:eastAsia="Calibri"/>
          <w:snapToGrid/>
          <w:color w:val="000000"/>
          <w:szCs w:val="22"/>
        </w:rPr>
        <w:t>.</w:t>
      </w:r>
    </w:p>
    <w:p w:rsidR="004803FB" w:rsidRPr="004803FB" w:rsidRDefault="004803FB" w:rsidP="004803FB">
      <w:pPr>
        <w:spacing w:after="0"/>
        <w:ind w:left="1211"/>
        <w:rPr>
          <w:rFonts w:eastAsia="Calibri"/>
          <w:snapToGrid/>
          <w:color w:val="000000"/>
          <w:sz w:val="24"/>
          <w:szCs w:val="24"/>
        </w:rPr>
      </w:pPr>
    </w:p>
    <w:p w:rsidR="0007408E" w:rsidRPr="00D14F8D" w:rsidRDefault="005E5B7F" w:rsidP="00BF158E">
      <w:pPr>
        <w:ind w:left="1211"/>
      </w:pPr>
      <w:r w:rsidRPr="00807DAF">
        <w:t xml:space="preserve"> </w:t>
      </w:r>
      <w:r w:rsidR="00DF7B16" w:rsidRPr="004803FB">
        <w:t>This obligation does not apply to international organisations</w:t>
      </w:r>
      <w:r w:rsidR="00792D34" w:rsidRPr="004803FB">
        <w:t xml:space="preserve"> </w:t>
      </w:r>
      <w:r w:rsidR="00792D34" w:rsidRPr="004803FB">
        <w:rPr>
          <w:b/>
        </w:rPr>
        <w:t>and</w:t>
      </w:r>
    </w:p>
    <w:p w:rsidR="00A912BB" w:rsidRPr="00807DAF" w:rsidRDefault="00A912BB" w:rsidP="00F016A9">
      <w:pPr>
        <w:numPr>
          <w:ilvl w:val="0"/>
          <w:numId w:val="17"/>
        </w:numPr>
      </w:pPr>
      <w:r w:rsidRPr="00807DAF">
        <w:t>be directly responsible for the preparation and management of the action with the co-applicant(s) and affiliated entity(ies), not acting as an intermediary</w:t>
      </w:r>
      <w:r w:rsidR="005124D7">
        <w:t>.</w:t>
      </w:r>
    </w:p>
    <w:p w:rsidR="00A912BB" w:rsidRPr="00807DAF" w:rsidRDefault="00A912BB" w:rsidP="00E958B0">
      <w:pPr>
        <w:ind w:left="491"/>
      </w:pPr>
      <w:r w:rsidRPr="00E958B0">
        <w:t>In addition to the categories referred to in Section 2.1.1, the following are however also eligible: high</w:t>
      </w:r>
      <w:r w:rsidR="00E958B0">
        <w:t>er</w:t>
      </w:r>
      <w:r w:rsidRPr="00E958B0">
        <w:t xml:space="preserve"> </w:t>
      </w:r>
      <w:r w:rsidR="00E958B0" w:rsidRPr="00E958B0">
        <w:t xml:space="preserve">education </w:t>
      </w:r>
      <w:r w:rsidR="00E958B0">
        <w:t>establishments</w:t>
      </w:r>
      <w:r w:rsidRPr="00E958B0">
        <w:t>.</w:t>
      </w:r>
    </w:p>
    <w:p w:rsidR="00416CE0" w:rsidRPr="00416CE0" w:rsidRDefault="00416CE0" w:rsidP="00416CE0">
      <w:pPr>
        <w:snapToGrid w:val="0"/>
        <w:ind w:left="491"/>
        <w:rPr>
          <w:szCs w:val="22"/>
        </w:rPr>
      </w:pPr>
      <w:r>
        <w:rPr>
          <w:szCs w:val="22"/>
        </w:rPr>
        <w:t>When the applicant is not established in the country(ies) where the action takes place, there is an obligation to have at least one local partner in each country where the project is to be implemented. The local partner(s) must be fully involved in the preparation and implementation of the project.</w:t>
      </w:r>
    </w:p>
    <w:p w:rsidR="006A0AD3"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6A36F9" w:rsidRPr="00807DAF">
        <w:t xml:space="preserve"> </w:t>
      </w:r>
      <w:r w:rsidR="0007408E" w:rsidRPr="00807DAF">
        <w:t>may not participate in calls for proposals or be awarded grants if</w:t>
      </w:r>
      <w:r w:rsidR="002F3F27" w:rsidRPr="00807DAF">
        <w:t xml:space="preserve"> </w:t>
      </w:r>
      <w:r w:rsidR="002F0314">
        <w:t xml:space="preserve">they are </w:t>
      </w:r>
      <w:r w:rsidR="006A0AD3" w:rsidRPr="00807DAF">
        <w:t xml:space="preserve">in any of the situations listed in </w:t>
      </w:r>
      <w:r w:rsidR="00B01659">
        <w:t>S</w:t>
      </w:r>
      <w:r w:rsidR="006A0AD3" w:rsidRPr="00807DAF">
        <w:t>ection 2.</w:t>
      </w:r>
      <w:r w:rsidR="006D36D0">
        <w:t>6.10.1</w:t>
      </w:r>
      <w:r w:rsidR="006A0AD3" w:rsidRPr="00807DAF">
        <w:t xml:space="preserve"> of the </w:t>
      </w:r>
      <w:r w:rsidR="009D7AC9">
        <w:t>p</w:t>
      </w:r>
      <w:r w:rsidR="006A0AD3" w:rsidRPr="00807DAF">
        <w:t xml:space="preserve">ractical </w:t>
      </w:r>
      <w:r w:rsidR="009D7AC9">
        <w:t>g</w:t>
      </w:r>
      <w:r w:rsidR="006A0AD3" w:rsidRPr="00807DAF">
        <w:t>uide;</w:t>
      </w:r>
    </w:p>
    <w:p w:rsidR="007B2B84" w:rsidRDefault="007B2B84" w:rsidP="00807DAF">
      <w:pPr>
        <w:spacing w:after="0"/>
        <w:ind w:left="425" w:hanging="425"/>
      </w:pPr>
    </w:p>
    <w:p w:rsidR="007B2B84" w:rsidRDefault="007B2B84" w:rsidP="007B2B84">
      <w:r w:rsidRPr="00DD3670">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DD3670">
        <w:rPr>
          <w:lang w:eastAsia="en-GB"/>
        </w:rPr>
        <w:t>S</w:t>
      </w:r>
      <w:r w:rsidRPr="00DD3670">
        <w:rPr>
          <w:lang w:eastAsia="en-GB"/>
        </w:rPr>
        <w:t xml:space="preserve">ection </w:t>
      </w:r>
      <w:r w:rsidRPr="00DD3670">
        <w:rPr>
          <w:lang w:eastAsia="en-GB"/>
        </w:rPr>
        <w:lastRenderedPageBreak/>
        <w:t xml:space="preserve">2.6.10.1 of the practical guide, personal details (name, given name if natural person, address, legal form and name and given name of the persons with powers of representation, decision-making or control, if legal person) may be registered in the </w:t>
      </w:r>
      <w:r w:rsidR="00D11783" w:rsidRPr="00DD3670">
        <w:rPr>
          <w:lang w:eastAsia="en-GB"/>
        </w:rPr>
        <w:t>e</w:t>
      </w:r>
      <w:r w:rsidRPr="00DD3670">
        <w:rPr>
          <w:lang w:eastAsia="en-GB"/>
        </w:rPr>
        <w:t xml:space="preserve">arly </w:t>
      </w:r>
      <w:r w:rsidR="00D11783" w:rsidRPr="00DD3670">
        <w:rPr>
          <w:lang w:eastAsia="en-GB"/>
        </w:rPr>
        <w:t>d</w:t>
      </w:r>
      <w:r w:rsidRPr="00DD3670">
        <w:rPr>
          <w:lang w:eastAsia="en-GB"/>
        </w:rPr>
        <w:t xml:space="preserve">etection and </w:t>
      </w:r>
      <w:r w:rsidR="00D11783" w:rsidRPr="00DD3670">
        <w:rPr>
          <w:lang w:eastAsia="en-GB"/>
        </w:rPr>
        <w:t>e</w:t>
      </w:r>
      <w:r w:rsidRPr="00DD3670">
        <w:rPr>
          <w:lang w:eastAsia="en-GB"/>
        </w:rPr>
        <w:t xml:space="preserve">xclusion </w:t>
      </w:r>
      <w:r w:rsidR="00D11783" w:rsidRPr="00DD3670">
        <w:rPr>
          <w:lang w:eastAsia="en-GB"/>
        </w:rPr>
        <w:t>s</w:t>
      </w:r>
      <w:r w:rsidRPr="00DD3670">
        <w:rPr>
          <w:lang w:eastAsia="en-GB"/>
        </w:rPr>
        <w:t>ystem, and communicated to the persons and entities concerned in relation to the award or the execution of a grant contract.</w:t>
      </w:r>
      <w:r w:rsidRPr="00DD3670">
        <w:t xml:space="preserve"> </w:t>
      </w:r>
    </w:p>
    <w:p w:rsidR="007B2B84" w:rsidRPr="00807DAF" w:rsidRDefault="007B2B84" w:rsidP="00807DAF">
      <w:pPr>
        <w:spacing w:after="0"/>
        <w:ind w:left="425" w:hanging="425"/>
      </w:pPr>
    </w:p>
    <w:p w:rsidR="00B175EE" w:rsidRPr="00807DAF" w:rsidRDefault="00B175EE" w:rsidP="00807DAF">
      <w:pPr>
        <w:spacing w:after="0"/>
        <w:ind w:left="425" w:hanging="425"/>
      </w:pPr>
    </w:p>
    <w:p w:rsidR="00C4172B" w:rsidRPr="00807DAF" w:rsidRDefault="001F59CD" w:rsidP="004741A1">
      <w:pPr>
        <w:ind w:left="426"/>
      </w:pPr>
      <w:r w:rsidRPr="00807DAF">
        <w:t>I</w:t>
      </w:r>
      <w:r w:rsidR="000312D2" w:rsidRPr="00807DAF">
        <w:t>n the grant application form (</w:t>
      </w:r>
      <w:r w:rsidR="00A016F9" w:rsidRPr="00807DAF">
        <w:t>‘</w:t>
      </w:r>
      <w:r w:rsidR="00AD15CE">
        <w:t>d</w:t>
      </w:r>
      <w:r w:rsidR="000312D2" w:rsidRPr="00807DAF">
        <w:t>eclaration</w:t>
      </w:r>
      <w:r w:rsidR="00116BB5">
        <w:t>(s)</w:t>
      </w:r>
      <w:r w:rsidR="000312D2" w:rsidRPr="00807DAF">
        <w:t xml:space="preserve">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the co-applicant(s) and affiliated entity(ies)</w:t>
      </w:r>
      <w:r w:rsidR="007E58A6" w:rsidRPr="00807DAF" w:rsidDel="007E58A6">
        <w:t xml:space="preserve"> </w:t>
      </w:r>
      <w:r w:rsidR="00C124E7" w:rsidRPr="00807DAF">
        <w:t xml:space="preserve">are </w:t>
      </w:r>
      <w:r w:rsidR="0007408E" w:rsidRPr="00807DAF">
        <w:t>not in any of the</w:t>
      </w:r>
      <w:r w:rsidR="006A4E72" w:rsidRPr="00807DAF">
        <w:t>se</w:t>
      </w:r>
      <w:r w:rsidR="0007408E" w:rsidRPr="00807DAF">
        <w:t xml:space="preserve"> </w:t>
      </w:r>
      <w:r w:rsidR="006A0AD3" w:rsidRPr="00807DAF">
        <w:t>situations.</w:t>
      </w:r>
    </w:p>
    <w:p w:rsidR="006A36F9" w:rsidRPr="00807DAF" w:rsidRDefault="006A36F9" w:rsidP="004741A1">
      <w:pPr>
        <w:ind w:left="426"/>
        <w:rPr>
          <w:snapToGrid/>
        </w:rPr>
      </w:pPr>
      <w:r w:rsidRPr="00807DAF">
        <w:t xml:space="preserve">The </w:t>
      </w:r>
      <w:r w:rsidR="00BD53D5">
        <w:t>lead a</w:t>
      </w:r>
      <w:r w:rsidRPr="00807DAF">
        <w:t xml:space="preserve">pplicant </w:t>
      </w:r>
      <w:r w:rsidRPr="00793F86">
        <w:rPr>
          <w:snapToGrid/>
        </w:rPr>
        <w:t>may act individually or with co-applicant(s</w:t>
      </w:r>
      <w:r w:rsidR="00793F86" w:rsidRPr="00793F86">
        <w:rPr>
          <w:snapToGrid/>
        </w:rPr>
        <w:t>)</w:t>
      </w:r>
      <w:r w:rsidRPr="00793F86">
        <w:rPr>
          <w:snapToGrid/>
        </w:rPr>
        <w:t>.</w:t>
      </w:r>
    </w:p>
    <w:p w:rsidR="00296A25" w:rsidRPr="00807DAF" w:rsidRDefault="00D80885" w:rsidP="004741A1">
      <w:pPr>
        <w:ind w:left="426"/>
        <w:rPr>
          <w:snapToGrid/>
        </w:rPr>
      </w:pPr>
      <w:r w:rsidRPr="00807DAF">
        <w:rPr>
          <w:snapToGrid/>
        </w:rPr>
        <w:t xml:space="preserve">If awarded the </w:t>
      </w:r>
      <w:r w:rsidR="00176B31">
        <w:rPr>
          <w:snapToGrid/>
        </w:rPr>
        <w:t>g</w:t>
      </w:r>
      <w:r w:rsidRPr="00807DAF">
        <w:rPr>
          <w:snapToGrid/>
        </w:rPr>
        <w:t xml:space="preserve">rant contract, the </w:t>
      </w:r>
      <w:r w:rsidR="00BD53D5">
        <w:rPr>
          <w:snapToGrid/>
        </w:rPr>
        <w:t>lead a</w:t>
      </w:r>
      <w:r w:rsidRPr="00807DAF">
        <w:rPr>
          <w:snapToGrid/>
        </w:rPr>
        <w:t>pplicant will become the</w:t>
      </w:r>
      <w:r w:rsidR="00C25630">
        <w:rPr>
          <w:snapToGrid/>
        </w:rPr>
        <w:t xml:space="preserve"> </w:t>
      </w:r>
      <w:r w:rsidR="00176B31">
        <w:rPr>
          <w:snapToGrid/>
        </w:rPr>
        <w:t>b</w:t>
      </w:r>
      <w:r w:rsidRPr="00807DAF">
        <w:rPr>
          <w:snapToGrid/>
        </w:rPr>
        <w:t xml:space="preserve">eneficiary identified as the </w:t>
      </w:r>
      <w:r w:rsidR="00D11783">
        <w:rPr>
          <w:snapToGrid/>
        </w:rPr>
        <w:t>c</w:t>
      </w:r>
      <w:r w:rsidRPr="00807DAF">
        <w:rPr>
          <w:snapToGrid/>
        </w:rPr>
        <w:t xml:space="preserve">oordinator in </w:t>
      </w:r>
      <w:r w:rsidR="002A66CB">
        <w:rPr>
          <w:snapToGrid/>
        </w:rPr>
        <w:t>A</w:t>
      </w:r>
      <w:r w:rsidRPr="00807DAF">
        <w:rPr>
          <w:snapToGrid/>
        </w:rPr>
        <w:t>nnex E3h1 (</w:t>
      </w:r>
      <w:r w:rsidR="00D11783">
        <w:rPr>
          <w:snapToGrid/>
        </w:rPr>
        <w:t>s</w:t>
      </w:r>
      <w:r w:rsidRPr="00807DAF">
        <w:rPr>
          <w:snapToGrid/>
        </w:rPr>
        <w:t xml:space="preserve">pecial </w:t>
      </w:r>
      <w:r w:rsidR="00D11783">
        <w:rPr>
          <w:snapToGrid/>
        </w:rPr>
        <w:t>c</w:t>
      </w:r>
      <w:r w:rsidRPr="00807DAF">
        <w:rPr>
          <w:snapToGrid/>
        </w:rPr>
        <w:t xml:space="preserve">onditions). The </w:t>
      </w:r>
      <w:r w:rsidR="00D11783">
        <w:rPr>
          <w:snapToGrid/>
        </w:rPr>
        <w:t>c</w:t>
      </w:r>
      <w:r w:rsidRPr="00807DAF">
        <w:rPr>
          <w:snapToGrid/>
        </w:rPr>
        <w:t xml:space="preserve">oordinator is the main interlocutor of the </w:t>
      </w:r>
      <w:r w:rsidR="00D11783">
        <w:rPr>
          <w:snapToGrid/>
        </w:rPr>
        <w:t>c</w:t>
      </w:r>
      <w:r w:rsidRPr="00807DAF">
        <w:rPr>
          <w:snapToGrid/>
        </w:rPr>
        <w:t xml:space="preserve">ontracting </w:t>
      </w:r>
      <w:r w:rsidR="00D11783">
        <w:rPr>
          <w:snapToGrid/>
        </w:rPr>
        <w:t>a</w:t>
      </w:r>
      <w:r w:rsidRPr="00807DAF">
        <w:rPr>
          <w:snapToGrid/>
        </w:rPr>
        <w:t xml:space="preserve">uthority. It represents and acts on behalf of any other co-beneficiary (if any) and coordinate the design and implementation of the </w:t>
      </w:r>
      <w:r w:rsidR="00176B31">
        <w:rPr>
          <w:snapToGrid/>
        </w:rPr>
        <w:t>a</w:t>
      </w:r>
      <w:r w:rsidRPr="00807DAF">
        <w:rPr>
          <w:snapToGrid/>
        </w:rPr>
        <w:t>ction.</w:t>
      </w:r>
    </w:p>
    <w:p w:rsidR="006A36F9" w:rsidRPr="00793F86" w:rsidRDefault="006A36F9" w:rsidP="004741A1">
      <w:pPr>
        <w:ind w:left="426"/>
        <w:rPr>
          <w:b/>
          <w:snapToGrid/>
        </w:rPr>
      </w:pPr>
      <w:r w:rsidRPr="00793F86">
        <w:rPr>
          <w:b/>
          <w:snapToGrid/>
        </w:rPr>
        <w:t>Co-applicant(s)</w:t>
      </w:r>
    </w:p>
    <w:p w:rsidR="00D54450" w:rsidRPr="00C55820" w:rsidRDefault="00F42DD2" w:rsidP="004741A1">
      <w:pPr>
        <w:ind w:left="426"/>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rsidR="00D54450" w:rsidRDefault="006A36F9" w:rsidP="004741A1">
      <w:pPr>
        <w:ind w:left="426"/>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rsidR="00921BDE" w:rsidRPr="00807DAF" w:rsidRDefault="00921BDE" w:rsidP="004741A1">
      <w:pPr>
        <w:ind w:left="426"/>
        <w:rPr>
          <w:snapToGrid/>
        </w:rPr>
      </w:pPr>
      <w:r w:rsidRPr="00E958B0">
        <w:t>In addition to the categories referred to in Section 2.1.1, the following are however also eligible: higher education establishments.</w:t>
      </w:r>
    </w:p>
    <w:p w:rsidR="00D80885" w:rsidRDefault="00B0113A" w:rsidP="004741A1">
      <w:pPr>
        <w:ind w:left="426"/>
        <w:rPr>
          <w:snapToGrid/>
        </w:rPr>
      </w:pPr>
      <w:r w:rsidRPr="00593829">
        <w:t xml:space="preserve">Co-applicants must sign the </w:t>
      </w:r>
      <w:r>
        <w:t>m</w:t>
      </w:r>
      <w:r w:rsidRPr="00593829">
        <w:t xml:space="preserve">andate in Part B </w:t>
      </w:r>
      <w:r>
        <w:t>S</w:t>
      </w:r>
      <w:r w:rsidRPr="00593829">
        <w:t>ection 4 of the grant application form.</w:t>
      </w:r>
    </w:p>
    <w:p w:rsidR="001254ED" w:rsidRPr="00593829" w:rsidRDefault="001254ED" w:rsidP="00BF158E">
      <w:pPr>
        <w:rPr>
          <w:snapToGrid/>
        </w:rPr>
      </w:pPr>
      <w:r>
        <w:rPr>
          <w:snapToGrid/>
        </w:rPr>
        <w:t xml:space="preserve">(3)  </w:t>
      </w:r>
      <w:r>
        <w:rPr>
          <w:szCs w:val="22"/>
        </w:rPr>
        <w:t>Applicants included in the lists of EU restrictive measures (see Section 2.</w:t>
      </w:r>
      <w:r w:rsidR="00175F39">
        <w:rPr>
          <w:szCs w:val="22"/>
        </w:rPr>
        <w:t>4.</w:t>
      </w:r>
      <w:r>
        <w:rPr>
          <w:szCs w:val="22"/>
        </w:rPr>
        <w:t xml:space="preserve"> of the PRAG) at the</w:t>
      </w:r>
      <w:r>
        <w:rPr>
          <w:szCs w:val="22"/>
        </w:rPr>
        <w:br/>
        <w:t xml:space="preserve">        moment of the award decision cannot be awarded the contract</w:t>
      </w:r>
      <w:r w:rsidR="00443D35">
        <w:rPr>
          <w:rStyle w:val="af6"/>
          <w:szCs w:val="22"/>
        </w:rPr>
        <w:footnoteReference w:id="16"/>
      </w:r>
      <w:r w:rsidR="00022D3C">
        <w:rPr>
          <w:szCs w:val="22"/>
        </w:rPr>
        <w:t>.</w:t>
      </w:r>
    </w:p>
    <w:p w:rsidR="007E58A6" w:rsidRPr="005C3A15" w:rsidRDefault="00914462" w:rsidP="004741A1">
      <w:pPr>
        <w:ind w:left="426"/>
        <w:rPr>
          <w:snapToGrid/>
        </w:rPr>
      </w:pPr>
      <w:r w:rsidRPr="005C3A15">
        <w:rPr>
          <w:snapToGrid/>
        </w:rPr>
        <w:t xml:space="preserve">If awarded the </w:t>
      </w:r>
      <w:r w:rsidR="00176B31" w:rsidRPr="005C3A15">
        <w:rPr>
          <w:snapToGrid/>
        </w:rPr>
        <w:t>g</w:t>
      </w:r>
      <w:r w:rsidRPr="005C3A15">
        <w:rPr>
          <w:snapToGrid/>
        </w:rPr>
        <w:t xml:space="preserve">rant contract, </w:t>
      </w:r>
      <w:r w:rsidR="00A07623" w:rsidRPr="005C3A15">
        <w:rPr>
          <w:snapToGrid/>
        </w:rPr>
        <w:t xml:space="preserve">the </w:t>
      </w:r>
      <w:r w:rsidR="00C4172B" w:rsidRPr="005C3A15">
        <w:rPr>
          <w:snapToGrid/>
        </w:rPr>
        <w:t>co-applicant</w:t>
      </w:r>
      <w:r w:rsidR="00D35017" w:rsidRPr="005C3A15">
        <w:rPr>
          <w:snapToGrid/>
        </w:rPr>
        <w:t>(</w:t>
      </w:r>
      <w:r w:rsidR="00C4172B" w:rsidRPr="005C3A15">
        <w:rPr>
          <w:snapToGrid/>
        </w:rPr>
        <w:t>s</w:t>
      </w:r>
      <w:r w:rsidR="00D35017" w:rsidRPr="005C3A15">
        <w:rPr>
          <w:snapToGrid/>
        </w:rPr>
        <w:t>)</w:t>
      </w:r>
      <w:r w:rsidR="00176B31" w:rsidRPr="005C3A15">
        <w:rPr>
          <w:snapToGrid/>
        </w:rPr>
        <w:t xml:space="preserve"> </w:t>
      </w:r>
      <w:r w:rsidR="00D80885" w:rsidRPr="005C3A15">
        <w:rPr>
          <w:snapToGrid/>
        </w:rPr>
        <w:t xml:space="preserve">(if any) </w:t>
      </w:r>
      <w:r w:rsidR="00C4172B" w:rsidRPr="005C3A15">
        <w:rPr>
          <w:snapToGrid/>
        </w:rPr>
        <w:t xml:space="preserve">will become </w:t>
      </w:r>
      <w:r w:rsidR="00D80885" w:rsidRPr="005C3A15">
        <w:rPr>
          <w:snapToGrid/>
        </w:rPr>
        <w:t>b</w:t>
      </w:r>
      <w:r w:rsidR="00C4172B" w:rsidRPr="005C3A15">
        <w:rPr>
          <w:snapToGrid/>
        </w:rPr>
        <w:t>eneficiar</w:t>
      </w:r>
      <w:r w:rsidR="002A66CB" w:rsidRPr="005C3A15">
        <w:rPr>
          <w:snapToGrid/>
        </w:rPr>
        <w:t>y(</w:t>
      </w:r>
      <w:r w:rsidR="00C4172B" w:rsidRPr="005C3A15">
        <w:rPr>
          <w:snapToGrid/>
        </w:rPr>
        <w:t>ies</w:t>
      </w:r>
      <w:r w:rsidR="002A66CB" w:rsidRPr="005C3A15">
        <w:rPr>
          <w:snapToGrid/>
        </w:rPr>
        <w:t>)</w:t>
      </w:r>
      <w:r w:rsidR="00C4172B" w:rsidRPr="005C3A15">
        <w:rPr>
          <w:snapToGrid/>
        </w:rPr>
        <w:t xml:space="preserve"> in the </w:t>
      </w:r>
      <w:r w:rsidR="00176B31" w:rsidRPr="005C3A15">
        <w:rPr>
          <w:snapToGrid/>
        </w:rPr>
        <w:t>a</w:t>
      </w:r>
      <w:r w:rsidR="00C4172B" w:rsidRPr="005C3A15">
        <w:rPr>
          <w:snapToGrid/>
        </w:rPr>
        <w:t>ction</w:t>
      </w:r>
      <w:r w:rsidR="00D35017" w:rsidRPr="005C3A15">
        <w:rPr>
          <w:snapToGrid/>
        </w:rPr>
        <w:t xml:space="preserve"> (together with the </w:t>
      </w:r>
      <w:r w:rsidR="00D11783" w:rsidRPr="005C3A15">
        <w:rPr>
          <w:snapToGrid/>
        </w:rPr>
        <w:t>c</w:t>
      </w:r>
      <w:r w:rsidR="00D35017" w:rsidRPr="005C3A15">
        <w:rPr>
          <w:snapToGrid/>
        </w:rPr>
        <w:t>oordinator)</w:t>
      </w:r>
      <w:r w:rsidR="00C4172B" w:rsidRPr="005C3A15">
        <w:rPr>
          <w:snapToGrid/>
        </w:rPr>
        <w:t xml:space="preserve"> </w:t>
      </w:r>
    </w:p>
    <w:p w:rsidR="00914462" w:rsidRPr="00807DAF" w:rsidRDefault="00914462" w:rsidP="004B7BC2">
      <w:pPr>
        <w:pStyle w:val="Guidelines3"/>
      </w:pPr>
      <w:bookmarkStart w:id="8" w:name="_Toc1059730"/>
      <w:r w:rsidRPr="00807DAF">
        <w:t>Affiliated entities</w:t>
      </w:r>
      <w:bookmarkEnd w:id="8"/>
    </w:p>
    <w:p w:rsidR="00DD2E94" w:rsidRDefault="00DD2E94" w:rsidP="006B6048">
      <w:pPr>
        <w:rPr>
          <w:snapToGrid/>
        </w:rPr>
      </w:pPr>
    </w:p>
    <w:p w:rsidR="00A07623" w:rsidRPr="005C3A15" w:rsidRDefault="00A07623" w:rsidP="006B6048">
      <w:pPr>
        <w:rPr>
          <w:snapToGrid/>
        </w:rPr>
      </w:pPr>
      <w:r w:rsidRPr="005C3A15">
        <w:rPr>
          <w:snapToGrid/>
        </w:rPr>
        <w:t xml:space="preserve">The </w:t>
      </w:r>
      <w:r w:rsidR="00BD53D5" w:rsidRPr="005C3A15">
        <w:rPr>
          <w:snapToGrid/>
        </w:rPr>
        <w:t>lead a</w:t>
      </w:r>
      <w:r w:rsidRPr="005C3A15">
        <w:rPr>
          <w:snapToGrid/>
        </w:rPr>
        <w:t>pplicant and its co-applicant(s) may act with affiliated entity(ies)</w:t>
      </w:r>
      <w:r w:rsidR="00176B31" w:rsidRPr="005C3A15">
        <w:rPr>
          <w:snapToGrid/>
        </w:rPr>
        <w:t>.</w:t>
      </w:r>
    </w:p>
    <w:p w:rsidR="00914462" w:rsidRPr="00593829" w:rsidRDefault="003477DE" w:rsidP="006B6048">
      <w:r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rsidR="005E7A18" w:rsidRPr="00593829" w:rsidRDefault="005E7A18" w:rsidP="005E7A18">
      <w:pPr>
        <w:keepNext/>
        <w:spacing w:after="120" w:line="276" w:lineRule="auto"/>
      </w:pPr>
      <w:r w:rsidRPr="00593829">
        <w:t>Only entities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Pr="00593829">
        <w:t>, in particular a legal or capital link.</w:t>
      </w:r>
    </w:p>
    <w:p w:rsidR="005E7A18" w:rsidRPr="00593829" w:rsidRDefault="005E7A18" w:rsidP="005E7A18">
      <w:pPr>
        <w:spacing w:line="276" w:lineRule="auto"/>
      </w:pPr>
      <w:r w:rsidRPr="00593829">
        <w:t>This structural link encompasses mainly two notions:</w:t>
      </w:r>
    </w:p>
    <w:p w:rsidR="005E7A18" w:rsidRPr="00593829" w:rsidRDefault="005E7A18" w:rsidP="005E7A18">
      <w:pPr>
        <w:spacing w:line="276" w:lineRule="auto"/>
        <w:ind w:left="720" w:hanging="567"/>
      </w:pPr>
      <w:r w:rsidRPr="00593829">
        <w:t xml:space="preserve">(i) </w:t>
      </w:r>
      <w:r w:rsidRPr="00593829">
        <w:tab/>
        <w:t>Control, as defined in Directive 2013/34/EU on the annual financial statements, consolidated financial statements and related reports of certain types of undertakings:</w:t>
      </w:r>
    </w:p>
    <w:p w:rsidR="005E7A18" w:rsidRPr="00593829" w:rsidRDefault="005E7A18" w:rsidP="00951BF6">
      <w:pPr>
        <w:spacing w:after="120" w:line="276" w:lineRule="auto"/>
        <w:ind w:left="709"/>
      </w:pPr>
      <w:r w:rsidRPr="00593829">
        <w:lastRenderedPageBreak/>
        <w:t xml:space="preserve">Entities affiliated to </w:t>
      </w:r>
      <w:r w:rsidR="000043F8">
        <w:t xml:space="preserve">an applicant </w:t>
      </w:r>
      <w:r w:rsidRPr="00593829">
        <w:t>may hence be:</w:t>
      </w:r>
    </w:p>
    <w:p w:rsidR="005E7A18" w:rsidRPr="00593829" w:rsidRDefault="005E7A18" w:rsidP="00F016A9">
      <w:pPr>
        <w:numPr>
          <w:ilvl w:val="0"/>
          <w:numId w:val="31"/>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rsidR="005E7A18" w:rsidRPr="00593829" w:rsidRDefault="005E7A18" w:rsidP="00F016A9">
      <w:pPr>
        <w:numPr>
          <w:ilvl w:val="0"/>
          <w:numId w:val="31"/>
        </w:numPr>
        <w:spacing w:after="0" w:line="276" w:lineRule="auto"/>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rsidR="005E7A18" w:rsidRPr="00593829" w:rsidRDefault="005E7A18" w:rsidP="00F016A9">
      <w:pPr>
        <w:numPr>
          <w:ilvl w:val="0"/>
          <w:numId w:val="31"/>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 as the proposed affiliated entities.</w:t>
      </w:r>
    </w:p>
    <w:p w:rsidR="005E7A18" w:rsidRPr="00593829" w:rsidRDefault="005E7A18" w:rsidP="005E7A18">
      <w:pPr>
        <w:spacing w:after="0" w:line="276" w:lineRule="auto"/>
      </w:pPr>
    </w:p>
    <w:p w:rsidR="005E7A18" w:rsidRPr="00593829" w:rsidRDefault="005E7A18" w:rsidP="005E7A18">
      <w:pPr>
        <w:spacing w:after="0" w:line="276" w:lineRule="auto"/>
      </w:pPr>
      <w:r w:rsidRPr="00593829">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5E7A18" w:rsidRPr="00593829" w:rsidRDefault="005E7A18" w:rsidP="005E7A18">
      <w:pPr>
        <w:spacing w:after="0" w:line="276" w:lineRule="auto"/>
        <w:ind w:left="720"/>
      </w:pPr>
    </w:p>
    <w:p w:rsidR="005E7A18" w:rsidRPr="00593829" w:rsidRDefault="005E7A18" w:rsidP="005E7A18">
      <w:pPr>
        <w:spacing w:line="276" w:lineRule="auto"/>
      </w:pPr>
      <w:r w:rsidRPr="00593829">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sole beneficiaries</w:t>
      </w:r>
      <w:r w:rsidR="00D11783">
        <w:t>’</w:t>
      </w:r>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rsidR="005E7A18" w:rsidRPr="00593829" w:rsidRDefault="005E7A18" w:rsidP="005E7A18">
      <w:pPr>
        <w:pStyle w:val="5"/>
        <w:spacing w:line="276" w:lineRule="auto"/>
        <w:rPr>
          <w:rFonts w:ascii="Times New Roman" w:hAnsi="Times New Roman"/>
          <w:szCs w:val="22"/>
          <w:u w:val="single"/>
        </w:rPr>
      </w:pPr>
      <w:r w:rsidRPr="00593829">
        <w:rPr>
          <w:rFonts w:ascii="Times New Roman" w:hAnsi="Times New Roman"/>
          <w:szCs w:val="22"/>
          <w:u w:val="single"/>
        </w:rPr>
        <w:t xml:space="preserve">What is not an affiliated entity? </w:t>
      </w:r>
    </w:p>
    <w:p w:rsidR="005E7A18" w:rsidRPr="00593829" w:rsidRDefault="005E7A18" w:rsidP="005E7A18">
      <w:pPr>
        <w:spacing w:after="0"/>
      </w:pPr>
    </w:p>
    <w:p w:rsidR="005E7A18" w:rsidRPr="00593829" w:rsidRDefault="005E7A18" w:rsidP="005E7A18">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rsidR="005E7A18" w:rsidRPr="00593829" w:rsidRDefault="005E7A18" w:rsidP="005E7A18">
      <w:pPr>
        <w:spacing w:after="0" w:line="276" w:lineRule="auto"/>
        <w:rPr>
          <w:szCs w:val="22"/>
        </w:rPr>
      </w:pPr>
    </w:p>
    <w:p w:rsidR="005E7A18" w:rsidRPr="00593829" w:rsidRDefault="005E7A18" w:rsidP="00F016A9">
      <w:pPr>
        <w:numPr>
          <w:ilvl w:val="0"/>
          <w:numId w:val="32"/>
        </w:numPr>
        <w:spacing w:after="0" w:line="276" w:lineRule="auto"/>
      </w:pPr>
      <w:r w:rsidRPr="00593829">
        <w:t xml:space="preserve">Entities that have entered into a (procurement) contract or subcontract with </w:t>
      </w:r>
      <w:r w:rsidR="000043F8">
        <w:t>an applicant</w:t>
      </w:r>
      <w:r w:rsidRPr="00593829">
        <w:t>, act as concessionaires or delegatees for public services for a</w:t>
      </w:r>
      <w:r w:rsidR="000043F8">
        <w:t>n applicant</w:t>
      </w:r>
      <w:r w:rsidRPr="00593829">
        <w:t>,</w:t>
      </w:r>
    </w:p>
    <w:p w:rsidR="005E7A18" w:rsidRPr="00593829" w:rsidRDefault="005E7A18" w:rsidP="00F016A9">
      <w:pPr>
        <w:numPr>
          <w:ilvl w:val="0"/>
          <w:numId w:val="32"/>
        </w:numPr>
        <w:spacing w:after="0" w:line="276" w:lineRule="auto"/>
      </w:pPr>
      <w:r w:rsidRPr="00593829">
        <w:t xml:space="preserve">Entities that receive financial support from the </w:t>
      </w:r>
      <w:r w:rsidR="000043F8">
        <w:t>applicant</w:t>
      </w:r>
      <w:r w:rsidRPr="00593829">
        <w:t>,</w:t>
      </w:r>
    </w:p>
    <w:p w:rsidR="005E7A18" w:rsidRPr="00593829" w:rsidRDefault="005E7A18" w:rsidP="00F016A9">
      <w:pPr>
        <w:numPr>
          <w:ilvl w:val="0"/>
          <w:numId w:val="32"/>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p>
    <w:p w:rsidR="005E7A18" w:rsidRPr="00593829" w:rsidRDefault="005E7A18" w:rsidP="00F016A9">
      <w:pPr>
        <w:numPr>
          <w:ilvl w:val="0"/>
          <w:numId w:val="32"/>
        </w:numPr>
        <w:spacing w:after="0" w:line="276" w:lineRule="auto"/>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rsidR="005E7A18" w:rsidRPr="00593829" w:rsidRDefault="005E7A18" w:rsidP="005E7A18">
      <w:pPr>
        <w:spacing w:after="0" w:line="276" w:lineRule="auto"/>
      </w:pPr>
    </w:p>
    <w:p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rsidR="005E7A18" w:rsidRPr="00593829" w:rsidRDefault="005E7A18" w:rsidP="005E7A18">
      <w:pPr>
        <w:spacing w:after="0"/>
      </w:pPr>
    </w:p>
    <w:p w:rsidR="005E7A18" w:rsidRPr="00593829" w:rsidRDefault="005E7A18" w:rsidP="009F6F2A">
      <w:pPr>
        <w:spacing w:after="0"/>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rsidR="005E7A18" w:rsidRPr="00593829" w:rsidRDefault="005E7A18" w:rsidP="009F6F2A">
      <w:pPr>
        <w:spacing w:after="0"/>
      </w:pPr>
    </w:p>
    <w:p w:rsidR="005E7A18" w:rsidRDefault="005E7A18" w:rsidP="009F6F2A">
      <w:pPr>
        <w:spacing w:after="0"/>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rsidR="009F6F2A" w:rsidRPr="00593829" w:rsidRDefault="009F6F2A" w:rsidP="005E7A18">
      <w:pPr>
        <w:spacing w:after="0" w:line="276" w:lineRule="auto"/>
      </w:pPr>
    </w:p>
    <w:p w:rsidR="00F012FD" w:rsidRPr="00593829" w:rsidRDefault="007261B1" w:rsidP="006B6048">
      <w:r w:rsidRPr="00593829">
        <w:t xml:space="preserve">If the applicants are awarded a </w:t>
      </w:r>
      <w:r w:rsidR="002A66CB">
        <w:t xml:space="preserve">grant </w:t>
      </w:r>
      <w:r w:rsidRPr="00593829">
        <w:t xml:space="preserve">contract, their affiliated entity(ies) will not become </w:t>
      </w:r>
      <w:r w:rsidR="00176B31">
        <w:t>b</w:t>
      </w:r>
      <w:r w:rsidRPr="00593829">
        <w:t xml:space="preserve">eneficiary(ies) of the </w:t>
      </w:r>
      <w:r w:rsidR="00176B31">
        <w:t>a</w:t>
      </w:r>
      <w:r w:rsidRPr="00593829">
        <w:t xml:space="preserve">ction and signatory(ies) of the </w:t>
      </w:r>
      <w:r w:rsidR="00176B31">
        <w:t>g</w:t>
      </w:r>
      <w:r w:rsidR="00A155DA" w:rsidRPr="00593829">
        <w:t xml:space="preserve">rant </w:t>
      </w:r>
      <w:r w:rsidR="00176B31">
        <w:t>c</w:t>
      </w:r>
      <w:r w:rsidRPr="00593829">
        <w:t xml:space="preserve">ontract. However, they will participate in the design and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 xml:space="preserve">upport to third parties) may be accepted as eligible costs, provided they comply with all the relevant rules already applicable to the </w:t>
      </w:r>
      <w:r w:rsidR="00176B31">
        <w:t>b</w:t>
      </w:r>
      <w:r w:rsidRPr="00593829">
        <w:t xml:space="preserve">eneficiary(ies) under the </w:t>
      </w:r>
      <w:r w:rsidR="00176B31">
        <w:t>g</w:t>
      </w:r>
      <w:r w:rsidRPr="00593829">
        <w:t xml:space="preserve">rant </w:t>
      </w:r>
      <w:r w:rsidR="00176B31">
        <w:t>c</w:t>
      </w:r>
      <w:r w:rsidRPr="00593829">
        <w:t>ontract.</w:t>
      </w:r>
    </w:p>
    <w:p w:rsidR="00A33882" w:rsidRDefault="00914462" w:rsidP="007261B1">
      <w:r w:rsidRPr="00593829">
        <w:t xml:space="preserve">Affiliated entity(ies)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entity(ies) statement in the grant application form.</w:t>
      </w:r>
    </w:p>
    <w:p w:rsidR="00E958B0" w:rsidRPr="00807DAF" w:rsidRDefault="00E958B0" w:rsidP="007261B1">
      <w:r w:rsidRPr="00E958B0">
        <w:lastRenderedPageBreak/>
        <w:t>In addition to the categories referred to in Section 2.1.1, the following are however also eligible: higher education establishments.</w:t>
      </w:r>
    </w:p>
    <w:p w:rsidR="00F06309" w:rsidRPr="00807DAF" w:rsidRDefault="00F06309" w:rsidP="004B7BC2">
      <w:pPr>
        <w:pStyle w:val="Guidelines3"/>
      </w:pPr>
      <w:bookmarkStart w:id="9" w:name="_Toc380145061"/>
      <w:bookmarkStart w:id="10" w:name="_Toc1059731"/>
      <w:bookmarkEnd w:id="9"/>
      <w:r w:rsidRPr="00807DAF">
        <w:t xml:space="preserve">Associates and </w:t>
      </w:r>
      <w:r w:rsidR="000D7ACD">
        <w:t>c</w:t>
      </w:r>
      <w:r w:rsidRPr="00807DAF">
        <w:t>ontractors</w:t>
      </w:r>
      <w:bookmarkEnd w:id="10"/>
    </w:p>
    <w:p w:rsidR="00F06309" w:rsidRPr="00807DAF" w:rsidRDefault="00F06309" w:rsidP="00F06309">
      <w:pPr>
        <w:spacing w:before="240"/>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r w:rsidR="000D7ACD">
        <w:t>’</w:t>
      </w:r>
      <w:r w:rsidRPr="00807DAF">
        <w:t>:</w:t>
      </w:r>
    </w:p>
    <w:p w:rsidR="00F06309" w:rsidRPr="00807DAF" w:rsidRDefault="00F06309" w:rsidP="00F016A9">
      <w:pPr>
        <w:numPr>
          <w:ilvl w:val="0"/>
          <w:numId w:val="18"/>
        </w:numPr>
      </w:pPr>
      <w:r w:rsidRPr="00807DAF">
        <w:t>Associates</w:t>
      </w:r>
    </w:p>
    <w:p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ection 2.1.1. Associates must be mentioned in</w:t>
      </w:r>
      <w:r w:rsidR="007603F2">
        <w:t xml:space="preserve"> section</w:t>
      </w:r>
      <w:r w:rsidRPr="00807DAF">
        <w:t xml:space="preserve"> </w:t>
      </w:r>
      <w:r w:rsidR="007603F2" w:rsidRPr="00807DAF">
        <w:t xml:space="preserve">— </w:t>
      </w:r>
      <w:r w:rsidRPr="00807DAF">
        <w:t xml:space="preserve">‘Associates participating in the </w:t>
      </w:r>
      <w:r w:rsidR="00176B31">
        <w:t>a</w:t>
      </w:r>
      <w:r w:rsidRPr="00807DAF">
        <w:t xml:space="preserve">ction’ — of the </w:t>
      </w:r>
      <w:r w:rsidR="00176B31">
        <w:t>g</w:t>
      </w:r>
      <w:r w:rsidRPr="00807DAF">
        <w:t xml:space="preserve">rant </w:t>
      </w:r>
      <w:r w:rsidR="00176B31">
        <w:t>a</w:t>
      </w:r>
      <w:r w:rsidRPr="00807DAF">
        <w:t xml:space="preserve">pplication </w:t>
      </w:r>
      <w:r w:rsidR="00176B31">
        <w:t>f</w:t>
      </w:r>
      <w:r w:rsidRPr="00807DAF">
        <w:t xml:space="preserve">orm. </w:t>
      </w:r>
    </w:p>
    <w:p w:rsidR="00103811" w:rsidRPr="00807DAF" w:rsidRDefault="00103811" w:rsidP="00F016A9">
      <w:pPr>
        <w:numPr>
          <w:ilvl w:val="0"/>
          <w:numId w:val="18"/>
        </w:numPr>
      </w:pPr>
      <w:r w:rsidRPr="00807DAF">
        <w:t>Contractors</w:t>
      </w:r>
    </w:p>
    <w:p w:rsidR="00F06309" w:rsidRPr="00807DAF" w:rsidRDefault="00F06309" w:rsidP="00F06309">
      <w:r w:rsidRPr="00807DAF">
        <w:t>The beneficiaries and their affiliated entities are permitted to award contracts. Associates or affiliated entity(ies) cannot be also contractors in the project. Contractors are subject to the procurement rules set out in Annex IV to the standard grant contract.</w:t>
      </w:r>
    </w:p>
    <w:p w:rsidR="0007408E" w:rsidRPr="00807DAF" w:rsidRDefault="0007408E" w:rsidP="004B7BC2">
      <w:pPr>
        <w:pStyle w:val="Guidelines3"/>
      </w:pPr>
      <w:bookmarkStart w:id="11" w:name="_Toc380145063"/>
      <w:bookmarkStart w:id="12" w:name="_Toc380145064"/>
      <w:bookmarkStart w:id="13" w:name="_Toc1059732"/>
      <w:bookmarkEnd w:id="11"/>
      <w:bookmarkEnd w:id="12"/>
      <w:r w:rsidRPr="00807DAF">
        <w:t>Eligible actions: actions for which an application may be made</w:t>
      </w:r>
      <w:bookmarkEnd w:id="13"/>
    </w:p>
    <w:p w:rsidR="009B41E2" w:rsidRPr="005C3A15" w:rsidRDefault="002265E1" w:rsidP="006B6048">
      <w:pPr>
        <w:spacing w:before="240"/>
        <w:rPr>
          <w:u w:val="single"/>
        </w:rPr>
      </w:pPr>
      <w:r w:rsidRPr="005C3A15">
        <w:rPr>
          <w:u w:val="single"/>
        </w:rPr>
        <w:t xml:space="preserve">Definition: </w:t>
      </w:r>
    </w:p>
    <w:p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rsidR="0007408E" w:rsidRPr="00807DAF" w:rsidRDefault="0007408E" w:rsidP="006B6048">
      <w:pPr>
        <w:rPr>
          <w:u w:val="single"/>
        </w:rPr>
      </w:pPr>
      <w:r w:rsidRPr="00807DAF">
        <w:rPr>
          <w:u w:val="single"/>
        </w:rPr>
        <w:t>Duration</w:t>
      </w:r>
    </w:p>
    <w:p w:rsidR="0007408E" w:rsidRPr="00807DAF" w:rsidRDefault="0007408E" w:rsidP="006B6048">
      <w:r w:rsidRPr="00807DAF">
        <w:t xml:space="preserve">The </w:t>
      </w:r>
      <w:r w:rsidR="002265E1" w:rsidRPr="00807DAF">
        <w:t xml:space="preserve">initial </w:t>
      </w:r>
      <w:r w:rsidR="00C17825" w:rsidRPr="00807DAF">
        <w:t xml:space="preserve">planned </w:t>
      </w:r>
      <w:r w:rsidRPr="00807DAF">
        <w:t xml:space="preserve">duration of an action may not </w:t>
      </w:r>
      <w:r w:rsidR="00C17825" w:rsidRPr="005C3A15">
        <w:t xml:space="preserve">be lower than </w:t>
      </w:r>
      <w:r w:rsidR="005C3A15" w:rsidRPr="005C3A15">
        <w:t>24</w:t>
      </w:r>
      <w:r w:rsidR="00234312" w:rsidRPr="005C3A15">
        <w:t xml:space="preserve"> </w:t>
      </w:r>
      <w:r w:rsidR="00C17825" w:rsidRPr="005C3A15">
        <w:t>months nor</w:t>
      </w:r>
      <w:r w:rsidR="00C17825" w:rsidRPr="00807DAF">
        <w:t xml:space="preserve"> </w:t>
      </w:r>
      <w:r w:rsidRPr="00807DAF">
        <w:t xml:space="preserve">exceed </w:t>
      </w:r>
      <w:r w:rsidR="005C3A15">
        <w:t xml:space="preserve">36 </w:t>
      </w:r>
      <w:r w:rsidRPr="008503BC">
        <w:t>months</w:t>
      </w:r>
      <w:r w:rsidRPr="00817D73">
        <w:t>.</w:t>
      </w:r>
    </w:p>
    <w:p w:rsidR="0007408E" w:rsidRPr="005C3A15" w:rsidRDefault="0007408E" w:rsidP="006B6048">
      <w:pPr>
        <w:rPr>
          <w:u w:val="single"/>
        </w:rPr>
      </w:pPr>
      <w:r w:rsidRPr="005C3A15">
        <w:rPr>
          <w:u w:val="single"/>
        </w:rPr>
        <w:t>Sectors or themes</w:t>
      </w:r>
    </w:p>
    <w:p w:rsidR="005C3A15" w:rsidRPr="003736FE" w:rsidRDefault="005C3A15" w:rsidP="005C3A15">
      <w:r>
        <w:t>The actions will address efficient use of water in urban and rural area in the context of the Southern Mediterranean region.</w:t>
      </w:r>
    </w:p>
    <w:p w:rsidR="0007408E" w:rsidRPr="00807DAF" w:rsidRDefault="0007408E" w:rsidP="006B6048">
      <w:pPr>
        <w:rPr>
          <w:u w:val="single"/>
        </w:rPr>
      </w:pPr>
      <w:r w:rsidRPr="00807DAF">
        <w:rPr>
          <w:u w:val="single"/>
        </w:rPr>
        <w:t>Location</w:t>
      </w:r>
    </w:p>
    <w:p w:rsidR="005C3A15" w:rsidRDefault="005C3A15" w:rsidP="005C3A15">
      <w:pPr>
        <w:pStyle w:val="afc"/>
        <w:spacing w:after="240"/>
        <w:rPr>
          <w:szCs w:val="24"/>
        </w:rPr>
      </w:pPr>
      <w:r w:rsidRPr="00807DAF">
        <w:t xml:space="preserve">Actions must take place in </w:t>
      </w:r>
      <w:r>
        <w:t xml:space="preserve">one or </w:t>
      </w:r>
      <w:r w:rsidRPr="003736FE">
        <w:t xml:space="preserve">more of the following countries: </w:t>
      </w:r>
      <w:r w:rsidRPr="003736FE">
        <w:rPr>
          <w:szCs w:val="22"/>
        </w:rPr>
        <w:t>Morocco, Algeria, Tunisia, Libya, Egypt, Palestine</w:t>
      </w:r>
      <w:r w:rsidRPr="003736FE">
        <w:rPr>
          <w:rStyle w:val="af6"/>
          <w:szCs w:val="22"/>
        </w:rPr>
        <w:footnoteReference w:id="17"/>
      </w:r>
      <w:r w:rsidRPr="003736FE">
        <w:rPr>
          <w:szCs w:val="22"/>
        </w:rPr>
        <w:t>, Israel, Jordan, Lebanon, and Syria</w:t>
      </w:r>
      <w:r w:rsidRPr="003736FE">
        <w:rPr>
          <w:rStyle w:val="af6"/>
          <w:szCs w:val="22"/>
        </w:rPr>
        <w:footnoteReference w:id="18"/>
      </w:r>
      <w:r w:rsidRPr="003736FE">
        <w:rPr>
          <w:szCs w:val="22"/>
        </w:rPr>
        <w:t xml:space="preserve">. </w:t>
      </w:r>
      <w:r>
        <w:rPr>
          <w:szCs w:val="24"/>
        </w:rPr>
        <w:t>A</w:t>
      </w:r>
      <w:r w:rsidRPr="003736FE">
        <w:rPr>
          <w:szCs w:val="24"/>
        </w:rPr>
        <w:t xml:space="preserve">ctions </w:t>
      </w:r>
      <w:r>
        <w:rPr>
          <w:szCs w:val="24"/>
        </w:rPr>
        <w:t>taking</w:t>
      </w:r>
      <w:r w:rsidRPr="003736FE">
        <w:rPr>
          <w:szCs w:val="24"/>
        </w:rPr>
        <w:t xml:space="preserve"> place in a single country/territory </w:t>
      </w:r>
      <w:r>
        <w:rPr>
          <w:szCs w:val="24"/>
        </w:rPr>
        <w:t xml:space="preserve">must have the potential to </w:t>
      </w:r>
      <w:r w:rsidRPr="003736FE">
        <w:rPr>
          <w:szCs w:val="24"/>
        </w:rPr>
        <w:t>be replicated in others.</w:t>
      </w:r>
    </w:p>
    <w:p w:rsidR="0007408E" w:rsidRPr="00807DAF" w:rsidRDefault="0007408E" w:rsidP="006B6048">
      <w:pPr>
        <w:rPr>
          <w:szCs w:val="22"/>
          <w:u w:val="single"/>
        </w:rPr>
      </w:pPr>
      <w:r w:rsidRPr="00807DAF">
        <w:rPr>
          <w:szCs w:val="22"/>
          <w:u w:val="single"/>
        </w:rPr>
        <w:t>Type</w:t>
      </w:r>
      <w:r w:rsidR="0001485A" w:rsidRPr="00807DAF">
        <w:rPr>
          <w:szCs w:val="22"/>
          <w:u w:val="single"/>
        </w:rPr>
        <w:t>s</w:t>
      </w:r>
      <w:r w:rsidRPr="00807DAF">
        <w:rPr>
          <w:szCs w:val="22"/>
          <w:u w:val="single"/>
        </w:rPr>
        <w:t xml:space="preserve"> of action</w:t>
      </w:r>
    </w:p>
    <w:p w:rsidR="005C3A15" w:rsidRDefault="005C3A15" w:rsidP="005C3A15">
      <w:pPr>
        <w:spacing w:after="0"/>
        <w:rPr>
          <w:szCs w:val="22"/>
        </w:rPr>
      </w:pPr>
      <w:r>
        <w:rPr>
          <w:szCs w:val="22"/>
        </w:rPr>
        <w:t>Innovative actions contributing to a more efficient use of water and tackling water scarcity.</w:t>
      </w:r>
    </w:p>
    <w:p w:rsidR="005C3A15" w:rsidRPr="000D1820" w:rsidRDefault="005C3A15" w:rsidP="005C3A15">
      <w:pPr>
        <w:spacing w:after="0"/>
        <w:rPr>
          <w:strike/>
          <w:szCs w:val="22"/>
        </w:rPr>
      </w:pPr>
    </w:p>
    <w:p w:rsidR="005C3A15" w:rsidRDefault="005C3A15" w:rsidP="005C3A15">
      <w:pPr>
        <w:spacing w:after="0"/>
        <w:rPr>
          <w:szCs w:val="22"/>
        </w:rPr>
      </w:pPr>
      <w:r>
        <w:rPr>
          <w:szCs w:val="22"/>
        </w:rPr>
        <w:t>Each action must address at least one of the priorities and all methodological elements descripted in the point 1.2 of this guidelines for grant applicant.</w:t>
      </w:r>
      <w:r w:rsidRPr="00807DAF">
        <w:t xml:space="preserve"> </w:t>
      </w:r>
    </w:p>
    <w:p w:rsidR="005C3A15" w:rsidRDefault="005C3A15" w:rsidP="005C3A15">
      <w:pPr>
        <w:spacing w:after="0"/>
        <w:rPr>
          <w:szCs w:val="22"/>
        </w:rPr>
      </w:pPr>
    </w:p>
    <w:p w:rsidR="00E1397C" w:rsidRPr="005C3A15" w:rsidRDefault="00E1397C" w:rsidP="005C3A15">
      <w:pPr>
        <w:spacing w:after="0"/>
        <w:rPr>
          <w:szCs w:val="22"/>
        </w:rPr>
      </w:pPr>
      <w:r w:rsidRPr="00807DAF">
        <w:t>The following types of action are ineligible:</w:t>
      </w:r>
    </w:p>
    <w:p w:rsidR="00E1397C" w:rsidRPr="00807DAF" w:rsidRDefault="00E1397C" w:rsidP="00F016A9">
      <w:pPr>
        <w:numPr>
          <w:ilvl w:val="0"/>
          <w:numId w:val="18"/>
        </w:numPr>
        <w:spacing w:before="240"/>
      </w:pPr>
      <w:r w:rsidRPr="00807DAF">
        <w:lastRenderedPageBreak/>
        <w:t>actions concerned only or mainly with individual sponsorships for participation in workshops, seminars, conferences and congresses;</w:t>
      </w:r>
    </w:p>
    <w:p w:rsidR="00E1397C" w:rsidRPr="00807DAF" w:rsidRDefault="00E1397C" w:rsidP="00F016A9">
      <w:pPr>
        <w:numPr>
          <w:ilvl w:val="0"/>
          <w:numId w:val="18"/>
        </w:numPr>
      </w:pPr>
      <w:r w:rsidRPr="00807DAF">
        <w:t>actions concerned only or mainly with individual scholarships for studies or training courses;</w:t>
      </w:r>
    </w:p>
    <w:p w:rsidR="005C3A15" w:rsidRPr="0009583F" w:rsidRDefault="005C3A15" w:rsidP="00F016A9">
      <w:pPr>
        <w:numPr>
          <w:ilvl w:val="0"/>
          <w:numId w:val="18"/>
        </w:numPr>
        <w:spacing w:after="240"/>
        <w:ind w:left="714" w:hanging="357"/>
      </w:pPr>
      <w:r w:rsidRPr="0009583F">
        <w:t>actions concerned only wi</w:t>
      </w:r>
      <w:r>
        <w:t>th payment of fees and salaries.</w:t>
      </w:r>
    </w:p>
    <w:p w:rsidR="004D7B57" w:rsidRPr="00807DAF" w:rsidRDefault="004D7B57" w:rsidP="006B6048">
      <w:pPr>
        <w:rPr>
          <w:szCs w:val="22"/>
          <w:u w:val="single"/>
        </w:rPr>
      </w:pPr>
      <w:r w:rsidRPr="00807DAF">
        <w:rPr>
          <w:szCs w:val="22"/>
          <w:u w:val="single"/>
        </w:rPr>
        <w:t>Types of activity</w:t>
      </w:r>
    </w:p>
    <w:p w:rsidR="00EF7C44" w:rsidRPr="00EF7C44" w:rsidRDefault="00EF7C44" w:rsidP="00EF7C44">
      <w:pPr>
        <w:rPr>
          <w:szCs w:val="22"/>
        </w:rPr>
      </w:pPr>
      <w:r w:rsidRPr="00EF7C44">
        <w:rPr>
          <w:szCs w:val="22"/>
        </w:rPr>
        <w:t>Activities in the areas of priorities specified in section 1.2 may be financed under this call.</w:t>
      </w:r>
    </w:p>
    <w:p w:rsidR="00EF7C44" w:rsidRPr="00EF7C44" w:rsidRDefault="00EF7C44" w:rsidP="00EF7C44">
      <w:pPr>
        <w:rPr>
          <w:szCs w:val="22"/>
        </w:rPr>
      </w:pPr>
      <w:r w:rsidRPr="00EF7C44">
        <w:rPr>
          <w:szCs w:val="22"/>
        </w:rPr>
        <w:t>Eligible activities could include, but are not limited to, the following types of activities. However, none of these listed activities should be the main or only type of activity in the action:</w:t>
      </w:r>
    </w:p>
    <w:p w:rsidR="00EF7C44" w:rsidRPr="00EF7C44" w:rsidRDefault="00EF7C44" w:rsidP="00F016A9">
      <w:pPr>
        <w:numPr>
          <w:ilvl w:val="0"/>
          <w:numId w:val="37"/>
        </w:numPr>
        <w:rPr>
          <w:szCs w:val="22"/>
        </w:rPr>
      </w:pPr>
      <w:r w:rsidRPr="00EF7C44">
        <w:rPr>
          <w:szCs w:val="22"/>
        </w:rPr>
        <w:t>assessments or surveys in order to define the baseline, the detailed technical design, the project outcomes and the project sustainability in the local context;</w:t>
      </w:r>
    </w:p>
    <w:p w:rsidR="00EF7C44" w:rsidRPr="00EF7C44" w:rsidRDefault="00EF7C44" w:rsidP="00F016A9">
      <w:pPr>
        <w:numPr>
          <w:ilvl w:val="0"/>
          <w:numId w:val="37"/>
        </w:numPr>
        <w:rPr>
          <w:szCs w:val="22"/>
        </w:rPr>
      </w:pPr>
      <w:r w:rsidRPr="00EF7C44">
        <w:rPr>
          <w:szCs w:val="22"/>
        </w:rPr>
        <w:t>technical expertise for the implementation of the project ;</w:t>
      </w:r>
    </w:p>
    <w:p w:rsidR="00EF7C44" w:rsidRPr="00EF7C44" w:rsidRDefault="00EF7C44" w:rsidP="00F016A9">
      <w:pPr>
        <w:numPr>
          <w:ilvl w:val="0"/>
          <w:numId w:val="37"/>
        </w:numPr>
        <w:rPr>
          <w:szCs w:val="22"/>
        </w:rPr>
      </w:pPr>
      <w:r w:rsidRPr="00EF7C44">
        <w:rPr>
          <w:szCs w:val="22"/>
        </w:rPr>
        <w:t>preparation and production of communication and dissemination materials (except creating a project website) in order to raise awareness of stakeholders and to promote replication of the tested innovative solution(s);</w:t>
      </w:r>
    </w:p>
    <w:p w:rsidR="00EF7C44" w:rsidRPr="00EF7C44" w:rsidRDefault="00EF7C44" w:rsidP="00F016A9">
      <w:pPr>
        <w:numPr>
          <w:ilvl w:val="0"/>
          <w:numId w:val="37"/>
        </w:numPr>
        <w:rPr>
          <w:szCs w:val="22"/>
        </w:rPr>
      </w:pPr>
      <w:r w:rsidRPr="00EF7C44">
        <w:rPr>
          <w:szCs w:val="22"/>
        </w:rPr>
        <w:t>procurement, delivery and supervision of supplies, works, services exclusively for the achievement of the project main objective;</w:t>
      </w:r>
    </w:p>
    <w:p w:rsidR="00EF7C44" w:rsidRPr="00EF7C44" w:rsidRDefault="00EF7C44" w:rsidP="00F016A9">
      <w:pPr>
        <w:numPr>
          <w:ilvl w:val="0"/>
          <w:numId w:val="37"/>
        </w:numPr>
        <w:rPr>
          <w:szCs w:val="22"/>
        </w:rPr>
      </w:pPr>
      <w:r w:rsidRPr="00EF7C44">
        <w:rPr>
          <w:szCs w:val="22"/>
        </w:rPr>
        <w:t>workshops, seminars, courses;</w:t>
      </w:r>
    </w:p>
    <w:p w:rsidR="00EF7C44" w:rsidRPr="00EF7C44" w:rsidRDefault="00EF7C44" w:rsidP="00F016A9">
      <w:pPr>
        <w:numPr>
          <w:ilvl w:val="0"/>
          <w:numId w:val="37"/>
        </w:numPr>
        <w:rPr>
          <w:szCs w:val="22"/>
        </w:rPr>
      </w:pPr>
      <w:r w:rsidRPr="00EF7C44">
        <w:rPr>
          <w:szCs w:val="22"/>
        </w:rPr>
        <w:t>internal project monitoring.</w:t>
      </w:r>
    </w:p>
    <w:p w:rsidR="0023018A" w:rsidRPr="00807DAF" w:rsidRDefault="00266BD4" w:rsidP="006B6048">
      <w:pPr>
        <w:rPr>
          <w:szCs w:val="22"/>
          <w:u w:val="single"/>
        </w:rPr>
      </w:pPr>
      <w:r w:rsidRPr="00807DAF">
        <w:rPr>
          <w:szCs w:val="22"/>
          <w:u w:val="single"/>
        </w:rPr>
        <w:t>Financial support to third parties</w:t>
      </w:r>
      <w:r w:rsidR="00DB06F5" w:rsidRPr="00807DAF">
        <w:rPr>
          <w:rStyle w:val="af6"/>
          <w:szCs w:val="22"/>
          <w:u w:val="single"/>
        </w:rPr>
        <w:footnoteReference w:id="19"/>
      </w:r>
      <w:r w:rsidR="0023018A" w:rsidRPr="00807DAF">
        <w:rPr>
          <w:szCs w:val="22"/>
          <w:u w:val="single"/>
        </w:rPr>
        <w:t xml:space="preserve"> </w:t>
      </w:r>
    </w:p>
    <w:p w:rsidR="007E1BE2" w:rsidRPr="00807DAF" w:rsidRDefault="003F04E9" w:rsidP="00C90F08">
      <w:r>
        <w:t>A</w:t>
      </w:r>
      <w:r w:rsidR="001D0C7B" w:rsidRPr="008503BC">
        <w:t>pplicant</w:t>
      </w:r>
      <w:r>
        <w:t>s</w:t>
      </w:r>
      <w:r w:rsidR="00C70BDE" w:rsidRPr="003970CB">
        <w:t xml:space="preserve"> </w:t>
      </w:r>
      <w:r w:rsidR="007E1BE2" w:rsidRPr="00EF7C44">
        <w:t>may</w:t>
      </w:r>
      <w:r w:rsidR="00103811" w:rsidRPr="003970CB">
        <w:t xml:space="preserve"> </w:t>
      </w:r>
      <w:r w:rsidR="0023018A" w:rsidRPr="008503BC">
        <w:t xml:space="preserve">propose </w:t>
      </w:r>
      <w:r w:rsidR="007E1BE2" w:rsidRPr="008503BC">
        <w:t xml:space="preserve">financial support to third </w:t>
      </w:r>
      <w:r w:rsidR="00107C6D" w:rsidRPr="008503BC">
        <w:t>parties</w:t>
      </w:r>
      <w:r w:rsidR="003477DE" w:rsidRPr="008503BC">
        <w:t>.</w:t>
      </w:r>
    </w:p>
    <w:p w:rsidR="00107C6D" w:rsidRPr="00EF7C44" w:rsidRDefault="003F04E9" w:rsidP="007E1BE2">
      <w:r w:rsidRPr="00EF7C44">
        <w:t>A</w:t>
      </w:r>
      <w:r w:rsidR="00107C6D" w:rsidRPr="00EF7C44">
        <w:t>pplicant</w:t>
      </w:r>
      <w:r w:rsidRPr="00EF7C44">
        <w:t>s</w:t>
      </w:r>
      <w:r w:rsidR="00EF7C44" w:rsidRPr="00EF7C44">
        <w:t xml:space="preserve"> </w:t>
      </w:r>
      <w:r w:rsidR="00EE6BF6" w:rsidRPr="00EF7C44">
        <w:t>may</w:t>
      </w:r>
      <w:r w:rsidR="00EF7C44" w:rsidRPr="00EF7C44">
        <w:t xml:space="preserve"> </w:t>
      </w:r>
      <w:r w:rsidR="00107C6D" w:rsidRPr="00EF7C44">
        <w:t xml:space="preserve">propose financial support to third parties </w:t>
      </w:r>
      <w:r w:rsidR="00517ECD" w:rsidRPr="00EF7C44">
        <w:t>in order</w:t>
      </w:r>
      <w:r w:rsidR="00107C6D" w:rsidRPr="00EF7C44">
        <w:t xml:space="preserve"> to </w:t>
      </w:r>
      <w:r w:rsidR="0047210D" w:rsidRPr="00EF7C44">
        <w:t>help achieving</w:t>
      </w:r>
      <w:r w:rsidR="00107C6D" w:rsidRPr="00EF7C44">
        <w:t xml:space="preserve"> the objectives of the action.</w:t>
      </w:r>
      <w:r w:rsidR="00DB06F5" w:rsidRPr="00EF7C44">
        <w:t xml:space="preserve"> </w:t>
      </w:r>
    </w:p>
    <w:p w:rsidR="009B6884" w:rsidRPr="00EF7C44" w:rsidRDefault="007E1BE2" w:rsidP="009B6884">
      <w:pPr>
        <w:rPr>
          <w:szCs w:val="22"/>
        </w:rPr>
      </w:pPr>
      <w:r w:rsidRPr="00EF7C44">
        <w:t xml:space="preserve">The maximum amount of </w:t>
      </w:r>
      <w:r w:rsidR="003477DE" w:rsidRPr="00EF7C44">
        <w:t>financial support</w:t>
      </w:r>
      <w:r w:rsidRPr="00EF7C44">
        <w:t xml:space="preserve"> </w:t>
      </w:r>
      <w:r w:rsidR="00A07623" w:rsidRPr="00EF7C44">
        <w:t xml:space="preserve">per third party </w:t>
      </w:r>
      <w:r w:rsidRPr="00EF7C44">
        <w:t xml:space="preserve">is </w:t>
      </w:r>
      <w:r w:rsidR="0006470D" w:rsidRPr="00EF7C44">
        <w:t>EUR</w:t>
      </w:r>
      <w:r w:rsidRPr="00EF7C44">
        <w:t xml:space="preserve"> 60 000</w:t>
      </w:r>
      <w:r w:rsidR="00EF7C44" w:rsidRPr="00EF7C44">
        <w:t>.</w:t>
      </w:r>
    </w:p>
    <w:p w:rsidR="00700AF2" w:rsidRPr="00807DAF" w:rsidRDefault="005D15E9" w:rsidP="00517ECD">
      <w:r w:rsidRPr="00EF7C44">
        <w:t xml:space="preserve">Under this </w:t>
      </w:r>
      <w:r w:rsidR="003B254C" w:rsidRPr="00EF7C44">
        <w:t>c</w:t>
      </w:r>
      <w:r w:rsidRPr="00EF7C44">
        <w:t>all, f</w:t>
      </w:r>
      <w:r w:rsidR="00266BD4" w:rsidRPr="00EF7C44">
        <w:t>inancial support to third parties</w:t>
      </w:r>
      <w:r w:rsidR="00EF7C44" w:rsidRPr="00EF7C44">
        <w:t xml:space="preserve"> </w:t>
      </w:r>
      <w:r w:rsidR="00D860CD" w:rsidRPr="00EF7C44">
        <w:t>is not</w:t>
      </w:r>
      <w:r w:rsidR="007E1BE2" w:rsidRPr="00EF7C44">
        <w:t xml:space="preserve"> </w:t>
      </w:r>
      <w:r w:rsidR="00D860CD" w:rsidRPr="00EF7C44">
        <w:t>considered essential to achieve the objective of the action</w:t>
      </w:r>
      <w:r w:rsidR="007E1BE2" w:rsidRPr="00EF7C44">
        <w:t>.</w:t>
      </w:r>
    </w:p>
    <w:p w:rsidR="00700AF2" w:rsidRPr="001F4ABD" w:rsidRDefault="00700AF2" w:rsidP="00700AF2">
      <w:pPr>
        <w:rPr>
          <w:szCs w:val="22"/>
        </w:rPr>
      </w:pPr>
      <w:r w:rsidRPr="001F4ABD">
        <w:rPr>
          <w:szCs w:val="22"/>
        </w:rPr>
        <w:t xml:space="preserve">In compliance with the present guidelines and notably of any conditions or restrictions </w:t>
      </w:r>
      <w:r w:rsidR="00F72D70" w:rsidRPr="001F4ABD">
        <w:rPr>
          <w:szCs w:val="22"/>
        </w:rPr>
        <w:t xml:space="preserve">in this </w:t>
      </w:r>
      <w:r w:rsidR="00853E40" w:rsidRPr="001F4ABD">
        <w:rPr>
          <w:szCs w:val="22"/>
        </w:rPr>
        <w:t>S</w:t>
      </w:r>
      <w:r w:rsidR="00F72D70" w:rsidRPr="001F4ABD">
        <w:rPr>
          <w:szCs w:val="22"/>
        </w:rPr>
        <w:t>ection</w:t>
      </w:r>
      <w:r w:rsidRPr="001F4ABD">
        <w:rPr>
          <w:szCs w:val="22"/>
        </w:rPr>
        <w:t>,</w:t>
      </w:r>
      <w:r w:rsidR="00F72E51" w:rsidRPr="001F4ABD">
        <w:rPr>
          <w:szCs w:val="22"/>
        </w:rPr>
        <w:t xml:space="preserve"> the</w:t>
      </w:r>
      <w:r w:rsidRPr="001F4ABD">
        <w:rPr>
          <w:szCs w:val="22"/>
        </w:rPr>
        <w:t xml:space="preserve"> </w:t>
      </w:r>
      <w:r w:rsidR="00B114D9" w:rsidRPr="001F4ABD">
        <w:rPr>
          <w:szCs w:val="22"/>
        </w:rPr>
        <w:t xml:space="preserve">lead </w:t>
      </w:r>
      <w:r w:rsidRPr="001F4ABD">
        <w:rPr>
          <w:szCs w:val="22"/>
        </w:rPr>
        <w:t>applicant sh</w:t>
      </w:r>
      <w:r w:rsidR="0002374A" w:rsidRPr="001F4ABD">
        <w:rPr>
          <w:szCs w:val="22"/>
        </w:rPr>
        <w:t>ould</w:t>
      </w:r>
      <w:r w:rsidRPr="001F4ABD">
        <w:rPr>
          <w:szCs w:val="22"/>
        </w:rPr>
        <w:t xml:space="preserve"> define mandatorily in </w:t>
      </w:r>
      <w:r w:rsidR="000D7ACD" w:rsidRPr="001F4ABD">
        <w:rPr>
          <w:szCs w:val="22"/>
        </w:rPr>
        <w:t>S</w:t>
      </w:r>
      <w:r w:rsidRPr="001F4ABD">
        <w:rPr>
          <w:szCs w:val="22"/>
        </w:rPr>
        <w:t xml:space="preserve">ection 2.1.1 of the grant application form: </w:t>
      </w:r>
    </w:p>
    <w:p w:rsidR="00700AF2" w:rsidRPr="001F4ABD" w:rsidRDefault="00700AF2" w:rsidP="00F016A9">
      <w:pPr>
        <w:numPr>
          <w:ilvl w:val="0"/>
          <w:numId w:val="29"/>
        </w:numPr>
        <w:tabs>
          <w:tab w:val="left" w:pos="851"/>
        </w:tabs>
        <w:ind w:left="851" w:hanging="425"/>
        <w:rPr>
          <w:szCs w:val="22"/>
        </w:rPr>
      </w:pPr>
      <w:r w:rsidRPr="001F4ABD">
        <w:rPr>
          <w:szCs w:val="22"/>
        </w:rPr>
        <w:t xml:space="preserve">the </w:t>
      </w:r>
      <w:r w:rsidR="00247941" w:rsidRPr="001F4ABD">
        <w:rPr>
          <w:szCs w:val="22"/>
        </w:rPr>
        <w:t>overall objectives, the specific objective(s) and the outputs</w:t>
      </w:r>
      <w:r w:rsidR="00247941" w:rsidRPr="001F4ABD">
        <w:rPr>
          <w:rStyle w:val="af6"/>
          <w:szCs w:val="22"/>
        </w:rPr>
        <w:footnoteReference w:id="20"/>
      </w:r>
      <w:r w:rsidR="00247941" w:rsidRPr="001F4ABD">
        <w:rPr>
          <w:szCs w:val="22"/>
        </w:rPr>
        <w:t xml:space="preserve"> (i.e. the results) to be achieved </w:t>
      </w:r>
      <w:r w:rsidRPr="001F4ABD">
        <w:rPr>
          <w:szCs w:val="22"/>
        </w:rPr>
        <w:t xml:space="preserve">with the financial support </w:t>
      </w:r>
    </w:p>
    <w:p w:rsidR="00700AF2" w:rsidRPr="001F4ABD" w:rsidRDefault="00700AF2" w:rsidP="00F016A9">
      <w:pPr>
        <w:numPr>
          <w:ilvl w:val="0"/>
          <w:numId w:val="29"/>
        </w:numPr>
        <w:tabs>
          <w:tab w:val="left" w:pos="851"/>
        </w:tabs>
        <w:ind w:left="851" w:hanging="425"/>
        <w:rPr>
          <w:szCs w:val="22"/>
        </w:rPr>
      </w:pPr>
      <w:r w:rsidRPr="001F4ABD">
        <w:rPr>
          <w:szCs w:val="22"/>
        </w:rPr>
        <w:t xml:space="preserve">the different types of activities eligible for financial support, on the basis of a fixed list </w:t>
      </w:r>
    </w:p>
    <w:p w:rsidR="00700AF2" w:rsidRPr="001F4ABD" w:rsidRDefault="00700AF2" w:rsidP="00F016A9">
      <w:pPr>
        <w:numPr>
          <w:ilvl w:val="0"/>
          <w:numId w:val="29"/>
        </w:numPr>
        <w:tabs>
          <w:tab w:val="left" w:pos="851"/>
        </w:tabs>
        <w:ind w:left="851" w:hanging="425"/>
        <w:rPr>
          <w:szCs w:val="22"/>
        </w:rPr>
      </w:pPr>
      <w:r w:rsidRPr="001F4ABD">
        <w:rPr>
          <w:szCs w:val="22"/>
        </w:rPr>
        <w:t xml:space="preserve">the types of persons or categories of persons which may receive financial support  </w:t>
      </w:r>
    </w:p>
    <w:p w:rsidR="00700AF2" w:rsidRPr="001F4ABD" w:rsidRDefault="00700AF2" w:rsidP="004741A1">
      <w:pPr>
        <w:tabs>
          <w:tab w:val="left" w:pos="851"/>
        </w:tabs>
        <w:ind w:left="851" w:hanging="425"/>
        <w:rPr>
          <w:szCs w:val="22"/>
        </w:rPr>
      </w:pPr>
      <w:r w:rsidRPr="001F4ABD">
        <w:rPr>
          <w:szCs w:val="22"/>
        </w:rPr>
        <w:t>(iv)</w:t>
      </w:r>
      <w:r w:rsidR="00D97BE7" w:rsidRPr="001F4ABD">
        <w:rPr>
          <w:szCs w:val="22"/>
        </w:rPr>
        <w:tab/>
      </w:r>
      <w:r w:rsidRPr="001F4ABD">
        <w:rPr>
          <w:szCs w:val="22"/>
        </w:rPr>
        <w:t xml:space="preserve">the criteria for selecting these entities and giving the financial support  </w:t>
      </w:r>
    </w:p>
    <w:p w:rsidR="00700AF2" w:rsidRPr="001F4ABD" w:rsidRDefault="00700AF2" w:rsidP="00F016A9">
      <w:pPr>
        <w:numPr>
          <w:ilvl w:val="0"/>
          <w:numId w:val="30"/>
        </w:numPr>
        <w:tabs>
          <w:tab w:val="left" w:pos="851"/>
        </w:tabs>
        <w:ind w:left="851" w:hanging="425"/>
        <w:rPr>
          <w:szCs w:val="22"/>
        </w:rPr>
      </w:pPr>
      <w:r w:rsidRPr="001F4ABD">
        <w:rPr>
          <w:szCs w:val="22"/>
        </w:rPr>
        <w:t xml:space="preserve">the criteria for determining the exact amount of financial support for each third entity, and </w:t>
      </w:r>
    </w:p>
    <w:p w:rsidR="00700AF2" w:rsidRPr="001F4ABD" w:rsidRDefault="00700AF2" w:rsidP="00F016A9">
      <w:pPr>
        <w:numPr>
          <w:ilvl w:val="0"/>
          <w:numId w:val="30"/>
        </w:numPr>
        <w:tabs>
          <w:tab w:val="left" w:pos="851"/>
        </w:tabs>
        <w:ind w:left="851" w:hanging="425"/>
        <w:rPr>
          <w:szCs w:val="22"/>
        </w:rPr>
      </w:pPr>
      <w:r w:rsidRPr="001F4ABD">
        <w:rPr>
          <w:szCs w:val="22"/>
        </w:rPr>
        <w:lastRenderedPageBreak/>
        <w:t>the maximum amount which may be given.</w:t>
      </w:r>
    </w:p>
    <w:p w:rsidR="00C179C5" w:rsidRDefault="00700AF2" w:rsidP="001F4ABD">
      <w:pPr>
        <w:rPr>
          <w:szCs w:val="22"/>
          <w:u w:val="single"/>
        </w:rPr>
      </w:pPr>
      <w:r w:rsidRPr="001F4ABD">
        <w:rPr>
          <w:szCs w:val="22"/>
          <w:u w:val="single"/>
        </w:rPr>
        <w:t>In all events, the mandatory conditions set above for giving financial support (points (i) to (vi)) have to be strictly defined in the</w:t>
      </w:r>
      <w:r w:rsidR="00A155DA" w:rsidRPr="001F4ABD">
        <w:rPr>
          <w:szCs w:val="22"/>
          <w:u w:val="single"/>
        </w:rPr>
        <w:t xml:space="preserve"> </w:t>
      </w:r>
      <w:r w:rsidR="003B254C" w:rsidRPr="001F4ABD">
        <w:rPr>
          <w:szCs w:val="22"/>
          <w:u w:val="single"/>
        </w:rPr>
        <w:t>g</w:t>
      </w:r>
      <w:r w:rsidR="00A155DA" w:rsidRPr="001F4ABD">
        <w:rPr>
          <w:szCs w:val="22"/>
          <w:u w:val="single"/>
        </w:rPr>
        <w:t xml:space="preserve">rant </w:t>
      </w:r>
      <w:r w:rsidR="003B254C" w:rsidRPr="001F4ABD">
        <w:rPr>
          <w:szCs w:val="22"/>
          <w:u w:val="single"/>
        </w:rPr>
        <w:t>c</w:t>
      </w:r>
      <w:r w:rsidRPr="001F4ABD">
        <w:rPr>
          <w:szCs w:val="22"/>
          <w:u w:val="single"/>
        </w:rPr>
        <w:t>ontract as to avoid any exercise of discretion.</w:t>
      </w:r>
    </w:p>
    <w:p w:rsidR="00107C6D" w:rsidRPr="00807DAF" w:rsidRDefault="00107C6D" w:rsidP="004B7BC2">
      <w:pPr>
        <w:keepNext/>
        <w:rPr>
          <w:szCs w:val="22"/>
          <w:u w:val="single"/>
        </w:rPr>
      </w:pPr>
      <w:r w:rsidRPr="00807DAF">
        <w:rPr>
          <w:szCs w:val="22"/>
          <w:u w:val="single"/>
        </w:rPr>
        <w:t>Visibility</w:t>
      </w:r>
    </w:p>
    <w:p w:rsidR="00622160" w:rsidRPr="00807DAF" w:rsidRDefault="00622160" w:rsidP="00622160">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rsidR="00572B45" w:rsidRPr="0060510D" w:rsidRDefault="00EE729B" w:rsidP="006B6048">
      <w:r w:rsidRPr="00807DAF">
        <w:t>A</w:t>
      </w:r>
      <w:r w:rsidR="002A4866" w:rsidRPr="00807DAF">
        <w:t>pplicant</w:t>
      </w:r>
      <w:r w:rsidRPr="00807DAF">
        <w:t>s</w:t>
      </w:r>
      <w:r w:rsidR="002A4866" w:rsidRPr="00807DAF">
        <w:t xml:space="preserve"> must comply with the objectives and priorities and guarantee the visibility of the EU</w:t>
      </w:r>
      <w:r w:rsidRPr="00807DAF">
        <w:t xml:space="preserve"> </w:t>
      </w:r>
      <w:r w:rsidR="002A4866" w:rsidRPr="00807DAF">
        <w:t xml:space="preserve">financing (see the Communication and Visibility Manual for EU external actions </w:t>
      </w:r>
      <w:r w:rsidR="009F1A11" w:rsidRPr="00807DAF">
        <w:t>specified</w:t>
      </w:r>
      <w:r w:rsidR="002A4866" w:rsidRPr="00807DAF">
        <w:t xml:space="preserve"> and published by the European Commission at </w:t>
      </w:r>
      <w:hyperlink r:id="rId16" w:history="1">
        <w:r w:rsidR="009C7178" w:rsidRPr="00FE3AC1">
          <w:rPr>
            <w:rStyle w:val="Hyperlink"/>
          </w:rPr>
          <w:t>http://ec.europa.eu/europeaid/funding/communication-and-visibility-manual-eu-external-actions_en</w:t>
        </w:r>
      </w:hyperlink>
      <w:r w:rsidR="002A4866" w:rsidRPr="00807DAF">
        <w:t>).</w:t>
      </w:r>
    </w:p>
    <w:p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rsidR="0007408E" w:rsidRPr="00807DAF" w:rsidRDefault="006A36F9" w:rsidP="006B6048">
      <w:r w:rsidRPr="00807DAF">
        <w:t xml:space="preserve">The </w:t>
      </w:r>
      <w:r w:rsidR="00B114D9">
        <w:t>lead a</w:t>
      </w:r>
      <w:r w:rsidR="0007408E" w:rsidRPr="00807DAF">
        <w:t xml:space="preserve">pplicant </w:t>
      </w:r>
      <w:r w:rsidR="0007408E" w:rsidRPr="001F4ABD">
        <w:t>may not</w:t>
      </w:r>
      <w:r w:rsidR="00D94180">
        <w:t xml:space="preserve"> </w:t>
      </w:r>
      <w:r w:rsidR="00C175CE" w:rsidRPr="00807DAF">
        <w:t xml:space="preserve">submit more than </w:t>
      </w:r>
      <w:r w:rsidR="001F4ABD">
        <w:t>1</w:t>
      </w:r>
      <w:r w:rsidR="00C175CE" w:rsidRPr="00807DAF">
        <w:t xml:space="preserve"> </w:t>
      </w:r>
      <w:r w:rsidR="001F4ABD">
        <w:t xml:space="preserve">application(s) </w:t>
      </w:r>
      <w:r w:rsidR="00E359F9" w:rsidRPr="00807DAF">
        <w:t xml:space="preserve">under this </w:t>
      </w:r>
      <w:r w:rsidR="00466C25">
        <w:t>c</w:t>
      </w:r>
      <w:r w:rsidR="001D0C7B" w:rsidRPr="00807DAF">
        <w:t xml:space="preserve">all for </w:t>
      </w:r>
      <w:r w:rsidR="00466C25">
        <w:t>p</w:t>
      </w:r>
      <w:r w:rsidR="001D0C7B" w:rsidRPr="00807DAF">
        <w:t>roposals</w:t>
      </w:r>
      <w:r w:rsidR="00E359F9" w:rsidRPr="00807DAF">
        <w:t>.</w:t>
      </w:r>
    </w:p>
    <w:p w:rsidR="0007408E" w:rsidRPr="001F4ABD" w:rsidRDefault="006A36F9" w:rsidP="006B6048">
      <w:r w:rsidRPr="00807DAF">
        <w:t xml:space="preserve">The </w:t>
      </w:r>
      <w:r w:rsidR="00B114D9">
        <w:t>lead a</w:t>
      </w:r>
      <w:r w:rsidR="0007408E" w:rsidRPr="00807DAF">
        <w:t xml:space="preserve">pplicant </w:t>
      </w:r>
      <w:r w:rsidR="0007408E" w:rsidRPr="001F4ABD">
        <w:t>may not</w:t>
      </w:r>
      <w:r w:rsidR="00B41A93" w:rsidRPr="001F4ABD">
        <w:t xml:space="preserve"> </w:t>
      </w:r>
      <w:r w:rsidR="0007408E" w:rsidRPr="001F4ABD">
        <w:t>be awarded more than</w:t>
      </w:r>
      <w:r w:rsidR="001F4ABD" w:rsidRPr="001F4ABD">
        <w:t xml:space="preserve"> 1</w:t>
      </w:r>
      <w:r w:rsidR="0007408E" w:rsidRPr="001F4ABD">
        <w:t xml:space="preserve"> grant</w:t>
      </w:r>
      <w:r w:rsidR="004977D3" w:rsidRPr="001F4ABD">
        <w:t>(s)</w:t>
      </w:r>
      <w:r w:rsidR="00C175CE" w:rsidRPr="001F4ABD">
        <w:t xml:space="preserve"> under this </w:t>
      </w:r>
      <w:r w:rsidR="00466C25" w:rsidRPr="001F4ABD">
        <w:t>c</w:t>
      </w:r>
      <w:r w:rsidR="001D0C7B" w:rsidRPr="001F4ABD">
        <w:t xml:space="preserve">all for </w:t>
      </w:r>
      <w:r w:rsidR="00466C25" w:rsidRPr="001F4ABD">
        <w:t>p</w:t>
      </w:r>
      <w:r w:rsidR="001D0C7B" w:rsidRPr="001F4ABD">
        <w:t>roposals</w:t>
      </w:r>
      <w:r w:rsidR="00C175CE" w:rsidRPr="001F4ABD">
        <w:t>.</w:t>
      </w:r>
    </w:p>
    <w:p w:rsidR="00B41A93" w:rsidRPr="00807DAF" w:rsidRDefault="006A36F9" w:rsidP="006B6048">
      <w:r w:rsidRPr="001F4ABD">
        <w:t xml:space="preserve">The </w:t>
      </w:r>
      <w:r w:rsidR="00B114D9" w:rsidRPr="001F4ABD">
        <w:t>lead a</w:t>
      </w:r>
      <w:r w:rsidR="00B41A93" w:rsidRPr="001F4ABD">
        <w:t>pplicant may not</w:t>
      </w:r>
      <w:r w:rsidR="00B41A93" w:rsidRPr="00807DAF">
        <w:t xml:space="preserve"> be </w:t>
      </w:r>
      <w:r w:rsidR="005C4566" w:rsidRPr="008503BC">
        <w:t xml:space="preserve">a </w:t>
      </w:r>
      <w:r w:rsidR="008D71C9" w:rsidRPr="008503BC">
        <w:t xml:space="preserve">co-applicant or an </w:t>
      </w:r>
      <w:r w:rsidR="00A6227D" w:rsidRPr="008503BC">
        <w:t>affiliated</w:t>
      </w:r>
      <w:r w:rsidR="008D71C9" w:rsidRPr="008503BC">
        <w:t xml:space="preserve"> entity</w:t>
      </w:r>
      <w:r w:rsidR="00B41A93" w:rsidRPr="00807DAF">
        <w:t xml:space="preserve"> in another application</w:t>
      </w:r>
      <w:r w:rsidR="005C4566" w:rsidRPr="00807DAF">
        <w:t xml:space="preserve"> at the same time.</w:t>
      </w:r>
    </w:p>
    <w:p w:rsidR="00B34A8F" w:rsidRPr="00807DAF" w:rsidRDefault="00223C40" w:rsidP="006B6048">
      <w:r w:rsidRPr="00807DAF">
        <w:t>A</w:t>
      </w:r>
      <w:r w:rsidR="00B34A8F" w:rsidRPr="00807DAF">
        <w:t xml:space="preserve"> </w:t>
      </w:r>
      <w:r w:rsidRPr="00807DAF">
        <w:t>co-applicant</w:t>
      </w:r>
      <w:r w:rsidR="005865C6" w:rsidRPr="00807DAF">
        <w:t>/affiliated entity</w:t>
      </w:r>
      <w:r w:rsidRPr="00807DAF">
        <w:t xml:space="preserve"> </w:t>
      </w:r>
      <w:r w:rsidR="00B34A8F" w:rsidRPr="001F4ABD">
        <w:t>may</w:t>
      </w:r>
      <w:r w:rsidR="001F4ABD" w:rsidRPr="001F4ABD">
        <w:t xml:space="preserve"> </w:t>
      </w:r>
      <w:r w:rsidR="00C515AC">
        <w:t xml:space="preserve">be the co-applicant or affiliated entity in </w:t>
      </w:r>
      <w:r w:rsidR="00B34A8F" w:rsidRPr="00807DAF">
        <w:t xml:space="preserve">more than </w:t>
      </w:r>
      <w:r w:rsidR="001F4ABD">
        <w:t>1</w:t>
      </w:r>
      <w:r w:rsidR="00B34A8F" w:rsidRPr="00807DAF">
        <w:t xml:space="preserve"> application(s) under this </w:t>
      </w:r>
      <w:r w:rsidR="00466C25">
        <w:t>c</w:t>
      </w:r>
      <w:r w:rsidR="00B34A8F" w:rsidRPr="00807DAF">
        <w:t xml:space="preserve">all for </w:t>
      </w:r>
      <w:r w:rsidR="00466C25">
        <w:t>p</w:t>
      </w:r>
      <w:r w:rsidR="00B34A8F" w:rsidRPr="00807DAF">
        <w:t>roposals.</w:t>
      </w:r>
    </w:p>
    <w:p w:rsidR="00B34A8F" w:rsidRPr="00807DAF" w:rsidRDefault="00223C40" w:rsidP="006B6048">
      <w:r w:rsidRPr="00807DAF">
        <w:t>A</w:t>
      </w:r>
      <w:r w:rsidR="00B34A8F" w:rsidRPr="00807DAF">
        <w:t xml:space="preserve"> </w:t>
      </w:r>
      <w:r w:rsidRPr="00807DAF">
        <w:t>co-applicant</w:t>
      </w:r>
      <w:r w:rsidR="005865C6" w:rsidRPr="00807DAF">
        <w:t>/affiliated entity</w:t>
      </w:r>
      <w:r w:rsidR="00B34A8F" w:rsidRPr="00807DAF">
        <w:t xml:space="preserve"> </w:t>
      </w:r>
      <w:r w:rsidR="00B34A8F" w:rsidRPr="008B5BBA">
        <w:t>may</w:t>
      </w:r>
      <w:r w:rsidR="00B34A8F" w:rsidRPr="00807DAF">
        <w:t xml:space="preserve"> be awarded more than </w:t>
      </w:r>
      <w:r w:rsidR="001F4ABD">
        <w:t>1</w:t>
      </w:r>
      <w:r w:rsidR="00B34A8F" w:rsidRPr="00807DAF">
        <w:t xml:space="preserve"> grant(s) under this </w:t>
      </w:r>
      <w:r w:rsidR="00466C25">
        <w:t>c</w:t>
      </w:r>
      <w:r w:rsidR="00B34A8F" w:rsidRPr="00807DAF">
        <w:t xml:space="preserve">all for </w:t>
      </w:r>
      <w:r w:rsidR="00466C25">
        <w:t>p</w:t>
      </w:r>
      <w:r w:rsidR="00B34A8F" w:rsidRPr="00807DAF">
        <w:t>roposals.</w:t>
      </w:r>
    </w:p>
    <w:p w:rsidR="0007408E" w:rsidRPr="00807DAF" w:rsidRDefault="0007408E" w:rsidP="004B7BC2">
      <w:pPr>
        <w:pStyle w:val="Guidelines3"/>
      </w:pPr>
      <w:bookmarkStart w:id="14" w:name="_Toc1059733"/>
      <w:r w:rsidRPr="00807DAF">
        <w:t xml:space="preserve">Eligibility of costs: costs </w:t>
      </w:r>
      <w:r w:rsidR="00302E84" w:rsidRPr="00807DAF">
        <w:t>that can</w:t>
      </w:r>
      <w:r w:rsidR="003137E2" w:rsidRPr="00807DAF">
        <w:t xml:space="preserve"> be</w:t>
      </w:r>
      <w:r w:rsidR="00302E84" w:rsidRPr="00807DAF">
        <w:t xml:space="preserve"> </w:t>
      </w:r>
      <w:r w:rsidR="00A575A2" w:rsidRPr="00807DAF">
        <w:t>included</w:t>
      </w:r>
      <w:bookmarkEnd w:id="14"/>
      <w:r w:rsidR="00A575A2" w:rsidRPr="00807DAF">
        <w:t xml:space="preserve"> </w:t>
      </w:r>
    </w:p>
    <w:p w:rsidR="009F4DBB" w:rsidRPr="00807DAF" w:rsidRDefault="0007408E" w:rsidP="006B6048">
      <w:pPr>
        <w:spacing w:before="240"/>
      </w:pPr>
      <w:r w:rsidRPr="00807DAF">
        <w:t xml:space="preserve">Only </w:t>
      </w:r>
      <w:r w:rsidR="00A016F9" w:rsidRPr="00807DAF">
        <w:t>‘</w:t>
      </w:r>
      <w:r w:rsidR="00356DFC" w:rsidRPr="00807DAF">
        <w:t>eligible costs</w:t>
      </w:r>
      <w:r w:rsidR="00A016F9" w:rsidRPr="00807DAF">
        <w:t>’</w:t>
      </w:r>
      <w:r w:rsidR="00356DFC" w:rsidRPr="00807DAF">
        <w:t xml:space="preserve"> </w:t>
      </w:r>
      <w:r w:rsidRPr="00807DAF">
        <w:t xml:space="preserve">can be </w:t>
      </w:r>
      <w:r w:rsidR="000B1032" w:rsidRPr="00807DAF">
        <w:t>covered by</w:t>
      </w:r>
      <w:r w:rsidRPr="00807DAF">
        <w:t xml:space="preserve"> a grant. The</w:t>
      </w:r>
      <w:r w:rsidR="000735EC" w:rsidRPr="00807DAF">
        <w:t xml:space="preserve"> categories of costs </w:t>
      </w:r>
      <w:r w:rsidR="00A575A2" w:rsidRPr="00807DAF">
        <w:t>that are</w:t>
      </w:r>
      <w:r w:rsidR="000735EC" w:rsidRPr="00807DAF">
        <w:t xml:space="preserve"> eligible and non-eligible are indicated below.</w:t>
      </w:r>
      <w:r w:rsidR="002F3F27" w:rsidRPr="00807DAF">
        <w:t xml:space="preserve"> </w:t>
      </w:r>
      <w:r w:rsidRPr="00807DAF">
        <w:t>The budget is both a cost estimate and a</w:t>
      </w:r>
      <w:r w:rsidR="009444A8" w:rsidRPr="00807DAF">
        <w:t>n</w:t>
      </w:r>
      <w:r w:rsidRPr="00807DAF">
        <w:t xml:space="preserve"> </w:t>
      </w:r>
      <w:r w:rsidR="009444A8" w:rsidRPr="00807DAF">
        <w:t xml:space="preserve">overall </w:t>
      </w:r>
      <w:r w:rsidRPr="00807DAF">
        <w:t xml:space="preserve">ceiling for </w:t>
      </w:r>
      <w:r w:rsidR="00A016F9" w:rsidRPr="00807DAF">
        <w:t>‘</w:t>
      </w:r>
      <w:r w:rsidRPr="00807DAF">
        <w:t>eligible costs</w:t>
      </w:r>
      <w:r w:rsidR="00A016F9" w:rsidRPr="00807DAF">
        <w:t>’</w:t>
      </w:r>
      <w:r w:rsidRPr="00807DAF">
        <w:t xml:space="preserve">. </w:t>
      </w:r>
    </w:p>
    <w:p w:rsidR="00B17D2F" w:rsidRDefault="00B17D2F" w:rsidP="006B6048">
      <w:r w:rsidRPr="00807DAF">
        <w:t>The reimbursement of eligible costs may be based on any or a combination of the following forms:</w:t>
      </w:r>
    </w:p>
    <w:p w:rsidR="006A3B4C" w:rsidRPr="00F62304" w:rsidRDefault="00286739" w:rsidP="00F016A9">
      <w:pPr>
        <w:numPr>
          <w:ilvl w:val="0"/>
          <w:numId w:val="19"/>
        </w:numPr>
      </w:pPr>
      <w:r w:rsidRPr="00F62304">
        <w:t>financing not linked to costs of the relevant operations based on:</w:t>
      </w:r>
      <w:r w:rsidR="006A3B4C" w:rsidRPr="00F62304">
        <w:t xml:space="preserve"> </w:t>
      </w:r>
    </w:p>
    <w:p w:rsidR="00286739" w:rsidRPr="00F62304" w:rsidRDefault="006A3B4C" w:rsidP="00BF158E">
      <w:pPr>
        <w:ind w:firstLine="720"/>
      </w:pPr>
      <w:r w:rsidRPr="00F62304">
        <w:t xml:space="preserve"> </w:t>
      </w:r>
      <w:r w:rsidR="00286739" w:rsidRPr="00F62304">
        <w:t xml:space="preserve">(i) either the fulfilment of conditions set out in sector specific legislation or Commission Decisions; </w:t>
      </w:r>
      <w:r w:rsidRPr="00F62304">
        <w:t xml:space="preserve"> </w:t>
      </w:r>
      <w:r w:rsidR="00286739" w:rsidRPr="00F62304">
        <w:t>or</w:t>
      </w:r>
    </w:p>
    <w:p w:rsidR="00286739" w:rsidRPr="00807DAF" w:rsidRDefault="00286739" w:rsidP="00BF158E">
      <w:pPr>
        <w:ind w:left="720" w:firstLine="60"/>
      </w:pPr>
      <w:r w:rsidRPr="00F62304">
        <w:t>(ii) the achievement of results measured by reference to the previously set milestones or through performance indicators;</w:t>
      </w:r>
    </w:p>
    <w:p w:rsidR="00463413" w:rsidRPr="00DC4CD8" w:rsidRDefault="00463413" w:rsidP="00F016A9">
      <w:pPr>
        <w:numPr>
          <w:ilvl w:val="0"/>
          <w:numId w:val="19"/>
        </w:numPr>
      </w:pPr>
      <w:r w:rsidRPr="00765310">
        <w:t>actual costs incurred</w:t>
      </w:r>
      <w:r w:rsidR="001C71F8" w:rsidRPr="00765310">
        <w:t xml:space="preserve"> by the </w:t>
      </w:r>
      <w:r w:rsidR="00466C25" w:rsidRPr="00DC4CD8">
        <w:t>b</w:t>
      </w:r>
      <w:r w:rsidR="001C71F8" w:rsidRPr="00DC4CD8">
        <w:t>eneficiary(ies) and affiliated entity(ies)</w:t>
      </w:r>
      <w:r w:rsidR="00F12EEA">
        <w:t>;</w:t>
      </w:r>
    </w:p>
    <w:p w:rsidR="00BF7060" w:rsidRPr="00D372E9" w:rsidRDefault="00463413" w:rsidP="00F016A9">
      <w:pPr>
        <w:numPr>
          <w:ilvl w:val="0"/>
          <w:numId w:val="19"/>
        </w:numPr>
      </w:pPr>
      <w:r w:rsidRPr="00D372E9">
        <w:t>one or more simplified cost options</w:t>
      </w:r>
      <w:r w:rsidR="00B17D2F" w:rsidRPr="00D372E9">
        <w:t>.</w:t>
      </w:r>
    </w:p>
    <w:p w:rsidR="00BF7060" w:rsidRPr="00D372E9" w:rsidRDefault="00BF7060" w:rsidP="00BF7060">
      <w:pPr>
        <w:rPr>
          <w:b/>
        </w:rPr>
      </w:pPr>
      <w:r w:rsidRPr="00D372E9">
        <w:t>Simplified cost options may take the form of:</w:t>
      </w:r>
    </w:p>
    <w:p w:rsidR="00BF7060" w:rsidRPr="00D372E9" w:rsidRDefault="00BF7060" w:rsidP="00F016A9">
      <w:pPr>
        <w:numPr>
          <w:ilvl w:val="0"/>
          <w:numId w:val="20"/>
        </w:numPr>
      </w:pPr>
      <w:r w:rsidRPr="00D372E9">
        <w:rPr>
          <w:b/>
        </w:rPr>
        <w:t>unit costs:</w:t>
      </w:r>
      <w:r w:rsidRPr="00D372E9">
        <w:t xml:space="preserve"> covering all or certain specific categories of eligible costs which are clearly identified in advance by reference to an </w:t>
      </w:r>
      <w:r w:rsidRPr="00D372E9">
        <w:rPr>
          <w:u w:val="single"/>
        </w:rPr>
        <w:t>amount per unit</w:t>
      </w:r>
      <w:r w:rsidRPr="00D372E9">
        <w:t>.</w:t>
      </w:r>
    </w:p>
    <w:p w:rsidR="00BF7060" w:rsidRPr="00D372E9" w:rsidRDefault="00BF7060" w:rsidP="00F016A9">
      <w:pPr>
        <w:numPr>
          <w:ilvl w:val="0"/>
          <w:numId w:val="20"/>
        </w:numPr>
      </w:pPr>
      <w:r w:rsidRPr="00D372E9">
        <w:rPr>
          <w:b/>
        </w:rPr>
        <w:t xml:space="preserve">lump sums: </w:t>
      </w:r>
      <w:r w:rsidRPr="00D372E9">
        <w:t xml:space="preserve">covering in </w:t>
      </w:r>
      <w:r w:rsidRPr="00D372E9">
        <w:rPr>
          <w:u w:val="single"/>
        </w:rPr>
        <w:t>global terms</w:t>
      </w:r>
      <w:r w:rsidRPr="00D372E9">
        <w:t xml:space="preserve"> all or certain specific categories of eligible costs which are clearly identified in advance.</w:t>
      </w:r>
    </w:p>
    <w:p w:rsidR="006A3B4C" w:rsidRPr="00D372E9" w:rsidRDefault="00BF7060" w:rsidP="00F016A9">
      <w:pPr>
        <w:numPr>
          <w:ilvl w:val="0"/>
          <w:numId w:val="20"/>
        </w:numPr>
      </w:pPr>
      <w:r w:rsidRPr="00D372E9">
        <w:rPr>
          <w:b/>
        </w:rPr>
        <w:t xml:space="preserve">flat-rate financing: </w:t>
      </w:r>
      <w:r w:rsidRPr="00D372E9">
        <w:t xml:space="preserve">covering specific categories of eligible costs which are clearly identified in advance by </w:t>
      </w:r>
      <w:r w:rsidRPr="00D372E9">
        <w:rPr>
          <w:u w:val="single"/>
        </w:rPr>
        <w:t>applying a percentage</w:t>
      </w:r>
      <w:r w:rsidRPr="00D372E9">
        <w:t xml:space="preserve"> fixed ex ante.</w:t>
      </w:r>
    </w:p>
    <w:p w:rsidR="006A3B4C" w:rsidRPr="00D372E9" w:rsidRDefault="006A3B4C" w:rsidP="00BF158E">
      <w:pPr>
        <w:ind w:left="720"/>
      </w:pPr>
    </w:p>
    <w:p w:rsidR="00BF7060" w:rsidRPr="00D372E9" w:rsidRDefault="00BF7060" w:rsidP="00BF158E">
      <w:r w:rsidRPr="00D372E9">
        <w:t>Simplified costs options (SCOs) are divided in two categories:</w:t>
      </w:r>
    </w:p>
    <w:p w:rsidR="00BF7060" w:rsidRPr="00D372E9" w:rsidRDefault="00BF7060" w:rsidP="00BF7060">
      <w:r w:rsidRPr="00D372E9">
        <w:t>1/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unit costs or flat rates shall be determined in such a way to allow their payment upon achievement of concrete outputs and/or results. This type of SCO can be proposed by the Beneficiary (no threshold is applicable) at proposal's stage. In case the e</w:t>
      </w:r>
      <w:r w:rsidR="00C14F69" w:rsidRPr="00D372E9">
        <w:t>valuation committee and the contracting authority are</w:t>
      </w:r>
      <w:r w:rsidRPr="00D372E9">
        <w:t xml:space="preserve"> not satisfied with the quality of the justification provided reimbursement on the basis of actually incurred costs is always possible.</w:t>
      </w:r>
    </w:p>
    <w:p w:rsidR="00BF7060" w:rsidRPr="00D372E9" w:rsidRDefault="00BF7060" w:rsidP="00BF158E">
      <w:r w:rsidRPr="00D372E9">
        <w:t xml:space="preserve">2/ "other/recurrent SCOs". This second category entails simplified cost options embedded in the accounting practices of the beneficiary, for which an ex-ante assessment is deemed necessary, considering the need of a consistent application of the conditions required. Examples are: an additional percentage on actual salaries to cover remuneration-related costs or the use of an allocation method to apportion costs of a project office foreseen in the Description of the Action. In order the use of systemic/recurrent SCOs, the beneficiary's accounting practices need to have been positively assessed by an audit firm based on standard ToRs provided by the Commission. To obtain reimbursement of this category of SCOs, the beneficiary shall </w:t>
      </w:r>
      <w:r w:rsidR="00A03D2B" w:rsidRPr="00D372E9">
        <w:t>make reference to the pre</w:t>
      </w:r>
      <w:r w:rsidRPr="00D372E9">
        <w:t>viou</w:t>
      </w:r>
      <w:r w:rsidR="00A03D2B" w:rsidRPr="00D372E9">
        <w:t>sly obtained ex-ante assessment in the budget justification sheet (annex e3c)</w:t>
      </w:r>
      <w:r w:rsidRPr="00D372E9">
        <w:t>.</w:t>
      </w:r>
    </w:p>
    <w:p w:rsidR="00633C06" w:rsidRPr="00D372E9" w:rsidRDefault="007E5576" w:rsidP="0068216F">
      <w:r w:rsidRPr="00D372E9">
        <w:t>The amounts</w:t>
      </w:r>
      <w:r w:rsidR="006A7D36" w:rsidRPr="00D372E9">
        <w:t xml:space="preserve"> or rates</w:t>
      </w:r>
      <w:r w:rsidRPr="00D372E9">
        <w:t xml:space="preserve"> have to be based on estimates using objective data such as statistical data or any other objective means or with reference to certified or auditable historical data of the </w:t>
      </w:r>
      <w:r w:rsidR="001C71F8" w:rsidRPr="00D372E9">
        <w:t>a</w:t>
      </w:r>
      <w:r w:rsidRPr="00D372E9">
        <w:t>pplicant</w:t>
      </w:r>
      <w:r w:rsidR="001C71F8" w:rsidRPr="00D372E9">
        <w:t>s or the affiliated entity(ies)</w:t>
      </w:r>
      <w:r w:rsidRPr="00D372E9">
        <w:t xml:space="preserve">. </w:t>
      </w:r>
      <w:r w:rsidR="00286739" w:rsidRPr="00D372E9">
        <w:t xml:space="preserve">Determining SCO is possible also through </w:t>
      </w:r>
      <w:r w:rsidR="000D7ACD" w:rsidRPr="00D372E9">
        <w:t>‘</w:t>
      </w:r>
      <w:r w:rsidR="00286739" w:rsidRPr="00D372E9">
        <w:t>expert judgement</w:t>
      </w:r>
      <w:r w:rsidR="000D7ACD" w:rsidRPr="00D372E9">
        <w:t>’</w:t>
      </w:r>
      <w:r w:rsidR="00286739" w:rsidRPr="00D372E9">
        <w:t xml:space="preserve"> provided by internally available experts or procured in accordance with the applicable rules. Experts must be either commissioned auditors or chartered accountants, or staff of the Commission but cannot be staff of the </w:t>
      </w:r>
      <w:r w:rsidR="000D7ACD" w:rsidRPr="00D372E9">
        <w:t>b</w:t>
      </w:r>
      <w:r w:rsidR="00286739" w:rsidRPr="00D372E9">
        <w:t xml:space="preserve">eneficiary. </w:t>
      </w:r>
      <w:r w:rsidRPr="00D372E9">
        <w:t>The methods used to determine the amounts</w:t>
      </w:r>
      <w:r w:rsidR="001C71F8" w:rsidRPr="00D372E9">
        <w:t xml:space="preserve"> or rates</w:t>
      </w:r>
      <w:r w:rsidRPr="00D372E9">
        <w:t xml:space="preserve"> of unit costs, lump sums or flat-rates must comply with the criteria established in Annex </w:t>
      </w:r>
      <w:r w:rsidR="0019373F" w:rsidRPr="00D372E9">
        <w:t>K</w:t>
      </w:r>
      <w:r w:rsidRPr="00D372E9">
        <w:t xml:space="preserve">, and especially ensure that the costs correspond fairly to the actual costs incurred by the </w:t>
      </w:r>
      <w:r w:rsidR="00466C25" w:rsidRPr="00D372E9">
        <w:t>b</w:t>
      </w:r>
      <w:r w:rsidR="001C71F8" w:rsidRPr="00D372E9">
        <w:t>eneficiary(ies) and affiliated entity(ies),</w:t>
      </w:r>
      <w:r w:rsidR="0019373F" w:rsidRPr="00D372E9">
        <w:t xml:space="preserve"> are in line with their</w:t>
      </w:r>
      <w:r w:rsidRPr="00D372E9">
        <w:t xml:space="preserve"> accounting practices, no profit is made and the costs are not already covered by other sources of funding (no double funding). </w:t>
      </w:r>
      <w:r w:rsidR="00A02946" w:rsidRPr="00D372E9">
        <w:t xml:space="preserve">Refer to </w:t>
      </w:r>
      <w:r w:rsidRPr="00D372E9">
        <w:t xml:space="preserve">Annex </w:t>
      </w:r>
      <w:r w:rsidR="0019373F" w:rsidRPr="00D372E9">
        <w:t>K</w:t>
      </w:r>
      <w:r w:rsidRPr="00D372E9">
        <w:t xml:space="preserve"> </w:t>
      </w:r>
      <w:r w:rsidR="00A02946" w:rsidRPr="00D372E9">
        <w:t>for</w:t>
      </w:r>
      <w:r w:rsidRPr="00D372E9">
        <w:t xml:space="preserve"> </w:t>
      </w:r>
      <w:r w:rsidR="00286739" w:rsidRPr="00D372E9">
        <w:t>the details of the procedure to be followed depending on the type and amount of the costs to be declared as SCO.</w:t>
      </w:r>
    </w:p>
    <w:p w:rsidR="0080592F" w:rsidRPr="00D372E9" w:rsidRDefault="00466C25" w:rsidP="0068216F">
      <w:r w:rsidRPr="00D372E9">
        <w:t>A</w:t>
      </w:r>
      <w:r w:rsidR="0080592F" w:rsidRPr="00D372E9">
        <w:t>pplicant</w:t>
      </w:r>
      <w:r w:rsidRPr="00D372E9">
        <w:t>s</w:t>
      </w:r>
      <w:r w:rsidR="0080592F" w:rsidRPr="00D372E9">
        <w:t xml:space="preserve"> proposing this form of reimbursement, must clearly indicate in worksheet no.1 of Annex B, each heading/item  of eligible costs concerned by this type of financing, i.e. add the reference in capital letters to </w:t>
      </w:r>
      <w:r w:rsidR="000D7ACD" w:rsidRPr="00D372E9">
        <w:t>‘</w:t>
      </w:r>
      <w:r w:rsidR="0080592F" w:rsidRPr="00D372E9">
        <w:t xml:space="preserve">UNIT </w:t>
      </w:r>
      <w:r w:rsidR="007D1451" w:rsidRPr="00D372E9">
        <w:t>COST</w:t>
      </w:r>
      <w:r w:rsidR="000D7ACD" w:rsidRPr="00D372E9">
        <w:t>’</w:t>
      </w:r>
      <w:r w:rsidR="0080592F" w:rsidRPr="00D372E9">
        <w:t xml:space="preserve"> (per month/flight etc</w:t>
      </w:r>
      <w:r w:rsidR="000D7ACD" w:rsidRPr="00D372E9">
        <w:t>.</w:t>
      </w:r>
      <w:r w:rsidR="0080592F" w:rsidRPr="00D372E9">
        <w:t xml:space="preserve">), </w:t>
      </w:r>
      <w:r w:rsidR="000D7ACD" w:rsidRPr="00D372E9">
        <w:t>‘</w:t>
      </w:r>
      <w:r w:rsidR="0080592F" w:rsidRPr="00D372E9">
        <w:t>LUMPSUM</w:t>
      </w:r>
      <w:r w:rsidR="000D7ACD" w:rsidRPr="00D372E9">
        <w:t>’</w:t>
      </w:r>
      <w:r w:rsidR="00633C06" w:rsidRPr="00D372E9">
        <w:t xml:space="preserve">, </w:t>
      </w:r>
      <w:r w:rsidR="000D7ACD" w:rsidRPr="00D372E9">
        <w:t>‘</w:t>
      </w:r>
      <w:r w:rsidR="0080592F" w:rsidRPr="00D372E9">
        <w:t>FLAT RATE</w:t>
      </w:r>
      <w:r w:rsidR="000D7ACD" w:rsidRPr="00D372E9">
        <w:t>’</w:t>
      </w:r>
      <w:r w:rsidR="0080592F" w:rsidRPr="00D372E9">
        <w:t xml:space="preserve"> in the Unit column (see example in Annex K)</w:t>
      </w:r>
      <w:r w:rsidR="004E2364" w:rsidRPr="00D372E9">
        <w:t>.</w:t>
      </w:r>
      <w:r w:rsidR="00C14F69" w:rsidRPr="00D372E9">
        <w:t xml:space="preserve"> </w:t>
      </w:r>
    </w:p>
    <w:p w:rsidR="00E47803" w:rsidRPr="00D372E9" w:rsidRDefault="00E47803" w:rsidP="0068216F">
      <w:r w:rsidRPr="00D372E9">
        <w:t xml:space="preserve">Additionally in Annex </w:t>
      </w:r>
      <w:r w:rsidR="001C71F8" w:rsidRPr="00D372E9">
        <w:t>B</w:t>
      </w:r>
      <w:r w:rsidRPr="00D372E9">
        <w:t xml:space="preserve">, in the second column of worksheet no.2, </w:t>
      </w:r>
      <w:r w:rsidR="000D7ACD" w:rsidRPr="00D372E9">
        <w:t>‘</w:t>
      </w:r>
      <w:r w:rsidRPr="00D372E9">
        <w:t>Justification of the estimated costs</w:t>
      </w:r>
      <w:r w:rsidR="000D7ACD" w:rsidRPr="00D372E9">
        <w:t>’</w:t>
      </w:r>
      <w:r w:rsidRPr="00D372E9">
        <w:t xml:space="preserve"> per each of the corresponding budget item or heading applicant</w:t>
      </w:r>
      <w:r w:rsidR="00466C25" w:rsidRPr="00D372E9">
        <w:t>s</w:t>
      </w:r>
      <w:r w:rsidRPr="00D372E9">
        <w:t xml:space="preserve"> must:</w:t>
      </w:r>
    </w:p>
    <w:p w:rsidR="00E47803" w:rsidRPr="00D372E9" w:rsidRDefault="00E47803" w:rsidP="00F016A9">
      <w:pPr>
        <w:numPr>
          <w:ilvl w:val="0"/>
          <w:numId w:val="21"/>
        </w:numPr>
      </w:pPr>
      <w:r w:rsidRPr="00D372E9">
        <w:t>describe the information and methods used to establish the amounts of unit costs, lump sums and/or flat-rates, to which costs they refer</w:t>
      </w:r>
      <w:r w:rsidR="0090351E" w:rsidRPr="00D372E9">
        <w:t>, etc</w:t>
      </w:r>
      <w:r w:rsidR="006A3B4C" w:rsidRPr="00D372E9">
        <w:t xml:space="preserve"> for output or result based SCO</w:t>
      </w:r>
      <w:r w:rsidR="0090351E" w:rsidRPr="00D372E9">
        <w:t>.</w:t>
      </w:r>
    </w:p>
    <w:p w:rsidR="00E47803" w:rsidRPr="00D372E9" w:rsidRDefault="00E47803" w:rsidP="00F016A9">
      <w:pPr>
        <w:numPr>
          <w:ilvl w:val="0"/>
          <w:numId w:val="21"/>
        </w:numPr>
        <w:rPr>
          <w:bCs/>
        </w:rPr>
      </w:pPr>
      <w:r w:rsidRPr="00D372E9">
        <w:t>clearly explain the formulas for calculation of the final eligible amount</w:t>
      </w:r>
      <w:r w:rsidR="00B9110E" w:rsidRPr="00D372E9">
        <w:t xml:space="preserve"> for output or result based SCO</w:t>
      </w:r>
      <w:r w:rsidRPr="00D372E9">
        <w:rPr>
          <w:rStyle w:val="af6"/>
        </w:rPr>
        <w:footnoteReference w:id="21"/>
      </w:r>
    </w:p>
    <w:p w:rsidR="00765310" w:rsidRPr="00D372E9" w:rsidRDefault="00765310" w:rsidP="00F016A9">
      <w:pPr>
        <w:numPr>
          <w:ilvl w:val="0"/>
          <w:numId w:val="21"/>
        </w:numPr>
      </w:pPr>
      <w:r w:rsidRPr="00D372E9">
        <w:t>make reference to the previously obtained ex-ante assessment for other/recurrent SCOs.</w:t>
      </w:r>
    </w:p>
    <w:p w:rsidR="006A7D36" w:rsidRPr="00D372E9" w:rsidRDefault="00C14F69" w:rsidP="0068216F">
      <w:r w:rsidRPr="00D372E9">
        <w:t>In case of output or result based SCOs the evaluation committee and</w:t>
      </w:r>
      <w:r w:rsidR="006A7D36" w:rsidRPr="00D372E9">
        <w:t xml:space="preserve"> the </w:t>
      </w:r>
      <w:r w:rsidR="000D7ACD" w:rsidRPr="00D372E9">
        <w:t>c</w:t>
      </w:r>
      <w:r w:rsidR="006A7D36" w:rsidRPr="00D372E9">
        <w:t xml:space="preserve">ontracting </w:t>
      </w:r>
      <w:r w:rsidR="000D7ACD" w:rsidRPr="00D372E9">
        <w:t>a</w:t>
      </w:r>
      <w:r w:rsidR="006A7D36" w:rsidRPr="00D372E9">
        <w:t>uthority decide whether to accept the proposed amounts or rates on the basis of the provisional budget submitted by the applicant</w:t>
      </w:r>
      <w:r w:rsidR="002C706C" w:rsidRPr="00D372E9">
        <w:t>s</w:t>
      </w:r>
      <w:r w:rsidR="006A7D36" w:rsidRPr="00D372E9">
        <w:t>, by analysing factual data of grants carried out by the applicant</w:t>
      </w:r>
      <w:r w:rsidR="002C706C" w:rsidRPr="00D372E9">
        <w:t>s</w:t>
      </w:r>
      <w:r w:rsidR="006A7D36" w:rsidRPr="00D372E9">
        <w:t xml:space="preserve"> or of similar actions</w:t>
      </w:r>
      <w:r w:rsidR="00BC4203" w:rsidRPr="00D372E9">
        <w:t>.</w:t>
      </w:r>
      <w:r w:rsidRPr="00D372E9">
        <w:t xml:space="preserve"> In case the </w:t>
      </w:r>
      <w:r w:rsidRPr="00D372E9">
        <w:lastRenderedPageBreak/>
        <w:t>evaluation committee and the contracting authority are not satisfied with the quality of the justification provided reimbursement on the basis of actually incurred costs is always possible.</w:t>
      </w:r>
    </w:p>
    <w:p w:rsidR="0069482E" w:rsidRPr="00D372E9" w:rsidRDefault="00C14F69" w:rsidP="0068216F">
      <w:r w:rsidRPr="00D372E9">
        <w:t>No threshold is set ex-ante for t</w:t>
      </w:r>
      <w:r w:rsidR="006A7D36" w:rsidRPr="00D372E9">
        <w:t xml:space="preserve">he total amount of financing that can be authorised by the </w:t>
      </w:r>
      <w:r w:rsidR="000D7ACD" w:rsidRPr="00D372E9">
        <w:t>c</w:t>
      </w:r>
      <w:r w:rsidR="006A7D36" w:rsidRPr="00D372E9">
        <w:t xml:space="preserve">ontracting </w:t>
      </w:r>
      <w:r w:rsidR="000D7ACD" w:rsidRPr="00D372E9">
        <w:t>a</w:t>
      </w:r>
      <w:r w:rsidR="006A7D36" w:rsidRPr="00D372E9">
        <w:t>uthority</w:t>
      </w:r>
      <w:r w:rsidRPr="00D372E9">
        <w:t xml:space="preserve"> on the basis of simplified cost options.</w:t>
      </w:r>
      <w:r w:rsidR="006A7D36" w:rsidRPr="00D372E9">
        <w:t xml:space="preserve"> </w:t>
      </w:r>
      <w:r w:rsidRPr="00D372E9">
        <w:t xml:space="preserve">Other/recurrent </w:t>
      </w:r>
      <w:r w:rsidR="00BC4203" w:rsidRPr="00D372E9">
        <w:t>SCO</w:t>
      </w:r>
      <w:r w:rsidRPr="00D372E9">
        <w:t>s</w:t>
      </w:r>
      <w:r w:rsidR="00F239DE" w:rsidRPr="00D372E9">
        <w:t xml:space="preserve"> </w:t>
      </w:r>
      <w:r w:rsidRPr="00D372E9">
        <w:t>can be declared only if previously successfully ex-ante assessed.</w:t>
      </w:r>
    </w:p>
    <w:p w:rsidR="0007408E" w:rsidRPr="00D372E9" w:rsidRDefault="0007408E" w:rsidP="0068216F">
      <w:r w:rsidRPr="00D372E9">
        <w:t>Recommendations to award a grant are always subject to the condition that the check</w:t>
      </w:r>
      <w:r w:rsidR="002E38E4" w:rsidRPr="00D372E9">
        <w:t>s</w:t>
      </w:r>
      <w:r w:rsidRPr="00D372E9">
        <w:t xml:space="preserve"> preced</w:t>
      </w:r>
      <w:r w:rsidR="002E38E4" w:rsidRPr="00D372E9">
        <w:t>ing</w:t>
      </w:r>
      <w:r w:rsidRPr="00D372E9">
        <w:t xml:space="preserve"> the signing of the </w:t>
      </w:r>
      <w:r w:rsidR="00466C25" w:rsidRPr="00D372E9">
        <w:t>g</w:t>
      </w:r>
      <w:r w:rsidR="004F6678" w:rsidRPr="00D372E9">
        <w:t xml:space="preserve">rant </w:t>
      </w:r>
      <w:r w:rsidR="00466C25" w:rsidRPr="00D372E9">
        <w:t>c</w:t>
      </w:r>
      <w:r w:rsidRPr="00D372E9">
        <w:t>ontract do not reveal problems requiring changes to the budget</w:t>
      </w:r>
      <w:r w:rsidR="00A52D95" w:rsidRPr="00D372E9">
        <w:t xml:space="preserve"> (</w:t>
      </w:r>
      <w:r w:rsidR="002E38E4" w:rsidRPr="00D372E9">
        <w:t>such as</w:t>
      </w:r>
      <w:r w:rsidR="00A52D95" w:rsidRPr="00D372E9">
        <w:t xml:space="preserve"> arithmetical errors, inaccuracies</w:t>
      </w:r>
      <w:r w:rsidR="000B1032" w:rsidRPr="00D372E9">
        <w:t>,</w:t>
      </w:r>
      <w:r w:rsidR="00A52D95" w:rsidRPr="00D372E9">
        <w:t xml:space="preserve"> unrealistic c</w:t>
      </w:r>
      <w:r w:rsidR="00D7610D" w:rsidRPr="00D372E9">
        <w:t>osts and ineligible costs</w:t>
      </w:r>
      <w:r w:rsidR="00A52D95" w:rsidRPr="00D372E9">
        <w:t>)</w:t>
      </w:r>
      <w:r w:rsidRPr="00D372E9">
        <w:t xml:space="preserve">. The checks may give rise to requests for clarification and may lead the </w:t>
      </w:r>
      <w:r w:rsidR="000D7ACD" w:rsidRPr="00D372E9">
        <w:t>c</w:t>
      </w:r>
      <w:r w:rsidRPr="00D372E9">
        <w:t xml:space="preserve">ontracting </w:t>
      </w:r>
      <w:r w:rsidR="000D7ACD" w:rsidRPr="00D372E9">
        <w:t>a</w:t>
      </w:r>
      <w:r w:rsidRPr="00D372E9">
        <w:t xml:space="preserve">uthority to impose </w:t>
      </w:r>
      <w:r w:rsidR="00CE18C9" w:rsidRPr="00D372E9">
        <w:t xml:space="preserve">modifications or </w:t>
      </w:r>
      <w:r w:rsidRPr="00D372E9">
        <w:t>reductions</w:t>
      </w:r>
      <w:r w:rsidR="00A52D95" w:rsidRPr="00D372E9">
        <w:t xml:space="preserve"> to address such mistakes or inaccuracies</w:t>
      </w:r>
      <w:r w:rsidRPr="00D372E9">
        <w:t>.</w:t>
      </w:r>
      <w:r w:rsidR="001870D3" w:rsidRPr="00D372E9">
        <w:t xml:space="preserve"> </w:t>
      </w:r>
      <w:r w:rsidR="000B1032" w:rsidRPr="00D372E9">
        <w:t xml:space="preserve">It is not possible to increase </w:t>
      </w:r>
      <w:r w:rsidR="00CE18C9" w:rsidRPr="00D372E9">
        <w:t xml:space="preserve">the </w:t>
      </w:r>
      <w:r w:rsidR="001870D3" w:rsidRPr="00D372E9">
        <w:t xml:space="preserve">grant </w:t>
      </w:r>
      <w:r w:rsidR="000B1032" w:rsidRPr="00D372E9">
        <w:t xml:space="preserve">or </w:t>
      </w:r>
      <w:r w:rsidR="00F278A6" w:rsidRPr="00D372E9">
        <w:t xml:space="preserve">the percentage of </w:t>
      </w:r>
      <w:r w:rsidR="006B5799" w:rsidRPr="00D372E9">
        <w:t xml:space="preserve">EU </w:t>
      </w:r>
      <w:r w:rsidR="00F278A6" w:rsidRPr="00D372E9">
        <w:t>co-financing as a result of these corrections</w:t>
      </w:r>
      <w:r w:rsidR="00FB2666" w:rsidRPr="00D372E9">
        <w:t>.</w:t>
      </w:r>
    </w:p>
    <w:p w:rsidR="0007408E" w:rsidRPr="00D372E9" w:rsidRDefault="0007408E" w:rsidP="0068216F">
      <w:r w:rsidRPr="00D372E9">
        <w:t>It is therefore in the applicants</w:t>
      </w:r>
      <w:r w:rsidR="00466C25" w:rsidRPr="00D372E9">
        <w:t>'</w:t>
      </w:r>
      <w:r w:rsidRPr="00D372E9">
        <w:t xml:space="preserve"> interest to provide a </w:t>
      </w:r>
      <w:r w:rsidRPr="00D372E9">
        <w:rPr>
          <w:b/>
        </w:rPr>
        <w:t>realistic and cost-effective budget</w:t>
      </w:r>
      <w:r w:rsidRPr="00D372E9">
        <w:t>.</w:t>
      </w:r>
    </w:p>
    <w:p w:rsidR="003639B6" w:rsidRPr="00D372E9" w:rsidRDefault="003639B6" w:rsidP="003639B6">
      <w:pPr>
        <w:spacing w:before="120" w:after="120"/>
        <w:rPr>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46650" w:rsidRPr="00D372E9" w:rsidTr="00946650">
        <w:tc>
          <w:tcPr>
            <w:tcW w:w="9854" w:type="dxa"/>
            <w:shd w:val="clear" w:color="auto" w:fill="auto"/>
          </w:tcPr>
          <w:p w:rsidR="00946650" w:rsidRPr="00D372E9" w:rsidRDefault="00946650" w:rsidP="00946650">
            <w:pPr>
              <w:tabs>
                <w:tab w:val="left" w:pos="993"/>
              </w:tabs>
            </w:pPr>
            <w:r w:rsidRPr="00D372E9">
              <w:t>The grant may take the form of a single lump-sum covering the entire eligible costs of an action or a work programme.</w:t>
            </w:r>
          </w:p>
          <w:p w:rsidR="00946650" w:rsidRPr="00D372E9" w:rsidRDefault="00946650" w:rsidP="00946650">
            <w:pPr>
              <w:tabs>
                <w:tab w:val="left" w:pos="993"/>
              </w:tabs>
              <w:ind w:left="993" w:hanging="993"/>
            </w:pPr>
            <w:r w:rsidRPr="00D372E9">
              <w:t>Single lump sums may be determined on the basis of the estimated budget, which should comply with the principles of economy, efficiency and effectiveness. Compliance with these principles shall be verified ex ante at the time of evaluation of the grant application.</w:t>
            </w:r>
          </w:p>
          <w:p w:rsidR="00946650" w:rsidRPr="00D372E9" w:rsidRDefault="00946650" w:rsidP="00946650">
            <w:pPr>
              <w:tabs>
                <w:tab w:val="left" w:pos="993"/>
              </w:tabs>
              <w:ind w:left="993" w:hanging="993"/>
            </w:pPr>
            <w:r w:rsidRPr="00D372E9">
              <w:t xml:space="preserve">When authorising single lump sums the authorising officer responsible shall comply with the conditions applicable to </w:t>
            </w:r>
            <w:r w:rsidR="00C14F69" w:rsidRPr="00D372E9">
              <w:t xml:space="preserve">output or result based SCOs. </w:t>
            </w:r>
          </w:p>
          <w:p w:rsidR="00946650" w:rsidRPr="00D372E9" w:rsidRDefault="00946650" w:rsidP="00D34B88">
            <w:pPr>
              <w:tabs>
                <w:tab w:val="left" w:pos="993"/>
              </w:tabs>
              <w:ind w:left="993" w:hanging="993"/>
              <w:rPr>
                <w:b/>
              </w:rPr>
            </w:pPr>
            <w:r w:rsidRPr="00D372E9">
              <w:t xml:space="preserve">When using this form of financing, the </w:t>
            </w:r>
            <w:r w:rsidR="000D7ACD" w:rsidRPr="00D372E9">
              <w:t>d</w:t>
            </w:r>
            <w:r w:rsidRPr="00D372E9">
              <w:t xml:space="preserve">escription of the </w:t>
            </w:r>
            <w:r w:rsidR="000D7ACD" w:rsidRPr="00D372E9">
              <w:t>a</w:t>
            </w:r>
            <w:r w:rsidRPr="00D372E9">
              <w:t xml:space="preserve">ction shall include detailed information on the essential conditions triggering the payment, including, where applicable, the achievement of outputs and/or results. </w:t>
            </w:r>
          </w:p>
        </w:tc>
      </w:tr>
    </w:tbl>
    <w:p w:rsidR="00946650" w:rsidRPr="00D372E9" w:rsidRDefault="00946650" w:rsidP="003639B6">
      <w:pPr>
        <w:spacing w:before="120" w:after="120"/>
        <w:rPr>
          <w:snapToGrid/>
        </w:rPr>
      </w:pPr>
    </w:p>
    <w:p w:rsidR="00946650" w:rsidRPr="00D372E9" w:rsidRDefault="00946650" w:rsidP="00946650">
      <w:pPr>
        <w:rPr>
          <w:u w:val="single"/>
        </w:rPr>
      </w:pPr>
    </w:p>
    <w:p w:rsidR="00946650" w:rsidRPr="00D372E9" w:rsidRDefault="00946650" w:rsidP="00946650">
      <w:pPr>
        <w:rPr>
          <w:u w:val="single"/>
        </w:rPr>
      </w:pPr>
      <w:r w:rsidRPr="00D372E9">
        <w:rPr>
          <w:u w:val="single"/>
        </w:rPr>
        <w:t xml:space="preserve">The responsible authorising officer may consider that the usual cost accounting practices of the </w:t>
      </w:r>
      <w:r w:rsidR="000D7ACD" w:rsidRPr="00D372E9">
        <w:rPr>
          <w:u w:val="single"/>
        </w:rPr>
        <w:t>b</w:t>
      </w:r>
      <w:r w:rsidRPr="00D372E9">
        <w:rPr>
          <w:u w:val="single"/>
        </w:rPr>
        <w:t xml:space="preserve">eneficiary are compliant with the conditions applicable to simplified cost options, if they are accepted by national authorities under comparable funding schemes. In this case the grant </w:t>
      </w:r>
      <w:r w:rsidR="000D7ACD" w:rsidRPr="00D372E9">
        <w:rPr>
          <w:u w:val="single"/>
        </w:rPr>
        <w:t>b</w:t>
      </w:r>
      <w:r w:rsidRPr="00D372E9">
        <w:rPr>
          <w:u w:val="single"/>
        </w:rPr>
        <w:t>eneficiary shall demonstrate that the national authority accepted the cost accounting practices and will have to specify in which context this acceptance is given.</w:t>
      </w:r>
    </w:p>
    <w:p w:rsidR="00946650" w:rsidRDefault="00946650" w:rsidP="00946650">
      <w:pPr>
        <w:rPr>
          <w:u w:val="single"/>
        </w:rPr>
      </w:pPr>
      <w:r w:rsidRPr="00D372E9">
        <w:rPr>
          <w:u w:val="single"/>
        </w:rPr>
        <w:t>The evaluation committee and the contracting authority will assess if the funding scheme is comparable and in case of positive outcome will consider these practices as if they were ex-ante assessed by an external auditor.</w:t>
      </w:r>
    </w:p>
    <w:p w:rsidR="00946650" w:rsidRDefault="00946650" w:rsidP="0068216F">
      <w:pPr>
        <w:rPr>
          <w:u w:val="single"/>
        </w:rPr>
      </w:pPr>
    </w:p>
    <w:p w:rsidR="0007408E" w:rsidRPr="00807DAF" w:rsidRDefault="0007408E" w:rsidP="0068216F">
      <w:pPr>
        <w:rPr>
          <w:u w:val="single"/>
        </w:rPr>
      </w:pPr>
      <w:r w:rsidRPr="00807DAF">
        <w:rPr>
          <w:u w:val="single"/>
        </w:rPr>
        <w:t>Eligible direct costs</w:t>
      </w:r>
    </w:p>
    <w:p w:rsidR="0007408E" w:rsidRPr="00807DAF" w:rsidRDefault="0007408E" w:rsidP="0068216F">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rsidR="007034C6" w:rsidRPr="00807DAF" w:rsidRDefault="007034C6" w:rsidP="0068216F">
      <w:pPr>
        <w:rPr>
          <w:u w:val="single"/>
        </w:rPr>
      </w:pPr>
      <w:r w:rsidRPr="00807DAF">
        <w:rPr>
          <w:u w:val="single"/>
        </w:rPr>
        <w:t>Contingency reserve</w:t>
      </w:r>
    </w:p>
    <w:p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rsidR="0007408E" w:rsidRPr="00807DAF" w:rsidRDefault="0007408E" w:rsidP="0068216F">
      <w:pPr>
        <w:rPr>
          <w:u w:val="single"/>
        </w:rPr>
      </w:pPr>
      <w:r w:rsidRPr="00807DAF">
        <w:rPr>
          <w:u w:val="single"/>
        </w:rPr>
        <w:t>Eligible indirect costs</w:t>
      </w:r>
    </w:p>
    <w:p w:rsidR="00460729" w:rsidRPr="00807DAF" w:rsidRDefault="00460729" w:rsidP="0068216F">
      <w:pPr>
        <w:rPr>
          <w:snapToGrid/>
          <w:lang w:eastAsia="en-GB" w:bidi="kn-IN"/>
        </w:rPr>
      </w:pPr>
      <w:r w:rsidRPr="00807DAF">
        <w:rPr>
          <w:snapToGrid/>
          <w:lang w:eastAsia="en-GB" w:bidi="kn-IN"/>
        </w:rPr>
        <w:lastRenderedPageBreak/>
        <w:t>The indirect costs incurred in carrying out the action may be eligible for flat-rate funding</w:t>
      </w:r>
      <w:r w:rsidR="00466510" w:rsidRPr="00807DAF">
        <w:rPr>
          <w:snapToGrid/>
          <w:lang w:eastAsia="en-GB" w:bidi="kn-IN"/>
        </w:rPr>
        <w:t>,</w:t>
      </w:r>
      <w:r w:rsidRPr="00807DAF">
        <w:rPr>
          <w:snapToGrid/>
          <w:lang w:eastAsia="en-GB" w:bidi="kn-IN"/>
        </w:rPr>
        <w:t xml:space="preserve"> </w:t>
      </w:r>
      <w:r w:rsidR="00B1674B" w:rsidRPr="00807DAF">
        <w:rPr>
          <w:snapToGrid/>
          <w:lang w:eastAsia="en-GB" w:bidi="kn-IN"/>
        </w:rPr>
        <w:t>but the total must not exceed</w:t>
      </w:r>
      <w:r w:rsidRPr="00807DAF">
        <w:rPr>
          <w:snapToGrid/>
          <w:lang w:eastAsia="en-GB" w:bidi="kn-IN"/>
        </w:rPr>
        <w:t xml:space="preserve"> 7</w:t>
      </w:r>
      <w:r w:rsidR="00A016F9" w:rsidRPr="00807DAF">
        <w:rPr>
          <w:snapToGrid/>
          <w:w w:val="50"/>
          <w:lang w:eastAsia="en-GB" w:bidi="kn-IN"/>
        </w:rPr>
        <w:t> </w:t>
      </w:r>
      <w:r w:rsidRPr="00807DAF">
        <w:rPr>
          <w:snapToGrid/>
          <w:lang w:eastAsia="en-GB" w:bidi="kn-IN"/>
        </w:rPr>
        <w:t>%</w:t>
      </w:r>
      <w:r w:rsidR="00EB3DA4" w:rsidRPr="00807DAF">
        <w:rPr>
          <w:snapToGrid/>
          <w:lang w:eastAsia="en-GB" w:bidi="kn-IN"/>
        </w:rPr>
        <w:t xml:space="preserve"> </w:t>
      </w:r>
      <w:r w:rsidRPr="00807DAF">
        <w:rPr>
          <w:snapToGrid/>
          <w:lang w:eastAsia="en-GB" w:bidi="kn-IN"/>
        </w:rPr>
        <w:t xml:space="preserve">of the </w:t>
      </w:r>
      <w:r w:rsidR="00584247" w:rsidRPr="00807DAF">
        <w:rPr>
          <w:snapToGrid/>
          <w:lang w:eastAsia="en-GB" w:bidi="kn-IN"/>
        </w:rPr>
        <w:t xml:space="preserve">estimated </w:t>
      </w:r>
      <w:r w:rsidRPr="00807DAF">
        <w:rPr>
          <w:snapToGrid/>
          <w:lang w:eastAsia="en-GB" w:bidi="kn-IN"/>
        </w:rPr>
        <w:t>total eligible direct costs</w:t>
      </w:r>
      <w:r w:rsidRPr="00807DAF">
        <w:rPr>
          <w:snapToGrid/>
          <w:sz w:val="20"/>
          <w:lang w:eastAsia="en-GB" w:bidi="kn-IN"/>
        </w:rPr>
        <w:t>.</w:t>
      </w:r>
      <w:r w:rsidR="00E2380E" w:rsidRPr="00807DAF">
        <w:rPr>
          <w:snapToGrid/>
          <w:sz w:val="20"/>
          <w:lang w:eastAsia="en-GB" w:bidi="kn-IN"/>
        </w:rPr>
        <w:t xml:space="preserve"> </w:t>
      </w:r>
      <w:r w:rsidR="00E2380E" w:rsidRPr="00807DAF">
        <w:rPr>
          <w:snapToGrid/>
          <w:lang w:eastAsia="en-GB" w:bidi="kn-IN"/>
        </w:rPr>
        <w:t>Indirect costs are eligible provided that they do not include costs assigned to another</w:t>
      </w:r>
      <w:r w:rsidR="00B1674B" w:rsidRPr="00807DAF">
        <w:rPr>
          <w:snapToGrid/>
          <w:lang w:eastAsia="en-GB" w:bidi="kn-IN"/>
        </w:rPr>
        <w:t xml:space="preserve"> budget</w:t>
      </w:r>
      <w:r w:rsidR="00E2380E" w:rsidRPr="00807DAF">
        <w:rPr>
          <w:snapToGrid/>
          <w:lang w:eastAsia="en-GB" w:bidi="kn-IN"/>
        </w:rPr>
        <w:t xml:space="preserve"> heading </w:t>
      </w:r>
      <w:r w:rsidR="00B1674B" w:rsidRPr="00807DAF">
        <w:rPr>
          <w:snapToGrid/>
          <w:lang w:eastAsia="en-GB" w:bidi="kn-IN"/>
        </w:rPr>
        <w:t>in</w:t>
      </w:r>
      <w:r w:rsidR="00450369" w:rsidRPr="00807DAF">
        <w:rPr>
          <w:snapToGrid/>
          <w:lang w:eastAsia="en-GB" w:bidi="kn-IN"/>
        </w:rPr>
        <w:t xml:space="preserve"> the standard grant c</w:t>
      </w:r>
      <w:r w:rsidR="00E2380E" w:rsidRPr="00807DAF">
        <w:rPr>
          <w:snapToGrid/>
          <w:lang w:eastAsia="en-GB" w:bidi="kn-IN"/>
        </w:rPr>
        <w:t xml:space="preserve">ontract. The </w:t>
      </w:r>
      <w:r w:rsidR="00B114D9">
        <w:rPr>
          <w:snapToGrid/>
          <w:lang w:eastAsia="en-GB" w:bidi="kn-IN"/>
        </w:rPr>
        <w:t>lead a</w:t>
      </w:r>
      <w:r w:rsidR="00E2380E" w:rsidRPr="00807DAF">
        <w:rPr>
          <w:snapToGrid/>
          <w:lang w:eastAsia="en-GB" w:bidi="kn-IN"/>
        </w:rPr>
        <w:t xml:space="preserve">pplicant may be asked to justify the percentage </w:t>
      </w:r>
      <w:r w:rsidR="00B1674B" w:rsidRPr="00807DAF">
        <w:rPr>
          <w:snapToGrid/>
          <w:lang w:eastAsia="en-GB" w:bidi="kn-IN"/>
        </w:rPr>
        <w:t xml:space="preserve">requested </w:t>
      </w:r>
      <w:r w:rsidR="00E2380E" w:rsidRPr="00807DAF">
        <w:rPr>
          <w:snapToGrid/>
          <w:lang w:eastAsia="en-GB" w:bidi="kn-IN"/>
        </w:rPr>
        <w:t xml:space="preserve">before </w:t>
      </w:r>
      <w:r w:rsidR="00B1674B" w:rsidRPr="00807DAF">
        <w:rPr>
          <w:snapToGrid/>
          <w:lang w:eastAsia="en-GB" w:bidi="kn-IN"/>
        </w:rPr>
        <w:t xml:space="preserve">the </w:t>
      </w:r>
      <w:r w:rsidR="00466C25">
        <w:rPr>
          <w:snapToGrid/>
          <w:lang w:eastAsia="en-GB" w:bidi="kn-IN"/>
        </w:rPr>
        <w:t>g</w:t>
      </w:r>
      <w:r w:rsidR="004F6678">
        <w:rPr>
          <w:snapToGrid/>
          <w:lang w:eastAsia="en-GB" w:bidi="kn-IN"/>
        </w:rPr>
        <w:t xml:space="preserve">rant </w:t>
      </w:r>
      <w:r w:rsidR="00466C25">
        <w:rPr>
          <w:snapToGrid/>
          <w:lang w:eastAsia="en-GB" w:bidi="kn-IN"/>
        </w:rPr>
        <w:t>c</w:t>
      </w:r>
      <w:r w:rsidR="00E2380E" w:rsidRPr="00807DAF">
        <w:rPr>
          <w:snapToGrid/>
          <w:lang w:eastAsia="en-GB" w:bidi="kn-IN"/>
        </w:rPr>
        <w:t>ontract</w:t>
      </w:r>
      <w:r w:rsidR="00B1674B" w:rsidRPr="00807DAF">
        <w:rPr>
          <w:snapToGrid/>
          <w:lang w:eastAsia="en-GB" w:bidi="kn-IN"/>
        </w:rPr>
        <w:t xml:space="preserve"> is signed</w:t>
      </w:r>
      <w:r w:rsidR="00E2380E" w:rsidRPr="00807DAF">
        <w:rPr>
          <w:snapToGrid/>
          <w:lang w:eastAsia="en-GB" w:bidi="kn-IN"/>
        </w:rPr>
        <w:t>. However, once the flat</w:t>
      </w:r>
      <w:r w:rsidR="00B1674B" w:rsidRPr="00807DAF">
        <w:rPr>
          <w:snapToGrid/>
          <w:lang w:eastAsia="en-GB" w:bidi="kn-IN"/>
        </w:rPr>
        <w:t xml:space="preserve"> </w:t>
      </w:r>
      <w:r w:rsidR="00E2380E" w:rsidRPr="00807DAF">
        <w:rPr>
          <w:snapToGrid/>
          <w:lang w:eastAsia="en-GB" w:bidi="kn-IN"/>
        </w:rPr>
        <w:t>rate has been fixed in the</w:t>
      </w:r>
      <w:r w:rsidR="00450369" w:rsidRPr="00807DAF">
        <w:rPr>
          <w:snapToGrid/>
          <w:lang w:eastAsia="en-GB" w:bidi="kn-IN"/>
        </w:rPr>
        <w:t xml:space="preserve"> </w:t>
      </w:r>
      <w:r w:rsidR="000D7ACD">
        <w:rPr>
          <w:snapToGrid/>
          <w:lang w:eastAsia="en-GB" w:bidi="kn-IN"/>
        </w:rPr>
        <w:t>s</w:t>
      </w:r>
      <w:r w:rsidR="00450369" w:rsidRPr="00807DAF">
        <w:rPr>
          <w:snapToGrid/>
          <w:lang w:eastAsia="en-GB" w:bidi="kn-IN"/>
        </w:rPr>
        <w:t xml:space="preserve">pecial </w:t>
      </w:r>
      <w:r w:rsidR="000D7ACD">
        <w:rPr>
          <w:snapToGrid/>
          <w:lang w:eastAsia="en-GB" w:bidi="kn-IN"/>
        </w:rPr>
        <w:t>c</w:t>
      </w:r>
      <w:r w:rsidR="00450369" w:rsidRPr="00807DAF">
        <w:rPr>
          <w:snapToGrid/>
          <w:lang w:eastAsia="en-GB" w:bidi="kn-IN"/>
        </w:rPr>
        <w:t xml:space="preserve">onditions of the </w:t>
      </w:r>
      <w:r w:rsidR="00466C25">
        <w:rPr>
          <w:snapToGrid/>
          <w:lang w:eastAsia="en-GB" w:bidi="kn-IN"/>
        </w:rPr>
        <w:t>g</w:t>
      </w:r>
      <w:r w:rsidR="00450369" w:rsidRPr="00807DAF">
        <w:rPr>
          <w:snapToGrid/>
          <w:lang w:eastAsia="en-GB" w:bidi="kn-IN"/>
        </w:rPr>
        <w:t>rant</w:t>
      </w:r>
      <w:r w:rsidR="00E2380E" w:rsidRPr="00807DAF">
        <w:rPr>
          <w:snapToGrid/>
          <w:lang w:eastAsia="en-GB" w:bidi="kn-IN"/>
        </w:rPr>
        <w:t xml:space="preserve"> </w:t>
      </w:r>
      <w:r w:rsidR="00466C25">
        <w:rPr>
          <w:snapToGrid/>
          <w:lang w:eastAsia="en-GB" w:bidi="kn-IN"/>
        </w:rPr>
        <w:t>c</w:t>
      </w:r>
      <w:r w:rsidR="00E2380E" w:rsidRPr="00807DAF">
        <w:rPr>
          <w:snapToGrid/>
          <w:lang w:eastAsia="en-GB" w:bidi="kn-IN"/>
        </w:rPr>
        <w:t>ontract, no supporting documents need to be provided.</w:t>
      </w:r>
    </w:p>
    <w:p w:rsidR="00460729" w:rsidRPr="00807DAF" w:rsidRDefault="00460729" w:rsidP="0068216F">
      <w:pPr>
        <w:rPr>
          <w:snapToGrid/>
          <w:lang w:eastAsia="en-GB" w:bidi="kn-IN"/>
        </w:rPr>
      </w:pPr>
      <w:r w:rsidRPr="00807DAF">
        <w:rPr>
          <w:snapToGrid/>
          <w:lang w:eastAsia="en-GB" w:bidi="kn-IN"/>
        </w:rPr>
        <w:t xml:space="preserve">If </w:t>
      </w:r>
      <w:r w:rsidR="00A703F1" w:rsidRPr="00807DAF">
        <w:rPr>
          <w:snapToGrid/>
          <w:lang w:eastAsia="en-GB" w:bidi="kn-IN"/>
        </w:rPr>
        <w:t>any of the</w:t>
      </w:r>
      <w:r w:rsidR="00705C17" w:rsidRPr="00807DAF">
        <w:rPr>
          <w:snapToGrid/>
          <w:lang w:eastAsia="en-GB" w:bidi="kn-IN"/>
        </w:rPr>
        <w:t xml:space="preserve"> </w:t>
      </w:r>
      <w:r w:rsidRPr="00807DAF">
        <w:rPr>
          <w:snapToGrid/>
          <w:lang w:eastAsia="en-GB" w:bidi="kn-IN"/>
        </w:rPr>
        <w:t>applicant</w:t>
      </w:r>
      <w:r w:rsidR="00A703F1" w:rsidRPr="00807DAF">
        <w:rPr>
          <w:snapToGrid/>
          <w:lang w:eastAsia="en-GB" w:bidi="kn-IN"/>
        </w:rPr>
        <w:t>s</w:t>
      </w:r>
      <w:r w:rsidRPr="00807DAF">
        <w:rPr>
          <w:snapToGrid/>
          <w:lang w:eastAsia="en-GB" w:bidi="kn-IN"/>
        </w:rPr>
        <w:t xml:space="preserve"> </w:t>
      </w:r>
      <w:r w:rsidR="00A703F1" w:rsidRPr="00807DAF">
        <w:rPr>
          <w:snapToGrid/>
          <w:lang w:eastAsia="en-GB" w:bidi="kn-IN"/>
        </w:rPr>
        <w:t xml:space="preserve">or affiliated entity(ies) </w:t>
      </w:r>
      <w:r w:rsidRPr="00807DAF">
        <w:rPr>
          <w:snapToGrid/>
          <w:lang w:eastAsia="en-GB" w:bidi="kn-IN"/>
        </w:rPr>
        <w:t xml:space="preserve">is in receipt of an operating grant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705C17" w:rsidRPr="00807DAF">
        <w:rPr>
          <w:snapToGrid/>
          <w:color w:val="0000FF"/>
          <w:sz w:val="20"/>
          <w:lang w:eastAsia="en-GB" w:bidi="kn-IN"/>
        </w:rPr>
        <w:t xml:space="preserve"> </w:t>
      </w:r>
      <w:r w:rsidRPr="00807DAF">
        <w:rPr>
          <w:snapToGrid/>
          <w:lang w:eastAsia="en-GB" w:bidi="kn-IN"/>
        </w:rPr>
        <w:t>within the proposed budget for the action.</w:t>
      </w:r>
    </w:p>
    <w:p w:rsidR="0007408E" w:rsidRPr="00807DAF" w:rsidRDefault="0007408E" w:rsidP="0068216F">
      <w:pPr>
        <w:rPr>
          <w:u w:val="single"/>
        </w:rPr>
      </w:pPr>
      <w:r w:rsidRPr="00807DAF">
        <w:rPr>
          <w:u w:val="single"/>
        </w:rPr>
        <w:t>Contributions in kind</w:t>
      </w:r>
    </w:p>
    <w:p w:rsidR="00844680"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snapToGrid/>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snapToGrid/>
          <w:lang w:eastAsia="en-GB" w:bidi="kn-IN"/>
        </w:rPr>
        <w:t>or affiliated entities</w:t>
      </w:r>
      <w:r w:rsidRPr="00807DAF">
        <w:t xml:space="preserve">, they are </w:t>
      </w:r>
      <w:r w:rsidR="00844680">
        <w:t xml:space="preserve">normally </w:t>
      </w:r>
      <w:r w:rsidRPr="00807DAF">
        <w:t>not eligible costs.</w:t>
      </w:r>
      <w:r w:rsidR="006507EF" w:rsidRPr="00807DAF">
        <w:t xml:space="preserve"> </w:t>
      </w:r>
    </w:p>
    <w:p w:rsidR="00844680" w:rsidRDefault="00844680" w:rsidP="00844680">
      <w:r>
        <w:t>As an exception, contributions in kind may include personnel costs for the work carried out by volunteers under an action or work programme (which are eligible costs).</w:t>
      </w:r>
    </w:p>
    <w:p w:rsidR="00844680" w:rsidRDefault="00844680" w:rsidP="00844680">
      <w:r>
        <w:t xml:space="preserve">Contributions in kind from third parties in the form of volunteers' work, valued on the basis of unit costs defined and authorised by the contracting authority, shall be presented in the estimated budget, separately from the other eligible costs (i.e. as an accepted costs together with other contributions in kind). </w:t>
      </w:r>
    </w:p>
    <w:p w:rsidR="00844680" w:rsidRDefault="00844680" w:rsidP="00844680">
      <w:r>
        <w:t>Volunteers' work may comprise up to 50 % of the co-financing. For the purposes of calculating this percentage, contributions in kind and other co-financing shall be based on estimates provided by the applicant.</w:t>
      </w:r>
    </w:p>
    <w:p w:rsidR="008A62F6" w:rsidRDefault="00844680" w:rsidP="0068216F">
      <w:r>
        <w:t>When</w:t>
      </w:r>
      <w:r w:rsidR="00AF46DE">
        <w:t xml:space="preserve"> the estimated costs include volunteers' work</w:t>
      </w:r>
      <w:r w:rsidR="00402208">
        <w:t>,</w:t>
      </w:r>
      <w:r w:rsidR="00AF46DE">
        <w:t xml:space="preserve"> the grant shall not exceed the estimated eligible costs other than the costs for volunteers' work.</w:t>
      </w:r>
    </w:p>
    <w:p w:rsidR="00F52B38" w:rsidRPr="00D372E9" w:rsidRDefault="00BC7EE3" w:rsidP="0068216F">
      <w:r w:rsidRPr="00D372E9">
        <w:t>C</w:t>
      </w:r>
      <w:r w:rsidR="00F52B38" w:rsidRPr="00D372E9">
        <w:t>ontributions in kind may not be treated as co-financing</w:t>
      </w:r>
      <w:r w:rsidR="00D372E9" w:rsidRPr="00D372E9">
        <w:t>.</w:t>
      </w:r>
    </w:p>
    <w:p w:rsidR="00F52B38" w:rsidRPr="00807DAF" w:rsidRDefault="00BC7EE3" w:rsidP="0068216F">
      <w:r w:rsidRPr="00D372E9">
        <w:t>However</w:t>
      </w:r>
      <w:r w:rsidR="00F52B38" w:rsidRPr="00D372E9">
        <w:t xml:space="preserve">, if the description of the action as proposed </w:t>
      </w:r>
      <w:r w:rsidRPr="00D372E9">
        <w:t>includes</w:t>
      </w:r>
      <w:r w:rsidR="00F52B38" w:rsidRPr="00D372E9">
        <w:t xml:space="preserve"> contributions in kind, </w:t>
      </w:r>
      <w:r w:rsidRPr="00D372E9">
        <w:t xml:space="preserve">the </w:t>
      </w:r>
      <w:r w:rsidR="00F52B38" w:rsidRPr="00D372E9">
        <w:t>contributions have to be</w:t>
      </w:r>
      <w:r w:rsidR="005D2AC6" w:rsidRPr="00D372E9">
        <w:t xml:space="preserve"> </w:t>
      </w:r>
      <w:r w:rsidRPr="00D372E9">
        <w:t>made</w:t>
      </w:r>
      <w:r w:rsidR="00F52B38" w:rsidRPr="00D372E9">
        <w:t>.</w:t>
      </w:r>
    </w:p>
    <w:p w:rsidR="00511112" w:rsidRPr="00807DAF" w:rsidRDefault="00511112" w:rsidP="0068216F">
      <w:pPr>
        <w:rPr>
          <w:u w:val="single"/>
        </w:rPr>
      </w:pPr>
      <w:r w:rsidRPr="00807DAF">
        <w:rPr>
          <w:u w:val="single"/>
        </w:rPr>
        <w:t>Ineligible costs</w:t>
      </w:r>
    </w:p>
    <w:p w:rsidR="00511112" w:rsidRPr="00807DAF" w:rsidRDefault="00511112" w:rsidP="0068216F">
      <w:r w:rsidRPr="00807DAF">
        <w:t>The following costs are not eligible:</w:t>
      </w:r>
    </w:p>
    <w:p w:rsidR="00AC1803" w:rsidRPr="00807DAF" w:rsidRDefault="00511112" w:rsidP="00F016A9">
      <w:pPr>
        <w:numPr>
          <w:ilvl w:val="0"/>
          <w:numId w:val="22"/>
        </w:numPr>
      </w:pPr>
      <w:r w:rsidRPr="00807DAF">
        <w:t>debts and debt</w:t>
      </w:r>
      <w:r w:rsidR="00AC1803" w:rsidRPr="00807DAF">
        <w:t xml:space="preserve"> service charges</w:t>
      </w:r>
      <w:r w:rsidR="00516FC2" w:rsidRPr="00807DAF">
        <w:t xml:space="preserve"> (interest);</w:t>
      </w:r>
    </w:p>
    <w:p w:rsidR="00511112" w:rsidRPr="00807DAF" w:rsidRDefault="00AC1803" w:rsidP="00F016A9">
      <w:pPr>
        <w:numPr>
          <w:ilvl w:val="0"/>
          <w:numId w:val="22"/>
        </w:numPr>
      </w:pPr>
      <w:r w:rsidRPr="00807DAF">
        <w:t>provisions for losses or potential future liabilities</w:t>
      </w:r>
      <w:r w:rsidR="00511112" w:rsidRPr="00807DAF">
        <w:t>;</w:t>
      </w:r>
    </w:p>
    <w:p w:rsidR="00511112" w:rsidRPr="00807DAF" w:rsidRDefault="00AC1803" w:rsidP="00F016A9">
      <w:pPr>
        <w:numPr>
          <w:ilvl w:val="0"/>
          <w:numId w:val="22"/>
        </w:numPr>
      </w:pPr>
      <w:r w:rsidRPr="00807DAF">
        <w:t xml:space="preserve">costs declared by the </w:t>
      </w:r>
      <w:r w:rsidR="000D61C6">
        <w:t>b</w:t>
      </w:r>
      <w:r w:rsidR="00516FC2" w:rsidRPr="00807DAF">
        <w:t xml:space="preserve">eneficiary(ies) and financed by another action or work programme receiving a </w:t>
      </w:r>
      <w:r w:rsidR="004F6678">
        <w:t xml:space="preserve">European </w:t>
      </w:r>
      <w:r w:rsidR="00516FC2" w:rsidRPr="00807DAF">
        <w:t>Union (including through EDF) grant</w:t>
      </w:r>
      <w:r w:rsidR="00511112" w:rsidRPr="00807DAF">
        <w:t>;</w:t>
      </w:r>
    </w:p>
    <w:p w:rsidR="00511112" w:rsidRPr="00807DAF" w:rsidRDefault="00511112" w:rsidP="00F016A9">
      <w:pPr>
        <w:numPr>
          <w:ilvl w:val="0"/>
          <w:numId w:val="22"/>
        </w:numPr>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rsidR="00511112" w:rsidRPr="00807DAF" w:rsidRDefault="00511112" w:rsidP="00F016A9">
      <w:pPr>
        <w:numPr>
          <w:ilvl w:val="0"/>
          <w:numId w:val="22"/>
        </w:numPr>
      </w:pPr>
      <w:r w:rsidRPr="00807DAF">
        <w:t>currency exchange losses;</w:t>
      </w:r>
    </w:p>
    <w:p w:rsidR="0061511C" w:rsidRPr="00D372E9" w:rsidRDefault="00D372E9" w:rsidP="00F016A9">
      <w:pPr>
        <w:numPr>
          <w:ilvl w:val="0"/>
          <w:numId w:val="22"/>
        </w:numPr>
      </w:pPr>
      <w:r w:rsidRPr="00D372E9">
        <w:t>credit to third parties</w:t>
      </w:r>
    </w:p>
    <w:p w:rsidR="00622E2A" w:rsidRPr="00D372E9" w:rsidRDefault="00AE481D" w:rsidP="00F016A9">
      <w:pPr>
        <w:numPr>
          <w:ilvl w:val="0"/>
          <w:numId w:val="22"/>
        </w:numPr>
      </w:pPr>
      <w:r w:rsidRPr="00D372E9">
        <w:t>s</w:t>
      </w:r>
      <w:r w:rsidR="00622E2A" w:rsidRPr="00D372E9">
        <w:t>alary costs of the personnel of national administrations</w:t>
      </w:r>
      <w:r w:rsidR="00D372E9" w:rsidRPr="00D372E9">
        <w:t>.</w:t>
      </w:r>
    </w:p>
    <w:p w:rsidR="00A80223" w:rsidRDefault="00A80223" w:rsidP="00BF158E">
      <w:pPr>
        <w:rPr>
          <w:highlight w:val="yellow"/>
        </w:rPr>
      </w:pPr>
    </w:p>
    <w:p w:rsidR="00A80223" w:rsidRDefault="00A80223" w:rsidP="0017243C">
      <w:pPr>
        <w:keepNext/>
        <w:spacing w:before="120" w:after="120"/>
        <w:ind w:left="420"/>
        <w:rPr>
          <w:b/>
          <w:sz w:val="24"/>
          <w:szCs w:val="24"/>
        </w:rPr>
      </w:pPr>
      <w:r w:rsidRPr="002B370E">
        <w:rPr>
          <w:b/>
          <w:sz w:val="24"/>
          <w:szCs w:val="24"/>
        </w:rPr>
        <w:lastRenderedPageBreak/>
        <w:t>Ethic</w:t>
      </w:r>
      <w:r w:rsidR="0017243C">
        <w:rPr>
          <w:b/>
          <w:sz w:val="24"/>
          <w:szCs w:val="24"/>
        </w:rPr>
        <w:t>s clauses and Code of Conduct</w:t>
      </w:r>
    </w:p>
    <w:p w:rsidR="00A80223" w:rsidRPr="00417585" w:rsidRDefault="00A80223" w:rsidP="00A80223">
      <w:pPr>
        <w:keepNext/>
        <w:spacing w:before="120" w:after="120"/>
        <w:ind w:left="420"/>
        <w:rPr>
          <w:szCs w:val="22"/>
          <w:u w:val="single"/>
        </w:rPr>
      </w:pPr>
      <w:r w:rsidRPr="00417585">
        <w:rPr>
          <w:szCs w:val="22"/>
          <w:u w:val="single"/>
        </w:rPr>
        <w:t>a) Absence of conflict of interest</w:t>
      </w:r>
    </w:p>
    <w:p w:rsidR="00A80223" w:rsidRDefault="00A80223" w:rsidP="00A80223">
      <w:pPr>
        <w:keepNext/>
        <w:spacing w:before="120" w:after="120"/>
        <w:ind w:left="420"/>
        <w:rPr>
          <w:szCs w:val="22"/>
        </w:rPr>
      </w:pPr>
      <w:r>
        <w:rPr>
          <w:szCs w:val="22"/>
        </w:rPr>
        <w:t>The applicant</w:t>
      </w:r>
      <w:r w:rsidRPr="002B370E">
        <w:rPr>
          <w:szCs w:val="22"/>
        </w:rPr>
        <w:t xml:space="preserve"> must not be affected by any conflict of interest and </w:t>
      </w:r>
      <w:r>
        <w:rPr>
          <w:szCs w:val="22"/>
        </w:rPr>
        <w:t>must</w:t>
      </w:r>
      <w:r w:rsidRPr="002B370E">
        <w:rPr>
          <w:szCs w:val="22"/>
        </w:rPr>
        <w:t xml:space="preserve"> have no equivalent relation in t</w:t>
      </w:r>
      <w:r>
        <w:rPr>
          <w:szCs w:val="22"/>
        </w:rPr>
        <w:t>hat respect with other applicants</w:t>
      </w:r>
      <w:r w:rsidRPr="002B370E">
        <w:rPr>
          <w:szCs w:val="22"/>
        </w:rPr>
        <w:t xml:space="preserve"> or</w:t>
      </w:r>
      <w:r>
        <w:rPr>
          <w:szCs w:val="22"/>
        </w:rPr>
        <w:t xml:space="preserve"> parties involved in the actions</w:t>
      </w:r>
      <w:r w:rsidRPr="002B370E">
        <w:rPr>
          <w:szCs w:val="22"/>
        </w:rPr>
        <w:t>.</w:t>
      </w:r>
      <w:r>
        <w:rPr>
          <w:szCs w:val="22"/>
        </w:rPr>
        <w:t xml:space="preserve"> </w:t>
      </w:r>
      <w:r w:rsidRPr="005C7F3E">
        <w:rPr>
          <w:szCs w:val="22"/>
        </w:rPr>
        <w:t xml:space="preserve">Any attempt </w:t>
      </w:r>
      <w:r>
        <w:rPr>
          <w:szCs w:val="22"/>
        </w:rPr>
        <w:t>by an applicant</w:t>
      </w:r>
      <w:r w:rsidRPr="005C7F3E">
        <w:rPr>
          <w:szCs w:val="22"/>
        </w:rPr>
        <w:t xml:space="preserve"> to obtain confidential information, enter into unlawful agreements with competitors or influence the evaluation committee or the contracting authority during the process of examining, clarifying, </w:t>
      </w:r>
      <w:r>
        <w:rPr>
          <w:szCs w:val="22"/>
        </w:rPr>
        <w:t>evaluating and comparing applications</w:t>
      </w:r>
      <w:r w:rsidRPr="005C7F3E">
        <w:rPr>
          <w:szCs w:val="22"/>
        </w:rPr>
        <w:t xml:space="preserve"> will lead to </w:t>
      </w:r>
      <w:r>
        <w:rPr>
          <w:szCs w:val="22"/>
        </w:rPr>
        <w:t>the rejection of its application</w:t>
      </w:r>
      <w:r w:rsidRPr="005C7F3E">
        <w:rPr>
          <w:szCs w:val="22"/>
        </w:rPr>
        <w:t xml:space="preserve"> and may result in administrative penalties</w:t>
      </w:r>
      <w:r>
        <w:rPr>
          <w:szCs w:val="22"/>
        </w:rPr>
        <w:t xml:space="preserve"> according to the Financial Regulation in force. </w:t>
      </w:r>
    </w:p>
    <w:p w:rsidR="00A80223" w:rsidRDefault="00A80223" w:rsidP="00A80223">
      <w:pPr>
        <w:keepNext/>
        <w:spacing w:before="120" w:after="120"/>
        <w:ind w:left="420"/>
        <w:rPr>
          <w:szCs w:val="22"/>
        </w:rPr>
      </w:pPr>
      <w:r>
        <w:rPr>
          <w:szCs w:val="22"/>
        </w:rPr>
        <w:t xml:space="preserve">b) </w:t>
      </w:r>
      <w:r w:rsidRPr="00417585">
        <w:rPr>
          <w:szCs w:val="22"/>
          <w:u w:val="single"/>
        </w:rPr>
        <w:t>Respect for human rights as well as environmental legislation and core labour standards</w:t>
      </w:r>
      <w:r w:rsidRPr="00417585">
        <w:rPr>
          <w:szCs w:val="22"/>
        </w:rPr>
        <w:t xml:space="preserve"> </w:t>
      </w:r>
    </w:p>
    <w:p w:rsidR="00A80223" w:rsidRDefault="00A80223" w:rsidP="00A80223">
      <w:pPr>
        <w:keepNext/>
        <w:spacing w:before="120" w:after="120"/>
        <w:ind w:left="420"/>
        <w:rPr>
          <w:szCs w:val="22"/>
        </w:rPr>
      </w:pPr>
      <w:r>
        <w:rPr>
          <w:szCs w:val="22"/>
        </w:rPr>
        <w:t>The applicant</w:t>
      </w:r>
      <w:r w:rsidRPr="005C7F3E">
        <w:rPr>
          <w:szCs w:val="22"/>
        </w:rPr>
        <w:t xml:space="preserve"> and its staff must comply with human rights. In particular and in accordance with the applicable </w:t>
      </w:r>
      <w:r w:rsidR="00876E0B" w:rsidRPr="005C7F3E">
        <w:rPr>
          <w:szCs w:val="22"/>
        </w:rPr>
        <w:t xml:space="preserve">act, applicants </w:t>
      </w:r>
      <w:r w:rsidRPr="005C7F3E">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417585">
        <w:rPr>
          <w:b/>
          <w:szCs w:val="22"/>
        </w:rPr>
        <w:t>Zero tolerance for sexual exploitation and sexual abuse:</w:t>
      </w:r>
    </w:p>
    <w:p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The European Commission applies a policy of 'zero tolerance' in relation to all wrongful conduct which has an impact on the profession</w:t>
      </w:r>
      <w:r>
        <w:rPr>
          <w:szCs w:val="22"/>
        </w:rPr>
        <w:t xml:space="preserve">al credibility of the </w:t>
      </w:r>
      <w:r w:rsidR="00876E0B">
        <w:rPr>
          <w:szCs w:val="22"/>
        </w:rPr>
        <w:t>applicant</w:t>
      </w:r>
      <w:r w:rsidR="00876E0B" w:rsidRPr="005C7F3E">
        <w:rPr>
          <w:szCs w:val="22"/>
        </w:rPr>
        <w:t xml:space="preserve">. </w:t>
      </w:r>
      <w:r w:rsidRPr="005C7F3E">
        <w:rPr>
          <w:szCs w:val="22"/>
        </w:rPr>
        <w:t xml:space="preserve"> </w:t>
      </w:r>
    </w:p>
    <w:p w:rsidR="00A80223" w:rsidRPr="0017243C" w:rsidRDefault="00A80223" w:rsidP="0017243C">
      <w:pPr>
        <w:keepNext/>
        <w:pBdr>
          <w:top w:val="single" w:sz="4" w:space="0" w:color="auto"/>
          <w:left w:val="single" w:sz="4" w:space="0" w:color="auto"/>
          <w:bottom w:val="single" w:sz="4" w:space="1" w:color="auto"/>
          <w:right w:val="single" w:sz="4" w:space="4" w:color="auto"/>
        </w:pBdr>
        <w:spacing w:before="120" w:after="120"/>
        <w:ind w:left="420"/>
        <w:rPr>
          <w:szCs w:val="22"/>
        </w:rPr>
      </w:pPr>
      <w:r w:rsidRPr="005C7F3E">
        <w:rPr>
          <w:szCs w:val="22"/>
        </w:rPr>
        <w:t>Physical abuse or punishment, or threats of physical abuse, sexual abuse or exploitation, harassment and verbal abuse, as well as other forms of inti</w:t>
      </w:r>
      <w:r w:rsidR="0017243C">
        <w:rPr>
          <w:szCs w:val="22"/>
        </w:rPr>
        <w:t xml:space="preserve">midation shall be prohibited. </w:t>
      </w:r>
    </w:p>
    <w:p w:rsidR="00A80223" w:rsidRDefault="00A80223" w:rsidP="0017243C">
      <w:pPr>
        <w:ind w:left="420"/>
        <w:rPr>
          <w:szCs w:val="22"/>
        </w:rPr>
      </w:pPr>
      <w:r w:rsidRPr="00725462">
        <w:rPr>
          <w:szCs w:val="22"/>
          <w:u w:val="single"/>
        </w:rPr>
        <w:t xml:space="preserve">c) </w:t>
      </w:r>
      <w:r>
        <w:rPr>
          <w:szCs w:val="22"/>
          <w:u w:val="single"/>
        </w:rPr>
        <w:t>A</w:t>
      </w:r>
      <w:r w:rsidRPr="00725462">
        <w:rPr>
          <w:szCs w:val="22"/>
          <w:u w:val="single"/>
        </w:rPr>
        <w:t>nti-corruption and anti-bribery</w:t>
      </w:r>
      <w:r w:rsidRPr="00725462">
        <w:rPr>
          <w:szCs w:val="22"/>
        </w:rPr>
        <w:t xml:space="preserve"> </w:t>
      </w:r>
    </w:p>
    <w:p w:rsidR="00A80223" w:rsidRDefault="00A80223" w:rsidP="0017243C">
      <w:pPr>
        <w:ind w:left="420"/>
        <w:rPr>
          <w:szCs w:val="22"/>
        </w:rPr>
      </w:pPr>
      <w:r>
        <w:rPr>
          <w:szCs w:val="22"/>
        </w:rPr>
        <w:t>The applicant</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A80223" w:rsidRDefault="00A80223" w:rsidP="00A80223">
      <w:pPr>
        <w:spacing w:before="120" w:after="120"/>
        <w:ind w:left="567" w:hanging="567"/>
        <w:rPr>
          <w:szCs w:val="22"/>
        </w:rPr>
      </w:pPr>
      <w:r>
        <w:rPr>
          <w:szCs w:val="22"/>
        </w:rPr>
        <w:t xml:space="preserve">      d)  </w:t>
      </w:r>
      <w:r>
        <w:rPr>
          <w:szCs w:val="22"/>
          <w:u w:val="single"/>
        </w:rPr>
        <w:t>U</w:t>
      </w:r>
      <w:r w:rsidRPr="00725462">
        <w:rPr>
          <w:szCs w:val="22"/>
          <w:u w:val="single"/>
        </w:rPr>
        <w:t>nusual commercial expenses</w:t>
      </w:r>
      <w:r w:rsidRPr="00725462">
        <w:rPr>
          <w:szCs w:val="22"/>
        </w:rPr>
        <w:t xml:space="preserve"> </w:t>
      </w:r>
    </w:p>
    <w:p w:rsidR="00A80223" w:rsidRPr="002B370E" w:rsidRDefault="00A80223" w:rsidP="00A80223">
      <w:pPr>
        <w:spacing w:before="120" w:after="120"/>
        <w:ind w:left="397"/>
        <w:rPr>
          <w:szCs w:val="22"/>
        </w:rPr>
      </w:pPr>
      <w:r>
        <w:rPr>
          <w:szCs w:val="22"/>
        </w:rPr>
        <w:t>Applications</w:t>
      </w:r>
      <w:r w:rsidRPr="002B370E">
        <w:rPr>
          <w:szCs w:val="22"/>
        </w:rPr>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A80223" w:rsidRDefault="00876E0B" w:rsidP="0017243C">
      <w:pPr>
        <w:spacing w:before="120" w:after="120"/>
        <w:ind w:left="397"/>
        <w:rPr>
          <w:szCs w:val="22"/>
        </w:rPr>
      </w:pPr>
      <w:r>
        <w:rPr>
          <w:szCs w:val="22"/>
        </w:rPr>
        <w:t>Grant beneficiaries</w:t>
      </w:r>
      <w:r w:rsidRPr="002B370E">
        <w:rPr>
          <w:szCs w:val="22"/>
        </w:rPr>
        <w:t xml:space="preserve"> </w:t>
      </w:r>
      <w:r w:rsidR="00A80223" w:rsidRPr="002B370E">
        <w:rPr>
          <w:szCs w:val="22"/>
        </w:rPr>
        <w:t>found to have paid unusual commercial expenses on projects funded by the European Union are liable, depending on the seriousness of the facts observed, to have their contracts terminated or to be permanently excluded from receiving EU</w:t>
      </w:r>
      <w:r>
        <w:rPr>
          <w:szCs w:val="22"/>
        </w:rPr>
        <w:t>/EDF</w:t>
      </w:r>
      <w:r w:rsidR="00A80223" w:rsidRPr="002B370E">
        <w:rPr>
          <w:szCs w:val="22"/>
        </w:rPr>
        <w:t xml:space="preserve"> funds.</w:t>
      </w:r>
    </w:p>
    <w:p w:rsidR="00A80223" w:rsidRPr="00082D09" w:rsidRDefault="00876E0B" w:rsidP="00A80223">
      <w:pPr>
        <w:spacing w:before="120" w:after="120"/>
        <w:ind w:left="397"/>
        <w:rPr>
          <w:szCs w:val="22"/>
          <w:u w:val="single"/>
        </w:rPr>
      </w:pPr>
      <w:r>
        <w:rPr>
          <w:szCs w:val="22"/>
        </w:rPr>
        <w:t>e</w:t>
      </w:r>
      <w:r w:rsidR="00A80223">
        <w:rPr>
          <w:szCs w:val="22"/>
        </w:rPr>
        <w:t xml:space="preserve">) </w:t>
      </w:r>
      <w:r w:rsidR="00921BDE">
        <w:rPr>
          <w:szCs w:val="22"/>
          <w:u w:val="single"/>
        </w:rPr>
        <w:t>Error</w:t>
      </w:r>
      <w:r w:rsidR="00A80223" w:rsidRPr="00082D09">
        <w:rPr>
          <w:szCs w:val="22"/>
          <w:u w:val="single"/>
        </w:rPr>
        <w:t>, irregularities or fraud</w:t>
      </w:r>
    </w:p>
    <w:p w:rsidR="00A80223" w:rsidRDefault="00A80223" w:rsidP="00A80223">
      <w:pPr>
        <w:spacing w:before="120" w:after="120"/>
        <w:ind w:left="397"/>
        <w:rPr>
          <w:szCs w:val="22"/>
        </w:rPr>
      </w:pPr>
      <w:r w:rsidRPr="00725462">
        <w:rPr>
          <w:szCs w:val="22"/>
        </w:rPr>
        <w:t>The contracting authority reserves the right to suspend or cancel the procedure, where the award procedure proves to have be</w:t>
      </w:r>
      <w:r w:rsidR="00A011DF">
        <w:rPr>
          <w:szCs w:val="22"/>
        </w:rPr>
        <w:t>en subject to breach of obligations</w:t>
      </w:r>
      <w:r w:rsidRPr="00725462">
        <w:rPr>
          <w:szCs w:val="22"/>
        </w:rPr>
        <w:t>, irreg</w:t>
      </w:r>
      <w:r w:rsidR="00A011DF">
        <w:rPr>
          <w:szCs w:val="22"/>
        </w:rPr>
        <w:t>ularities or fraud. If breach ogf obligations</w:t>
      </w:r>
      <w:r w:rsidRPr="00725462">
        <w:rPr>
          <w:szCs w:val="22"/>
        </w:rPr>
        <w:t>, irregularities or fraud are discovered after the award of the contract, the contracting authority may refrain from concluding the contract.</w:t>
      </w:r>
    </w:p>
    <w:p w:rsidR="00A80223" w:rsidRPr="00807DAF" w:rsidRDefault="00A80223" w:rsidP="00BF158E">
      <w:pPr>
        <w:rPr>
          <w:highlight w:val="lightGray"/>
        </w:rPr>
      </w:pPr>
    </w:p>
    <w:p w:rsidR="00357CC0" w:rsidRPr="00807DAF" w:rsidRDefault="0009588C" w:rsidP="004741A1">
      <w:pPr>
        <w:pStyle w:val="Guidelines2"/>
      </w:pPr>
      <w:bookmarkStart w:id="15" w:name="_Toc1059734"/>
      <w:r w:rsidRPr="00807DAF">
        <w:lastRenderedPageBreak/>
        <w:t>H</w:t>
      </w:r>
      <w:r w:rsidR="00357CC0" w:rsidRPr="00807DAF">
        <w:t>ow to apply and the procedures to follow</w:t>
      </w:r>
      <w:bookmarkEnd w:id="15"/>
    </w:p>
    <w:p w:rsidR="005E686B" w:rsidRPr="005E686B" w:rsidRDefault="005E686B" w:rsidP="005E686B">
      <w:r w:rsidRPr="005E686B">
        <w:t xml:space="preserve">To apply for this call for proposals the lead applicants need to: </w:t>
      </w:r>
    </w:p>
    <w:p w:rsidR="005E686B" w:rsidRPr="005E686B" w:rsidRDefault="005E686B" w:rsidP="00F016A9">
      <w:pPr>
        <w:numPr>
          <w:ilvl w:val="0"/>
          <w:numId w:val="38"/>
        </w:numPr>
      </w:pPr>
      <w:r w:rsidRPr="005E686B">
        <w:t xml:space="preserve">Provide information about the organisations involved in the action. Please note that the registration of this data in </w:t>
      </w:r>
      <w:r w:rsidRPr="005E686B">
        <w:rPr>
          <w:b/>
          <w:bCs/>
        </w:rPr>
        <w:t>PADOR is obligatory</w:t>
      </w:r>
      <w:r w:rsidRPr="005E686B">
        <w:rPr>
          <w:b/>
          <w:bCs/>
          <w:vertAlign w:val="superscript"/>
        </w:rPr>
        <w:footnoteReference w:id="22"/>
      </w:r>
      <w:r w:rsidRPr="005E686B">
        <w:rPr>
          <w:b/>
          <w:bCs/>
        </w:rPr>
        <w:t xml:space="preserve"> </w:t>
      </w:r>
      <w:r w:rsidRPr="005E686B">
        <w:t xml:space="preserve">for this call for proposals: </w:t>
      </w:r>
    </w:p>
    <w:p w:rsidR="005E686B" w:rsidRPr="005E686B" w:rsidRDefault="005E686B" w:rsidP="005E686B">
      <w:pPr>
        <w:ind w:left="360"/>
      </w:pPr>
      <w:r w:rsidRPr="005E686B">
        <w:rPr>
          <w:b/>
          <w:bCs/>
        </w:rPr>
        <w:t xml:space="preserve">Concept note step: </w:t>
      </w:r>
      <w:r w:rsidRPr="005E686B">
        <w:t xml:space="preserve">Registration is obligatory for lead applicants applying for EU contributions of more than EUR 60 000. </w:t>
      </w:r>
    </w:p>
    <w:p w:rsidR="005E686B" w:rsidRPr="005E686B" w:rsidRDefault="005E686B" w:rsidP="005E686B">
      <w:pPr>
        <w:ind w:left="360"/>
      </w:pPr>
      <w:r w:rsidRPr="005E686B">
        <w:rPr>
          <w:b/>
          <w:bCs/>
        </w:rPr>
        <w:t xml:space="preserve">Full application step: </w:t>
      </w:r>
      <w:r w:rsidRPr="005E686B">
        <w:t xml:space="preserve">Registration is obligatory for co-applicant(s) and affiliated entity(ies). Lead applicants must make sure that their PADOR profile is up to date. </w:t>
      </w:r>
    </w:p>
    <w:p w:rsidR="005E686B" w:rsidRPr="005E686B" w:rsidRDefault="005E686B" w:rsidP="00F016A9">
      <w:pPr>
        <w:numPr>
          <w:ilvl w:val="0"/>
          <w:numId w:val="38"/>
        </w:numPr>
      </w:pPr>
      <w:r w:rsidRPr="005E686B">
        <w:t xml:space="preserve">Provide information about the action in the documents listed under sections 2.2.2 (concept note) and 2.2.5 (full application). Please note that online submission via </w:t>
      </w:r>
      <w:r w:rsidRPr="005E686B">
        <w:rPr>
          <w:b/>
          <w:bCs/>
        </w:rPr>
        <w:t xml:space="preserve">PROSPECT is obligatory </w:t>
      </w:r>
      <w:r w:rsidRPr="005E686B">
        <w:t xml:space="preserve">for this call, </w:t>
      </w:r>
    </w:p>
    <w:p w:rsidR="005E686B" w:rsidRPr="005E686B" w:rsidRDefault="005E686B" w:rsidP="005E686B">
      <w:r w:rsidRPr="005E686B">
        <w:t xml:space="preserve">PADOR is an on-line database in which organisations register and update information concerning their entity. Organisations registered in PADOR get a unique ID (EuropeAid ID) which they </w:t>
      </w:r>
      <w:r w:rsidRPr="005E686B">
        <w:rPr>
          <w:b/>
          <w:bCs/>
        </w:rPr>
        <w:t xml:space="preserve">must mention </w:t>
      </w:r>
      <w:r w:rsidRPr="005E686B">
        <w:t xml:space="preserve">in their application. PADOR is accessible via the website: </w:t>
      </w:r>
      <w:hyperlink r:id="rId17" w:history="1">
        <w:r w:rsidRPr="005E686B">
          <w:rPr>
            <w:rStyle w:val="Hyperlink"/>
          </w:rPr>
          <w:t>http://ec.europa.eu/europeaid/pador_en</w:t>
        </w:r>
      </w:hyperlink>
      <w:r w:rsidRPr="005E686B">
        <w:t xml:space="preserve">  </w:t>
      </w:r>
    </w:p>
    <w:p w:rsidR="005E686B" w:rsidRPr="005E686B" w:rsidRDefault="005E686B" w:rsidP="005E686B">
      <w:r w:rsidRPr="005E686B">
        <w:rPr>
          <w:b/>
          <w:bCs/>
        </w:rPr>
        <w:t xml:space="preserve">It is strongly recommended to register in PADOR well in advance and not to wait until the last minute before the deadline to submit your application in PROSPECT. </w:t>
      </w:r>
    </w:p>
    <w:p w:rsidR="005E686B" w:rsidRPr="005E686B" w:rsidRDefault="005E686B" w:rsidP="005E686B">
      <w:r w:rsidRPr="005E686B">
        <w:t>If it is impossible to register online in PADOR for technical reasons, the applicants and/or affiliated entity(ies) must complete the ‘PADOR off-line form</w:t>
      </w:r>
      <w:r w:rsidRPr="005E686B">
        <w:rPr>
          <w:vertAlign w:val="superscript"/>
        </w:rPr>
        <w:footnoteReference w:id="23"/>
      </w:r>
      <w:r w:rsidRPr="005E686B">
        <w:t xml:space="preserve"> attached to these guidelines. This form must be sent </w:t>
      </w:r>
      <w:r w:rsidRPr="005E686B">
        <w:rPr>
          <w:b/>
          <w:bCs/>
        </w:rPr>
        <w:t xml:space="preserve">together with the application, </w:t>
      </w:r>
      <w:r w:rsidRPr="005E686B">
        <w:t xml:space="preserve">by the submission deadline (see sections 2.2.2 and 2.2.5). </w:t>
      </w:r>
    </w:p>
    <w:p w:rsidR="005E686B" w:rsidRPr="0017243C" w:rsidRDefault="005E686B" w:rsidP="008503BC">
      <w:r w:rsidRPr="005E686B">
        <w:t xml:space="preserve">Before starting using PADOR and PROSPECT, please read the user guides available on the website. All technical questions related the use of these systems should be addressed to the IT helpdesk at </w:t>
      </w:r>
      <w:hyperlink r:id="rId18" w:history="1">
        <w:r w:rsidRPr="005E686B">
          <w:rPr>
            <w:rStyle w:val="Hyperlink"/>
          </w:rPr>
          <w:t>EuropeAid-IT-support@ec.europa.eu</w:t>
        </w:r>
      </w:hyperlink>
      <w:r w:rsidRPr="005E686B">
        <w:t xml:space="preserve"> </w:t>
      </w:r>
      <w:r w:rsidRPr="005E686B">
        <w:rPr>
          <w:b/>
          <w:bCs/>
        </w:rPr>
        <w:t>via the online support form in PROSPECT.</w:t>
      </w:r>
    </w:p>
    <w:p w:rsidR="008B4806" w:rsidRPr="0017243C" w:rsidRDefault="008B4806" w:rsidP="004B7BC2">
      <w:pPr>
        <w:pStyle w:val="Guidelines3"/>
      </w:pPr>
      <w:bookmarkStart w:id="16" w:name="_Toc125454352"/>
      <w:bookmarkStart w:id="17" w:name="_Toc1059735"/>
      <w:r w:rsidRPr="0017243C">
        <w:t xml:space="preserve">Concept </w:t>
      </w:r>
      <w:r w:rsidR="000D61C6" w:rsidRPr="0017243C">
        <w:t>n</w:t>
      </w:r>
      <w:r w:rsidRPr="0017243C">
        <w:t xml:space="preserve">ote </w:t>
      </w:r>
      <w:bookmarkEnd w:id="16"/>
      <w:r w:rsidR="00DB0B48" w:rsidRPr="0017243C">
        <w:t>conten</w:t>
      </w:r>
      <w:r w:rsidR="005D7AF3" w:rsidRPr="0017243C">
        <w:t>t</w:t>
      </w:r>
      <w:bookmarkEnd w:id="17"/>
      <w:r w:rsidR="005D7AF3" w:rsidRPr="0017243C">
        <w:t xml:space="preserve"> </w:t>
      </w:r>
      <w:r w:rsidRPr="0017243C">
        <w:t xml:space="preserve"> </w:t>
      </w:r>
    </w:p>
    <w:p w:rsidR="00DB0B48" w:rsidRPr="0017243C" w:rsidRDefault="00DB0B48" w:rsidP="00D570FA">
      <w:pPr>
        <w:spacing w:before="240"/>
        <w:rPr>
          <w:color w:val="000000"/>
        </w:rPr>
      </w:pPr>
      <w:r w:rsidRPr="0017243C">
        <w:t xml:space="preserve">Applications must be submitted </w:t>
      </w:r>
      <w:r w:rsidR="00E94F83" w:rsidRPr="0017243C">
        <w:t xml:space="preserve">in accordance </w:t>
      </w:r>
      <w:r w:rsidRPr="0017243C">
        <w:t xml:space="preserve">with the </w:t>
      </w:r>
      <w:r w:rsidR="000D61C6" w:rsidRPr="0017243C">
        <w:t>c</w:t>
      </w:r>
      <w:r w:rsidRPr="0017243C">
        <w:t xml:space="preserve">oncept </w:t>
      </w:r>
      <w:r w:rsidR="000D61C6" w:rsidRPr="0017243C">
        <w:t>n</w:t>
      </w:r>
      <w:r w:rsidRPr="0017243C">
        <w:t>ote</w:t>
      </w:r>
      <w:r w:rsidR="00F47D23" w:rsidRPr="0017243C">
        <w:t xml:space="preserve"> instructions</w:t>
      </w:r>
      <w:r w:rsidRPr="0017243C">
        <w:t xml:space="preserve"> in the </w:t>
      </w:r>
      <w:r w:rsidR="000D61C6" w:rsidRPr="0017243C">
        <w:t>g</w:t>
      </w:r>
      <w:r w:rsidRPr="0017243C">
        <w:t xml:space="preserve">rant </w:t>
      </w:r>
      <w:r w:rsidR="000D61C6" w:rsidRPr="0017243C">
        <w:t>a</w:t>
      </w:r>
      <w:r w:rsidRPr="0017243C">
        <w:t xml:space="preserve">pplication </w:t>
      </w:r>
      <w:r w:rsidR="000D61C6" w:rsidRPr="0017243C">
        <w:t>f</w:t>
      </w:r>
      <w:r w:rsidRPr="0017243C">
        <w:t xml:space="preserve">orm annexed to these </w:t>
      </w:r>
      <w:r w:rsidR="000D61C6" w:rsidRPr="0017243C">
        <w:t>g</w:t>
      </w:r>
      <w:r w:rsidRPr="0017243C">
        <w:t xml:space="preserve">uidelines (Annex A). </w:t>
      </w:r>
    </w:p>
    <w:p w:rsidR="00DB0B48" w:rsidRPr="0017243C" w:rsidRDefault="0017243C" w:rsidP="0068216F">
      <w:pPr>
        <w:rPr>
          <w:color w:val="000000"/>
        </w:rPr>
      </w:pPr>
      <w:r w:rsidRPr="0017243C">
        <w:rPr>
          <w:color w:val="000000"/>
        </w:rPr>
        <w:t>Applicants must apply in English or French</w:t>
      </w:r>
      <w:r w:rsidR="00DB0B48" w:rsidRPr="0017243C">
        <w:rPr>
          <w:color w:val="000000"/>
        </w:rPr>
        <w:t>.</w:t>
      </w:r>
      <w:r w:rsidR="00264C31" w:rsidRPr="0017243C">
        <w:rPr>
          <w:color w:val="000000"/>
        </w:rPr>
        <w:t xml:space="preserve"> </w:t>
      </w:r>
      <w:r w:rsidR="008F021C" w:rsidRPr="0017243C">
        <w:rPr>
          <w:color w:val="000000"/>
        </w:rPr>
        <w:t>A</w:t>
      </w:r>
      <w:r w:rsidR="0002503B" w:rsidRPr="0017243C">
        <w:rPr>
          <w:color w:val="000000"/>
        </w:rPr>
        <w:t>pplicant</w:t>
      </w:r>
      <w:r w:rsidR="008F021C" w:rsidRPr="0017243C">
        <w:rPr>
          <w:color w:val="000000"/>
        </w:rPr>
        <w:t>s</w:t>
      </w:r>
      <w:r w:rsidR="0002503B" w:rsidRPr="0017243C">
        <w:rPr>
          <w:color w:val="000000"/>
        </w:rPr>
        <w:t xml:space="preserve"> must apply in </w:t>
      </w:r>
      <w:r w:rsidR="00F47D23" w:rsidRPr="0017243C">
        <w:rPr>
          <w:color w:val="000000"/>
        </w:rPr>
        <w:t xml:space="preserve">the </w:t>
      </w:r>
      <w:r w:rsidR="0002503B" w:rsidRPr="0017243C">
        <w:rPr>
          <w:color w:val="000000"/>
        </w:rPr>
        <w:t>language most commonly used by the target population in the country in which th</w:t>
      </w:r>
      <w:r w:rsidRPr="0017243C">
        <w:rPr>
          <w:color w:val="000000"/>
        </w:rPr>
        <w:t>e action takes place.</w:t>
      </w:r>
    </w:p>
    <w:p w:rsidR="0059137A" w:rsidRPr="0017243C" w:rsidRDefault="0059137A" w:rsidP="0068216F">
      <w:r w:rsidRPr="0017243C">
        <w:t>Please note that:</w:t>
      </w:r>
    </w:p>
    <w:p w:rsidR="0059137A" w:rsidRPr="0017243C" w:rsidRDefault="00DB0B48" w:rsidP="00F016A9">
      <w:pPr>
        <w:numPr>
          <w:ilvl w:val="0"/>
          <w:numId w:val="33"/>
        </w:numPr>
      </w:pPr>
      <w:r w:rsidRPr="0017243C">
        <w:t xml:space="preserve">In the </w:t>
      </w:r>
      <w:r w:rsidR="000D61C6" w:rsidRPr="0017243C">
        <w:t>c</w:t>
      </w:r>
      <w:r w:rsidRPr="0017243C">
        <w:t xml:space="preserve">oncept </w:t>
      </w:r>
      <w:r w:rsidR="000D61C6" w:rsidRPr="0017243C">
        <w:t>n</w:t>
      </w:r>
      <w:r w:rsidRPr="0017243C">
        <w:t xml:space="preserve">ote, </w:t>
      </w:r>
      <w:r w:rsidR="00B114D9" w:rsidRPr="0017243C">
        <w:t>lead a</w:t>
      </w:r>
      <w:r w:rsidRPr="0017243C">
        <w:t xml:space="preserve">pplicants must </w:t>
      </w:r>
      <w:r w:rsidR="00E94F83" w:rsidRPr="0017243C">
        <w:t xml:space="preserve">only </w:t>
      </w:r>
      <w:r w:rsidRPr="0017243C">
        <w:t xml:space="preserve">provide an estimate of </w:t>
      </w:r>
      <w:r w:rsidR="00E94F83" w:rsidRPr="0017243C">
        <w:t xml:space="preserve">the </w:t>
      </w:r>
      <w:r w:rsidR="002B68A5" w:rsidRPr="0017243C">
        <w:t xml:space="preserve">requested EU </w:t>
      </w:r>
      <w:r w:rsidR="00E94F83" w:rsidRPr="0017243C">
        <w:t xml:space="preserve">contribution </w:t>
      </w:r>
      <w:r w:rsidR="002B68A5" w:rsidRPr="0017243C">
        <w:t xml:space="preserve">as well as </w:t>
      </w:r>
      <w:r w:rsidR="00EE2C5A" w:rsidRPr="0017243C">
        <w:t xml:space="preserve">an indicative percentage of that contribution in relation to the </w:t>
      </w:r>
      <w:r w:rsidR="00A762B5" w:rsidRPr="0017243C">
        <w:t xml:space="preserve">eligible costs </w:t>
      </w:r>
      <w:r w:rsidR="00EE2C5A" w:rsidRPr="0017243C">
        <w:t xml:space="preserve">of the </w:t>
      </w:r>
      <w:r w:rsidR="000D61C6" w:rsidRPr="0017243C">
        <w:t>a</w:t>
      </w:r>
      <w:r w:rsidR="00EE2C5A" w:rsidRPr="0017243C">
        <w:t>ction</w:t>
      </w:r>
      <w:r w:rsidRPr="0017243C">
        <w:t xml:space="preserve">. </w:t>
      </w:r>
      <w:r w:rsidR="00A762B5" w:rsidRPr="0017243C">
        <w:t>A detailed budget is to be submitted o</w:t>
      </w:r>
      <w:r w:rsidRPr="0017243C">
        <w:t>nly</w:t>
      </w:r>
      <w:r w:rsidR="00AB5CDD" w:rsidRPr="0017243C">
        <w:t xml:space="preserve"> by</w:t>
      </w:r>
      <w:r w:rsidRPr="0017243C">
        <w:t xml:space="preserve"> the </w:t>
      </w:r>
      <w:r w:rsidR="00B114D9" w:rsidRPr="0017243C">
        <w:t xml:space="preserve">lead </w:t>
      </w:r>
      <w:r w:rsidRPr="0017243C">
        <w:t>applicant</w:t>
      </w:r>
      <w:r w:rsidR="00D751A1" w:rsidRPr="0017243C">
        <w:t>s</w:t>
      </w:r>
      <w:r w:rsidRPr="0017243C">
        <w:t xml:space="preserve"> invited to submit a full </w:t>
      </w:r>
      <w:r w:rsidR="006459C5" w:rsidRPr="0017243C">
        <w:t>application</w:t>
      </w:r>
      <w:r w:rsidRPr="0017243C">
        <w:t xml:space="preserve"> in the second phase</w:t>
      </w:r>
      <w:r w:rsidR="004B244E" w:rsidRPr="0017243C">
        <w:t>.</w:t>
      </w:r>
      <w:r w:rsidRPr="0017243C">
        <w:t xml:space="preserve"> </w:t>
      </w:r>
    </w:p>
    <w:p w:rsidR="007E4F56" w:rsidRPr="0017243C" w:rsidRDefault="008A5CD8" w:rsidP="00F016A9">
      <w:pPr>
        <w:numPr>
          <w:ilvl w:val="0"/>
          <w:numId w:val="33"/>
        </w:numPr>
      </w:pPr>
      <w:r w:rsidRPr="0017243C">
        <w:t xml:space="preserve">The elements </w:t>
      </w:r>
      <w:r w:rsidR="002A0BA0" w:rsidRPr="0017243C">
        <w:t>outlined in</w:t>
      </w:r>
      <w:r w:rsidRPr="0017243C">
        <w:t xml:space="preserve"> the </w:t>
      </w:r>
      <w:r w:rsidR="000D61C6" w:rsidRPr="0017243C">
        <w:t>c</w:t>
      </w:r>
      <w:r w:rsidRPr="0017243C">
        <w:t xml:space="preserve">oncept </w:t>
      </w:r>
      <w:r w:rsidR="000D61C6" w:rsidRPr="0017243C">
        <w:t>n</w:t>
      </w:r>
      <w:r w:rsidRPr="0017243C">
        <w:t xml:space="preserve">ote may not be modified in the full application. </w:t>
      </w:r>
      <w:r w:rsidR="00030E42" w:rsidRPr="0017243C">
        <w:t xml:space="preserve">The EU contribution </w:t>
      </w:r>
      <w:r w:rsidR="00DB0B48" w:rsidRPr="0017243C">
        <w:t>may not vary from the initial estimate by more than 20</w:t>
      </w:r>
      <w:r w:rsidR="00A016F9" w:rsidRPr="0017243C">
        <w:rPr>
          <w:w w:val="50"/>
        </w:rPr>
        <w:t> </w:t>
      </w:r>
      <w:r w:rsidR="00DB0B48" w:rsidRPr="0017243C">
        <w:t>%</w:t>
      </w:r>
      <w:r w:rsidR="004B244E" w:rsidRPr="0017243C">
        <w:t xml:space="preserve">. </w:t>
      </w:r>
      <w:r w:rsidR="00B114D9" w:rsidRPr="0017243C">
        <w:t>Lead a</w:t>
      </w:r>
      <w:r w:rsidR="00B34A8F" w:rsidRPr="0017243C">
        <w:t xml:space="preserve">pplicants are </w:t>
      </w:r>
      <w:r w:rsidR="00DB0B48" w:rsidRPr="0017243C">
        <w:t xml:space="preserve">free to adapt the percentage of co-financing required </w:t>
      </w:r>
      <w:r w:rsidR="00237938" w:rsidRPr="0017243C">
        <w:t xml:space="preserve">within </w:t>
      </w:r>
      <w:r w:rsidR="00DB0B48" w:rsidRPr="0017243C">
        <w:t xml:space="preserve">the minimum and maximum amount </w:t>
      </w:r>
      <w:r w:rsidR="006B5799" w:rsidRPr="0017243C">
        <w:t xml:space="preserve">and percentages </w:t>
      </w:r>
      <w:r w:rsidR="00DB0B48" w:rsidRPr="0017243C">
        <w:t>of co-finan</w:t>
      </w:r>
      <w:r w:rsidR="00045E79" w:rsidRPr="0017243C">
        <w:t>cing, as laid down in the</w:t>
      </w:r>
      <w:r w:rsidR="002A0BA0" w:rsidRPr="0017243C">
        <w:t>se</w:t>
      </w:r>
      <w:r w:rsidR="00045E79" w:rsidRPr="0017243C">
        <w:t xml:space="preserve"> </w:t>
      </w:r>
      <w:r w:rsidR="000D61C6" w:rsidRPr="0017243C">
        <w:t>g</w:t>
      </w:r>
      <w:r w:rsidR="00045E79" w:rsidRPr="0017243C">
        <w:t>uidelines</w:t>
      </w:r>
      <w:r w:rsidR="006B5799" w:rsidRPr="0017243C">
        <w:t xml:space="preserve"> </w:t>
      </w:r>
      <w:r w:rsidR="002A0BA0" w:rsidRPr="0017243C">
        <w:t>in</w:t>
      </w:r>
      <w:r w:rsidR="006B5799" w:rsidRPr="0017243C">
        <w:t xml:space="preserve"> </w:t>
      </w:r>
      <w:r w:rsidR="00853E40" w:rsidRPr="0017243C">
        <w:t>S</w:t>
      </w:r>
      <w:r w:rsidR="006B5799" w:rsidRPr="0017243C">
        <w:t>ection 1.</w:t>
      </w:r>
      <w:r w:rsidR="00896ECA" w:rsidRPr="0017243C">
        <w:t>3</w:t>
      </w:r>
      <w:r w:rsidR="001B6F5A" w:rsidRPr="0017243C">
        <w:t>.</w:t>
      </w:r>
      <w:r w:rsidR="007E4F56" w:rsidRPr="0017243C">
        <w:rPr>
          <w:iCs/>
          <w:color w:val="1F497D"/>
        </w:rPr>
        <w:t xml:space="preserve"> </w:t>
      </w:r>
      <w:r w:rsidR="007E4F56" w:rsidRPr="0017243C">
        <w:rPr>
          <w:iCs/>
          <w:color w:val="000000"/>
        </w:rPr>
        <w:t xml:space="preserve">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w:t>
      </w:r>
      <w:r w:rsidR="007E4F56" w:rsidRPr="0017243C">
        <w:rPr>
          <w:iCs/>
          <w:color w:val="000000"/>
        </w:rPr>
        <w:lastRenderedPageBreak/>
        <w:t>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r w:rsidR="00B97B95" w:rsidRPr="0017243C">
        <w:t xml:space="preserve"> </w:t>
      </w:r>
    </w:p>
    <w:p w:rsidR="00DB0B48" w:rsidRPr="0017243C" w:rsidRDefault="00B97B95" w:rsidP="00951BF6">
      <w:pPr>
        <w:ind w:left="709"/>
        <w:rPr>
          <w:color w:val="000000"/>
        </w:rPr>
      </w:pPr>
      <w:r w:rsidRPr="0017243C">
        <w:t>Own contributions by the applicants can be replaced by other donors</w:t>
      </w:r>
      <w:r w:rsidR="006507EF" w:rsidRPr="0017243C">
        <w:t>'</w:t>
      </w:r>
      <w:r w:rsidRPr="0017243C">
        <w:t xml:space="preserve"> contributions at any time.</w:t>
      </w:r>
    </w:p>
    <w:p w:rsidR="0059137A" w:rsidRPr="0017243C" w:rsidRDefault="002B68A5" w:rsidP="00F016A9">
      <w:pPr>
        <w:numPr>
          <w:ilvl w:val="0"/>
          <w:numId w:val="33"/>
        </w:numPr>
        <w:rPr>
          <w:snapToGrid/>
          <w:color w:val="000000"/>
          <w:lang w:eastAsia="en-GB"/>
        </w:rPr>
      </w:pPr>
      <w:r w:rsidRPr="0017243C">
        <w:rPr>
          <w:snapToGrid/>
          <w:color w:val="000000"/>
          <w:lang w:eastAsia="en-GB"/>
        </w:rPr>
        <w:t>O</w:t>
      </w:r>
      <w:r w:rsidR="0059137A" w:rsidRPr="0017243C">
        <w:rPr>
          <w:snapToGrid/>
          <w:color w:val="000000"/>
          <w:lang w:eastAsia="en-GB"/>
        </w:rPr>
        <w:t>nly the concept note form will be evaluated. It is therefore of utmost importance that this document contains ALL relevant information concerning the action. No additional annexes should be sent.</w:t>
      </w:r>
    </w:p>
    <w:p w:rsidR="00DB0B48" w:rsidRPr="0017243C" w:rsidRDefault="00DB0B48" w:rsidP="0068216F">
      <w:pPr>
        <w:rPr>
          <w:color w:val="000000"/>
        </w:rPr>
      </w:pPr>
      <w:r w:rsidRPr="0017243C">
        <w:rPr>
          <w:color w:val="000000"/>
        </w:rPr>
        <w:t xml:space="preserve">Any error or major discrepancy related to the </w:t>
      </w:r>
      <w:r w:rsidR="000D61C6" w:rsidRPr="0017243C">
        <w:rPr>
          <w:color w:val="000000"/>
        </w:rPr>
        <w:t>c</w:t>
      </w:r>
      <w:r w:rsidRPr="0017243C">
        <w:rPr>
          <w:color w:val="000000"/>
        </w:rPr>
        <w:t xml:space="preserve">oncept </w:t>
      </w:r>
      <w:r w:rsidR="000D61C6" w:rsidRPr="0017243C">
        <w:rPr>
          <w:color w:val="000000"/>
        </w:rPr>
        <w:t>n</w:t>
      </w:r>
      <w:r w:rsidRPr="0017243C">
        <w:rPr>
          <w:color w:val="000000"/>
        </w:rPr>
        <w:t xml:space="preserve">ote </w:t>
      </w:r>
      <w:r w:rsidR="002A0BA0" w:rsidRPr="0017243C">
        <w:rPr>
          <w:color w:val="000000"/>
        </w:rPr>
        <w:t xml:space="preserve">instructions </w:t>
      </w:r>
      <w:r w:rsidRPr="0017243C">
        <w:rPr>
          <w:color w:val="000000"/>
        </w:rPr>
        <w:t xml:space="preserve">may lead to the rejection of the </w:t>
      </w:r>
      <w:r w:rsidR="000D61C6" w:rsidRPr="0017243C">
        <w:rPr>
          <w:color w:val="000000"/>
        </w:rPr>
        <w:t>c</w:t>
      </w:r>
      <w:r w:rsidRPr="0017243C">
        <w:rPr>
          <w:color w:val="000000"/>
        </w:rPr>
        <w:t xml:space="preserve">oncept </w:t>
      </w:r>
      <w:r w:rsidR="000D61C6" w:rsidRPr="0017243C">
        <w:rPr>
          <w:color w:val="000000"/>
        </w:rPr>
        <w:t>n</w:t>
      </w:r>
      <w:r w:rsidRPr="0017243C">
        <w:rPr>
          <w:color w:val="000000"/>
        </w:rPr>
        <w:t>ote.</w:t>
      </w:r>
    </w:p>
    <w:p w:rsidR="00DB0B48" w:rsidRPr="0017243C" w:rsidRDefault="00DB0B48" w:rsidP="0068216F">
      <w:r w:rsidRPr="0017243C">
        <w:rPr>
          <w:color w:val="000000"/>
        </w:rPr>
        <w:t xml:space="preserve">Clarifications will only be requested when information provided is </w:t>
      </w:r>
      <w:r w:rsidR="006E09FB" w:rsidRPr="0017243C">
        <w:rPr>
          <w:color w:val="000000"/>
        </w:rPr>
        <w:t>not sufficient to conduct</w:t>
      </w:r>
      <w:r w:rsidRPr="0017243C">
        <w:rPr>
          <w:color w:val="000000"/>
        </w:rPr>
        <w:t xml:space="preserve"> an objective assessment. </w:t>
      </w:r>
    </w:p>
    <w:p w:rsidR="00DB0B48" w:rsidRPr="0017243C" w:rsidRDefault="00DB0B48" w:rsidP="0068216F">
      <w:r w:rsidRPr="00726393">
        <w:t>Hand-written</w:t>
      </w:r>
      <w:r w:rsidRPr="0017243C">
        <w:t xml:space="preserve"> </w:t>
      </w:r>
      <w:r w:rsidR="000D61C6" w:rsidRPr="0017243C">
        <w:t>c</w:t>
      </w:r>
      <w:r w:rsidRPr="0017243C">
        <w:t xml:space="preserve">oncept </w:t>
      </w:r>
      <w:r w:rsidR="000D61C6" w:rsidRPr="0017243C">
        <w:t>n</w:t>
      </w:r>
      <w:r w:rsidRPr="0017243C">
        <w:t>otes will not be accepted.</w:t>
      </w:r>
    </w:p>
    <w:p w:rsidR="008B4806" w:rsidRPr="0017243C" w:rsidRDefault="008B4806" w:rsidP="004B7BC2">
      <w:pPr>
        <w:pStyle w:val="Guidelines3"/>
      </w:pPr>
      <w:bookmarkStart w:id="18" w:name="_Toc125454353"/>
      <w:bookmarkStart w:id="19" w:name="_Toc1059736"/>
      <w:r w:rsidRPr="0017243C">
        <w:t>Where and how to send</w:t>
      </w:r>
      <w:r w:rsidR="000D61C6" w:rsidRPr="0017243C">
        <w:t xml:space="preserve"> c</w:t>
      </w:r>
      <w:r w:rsidRPr="0017243C">
        <w:t xml:space="preserve">oncept </w:t>
      </w:r>
      <w:r w:rsidR="000D61C6" w:rsidRPr="0017243C">
        <w:t>n</w:t>
      </w:r>
      <w:r w:rsidRPr="0017243C">
        <w:t>otes</w:t>
      </w:r>
      <w:bookmarkEnd w:id="18"/>
      <w:bookmarkEnd w:id="19"/>
    </w:p>
    <w:p w:rsidR="00F418BB" w:rsidRDefault="00F418BB" w:rsidP="00F418BB">
      <w:pPr>
        <w:spacing w:before="240"/>
      </w:pPr>
      <w:bookmarkStart w:id="20" w:name="_Toc125454354"/>
      <w:r>
        <w:t xml:space="preserve">The concept note together with the declaration by the lead applicant (Annex A.1 section 2) </w:t>
      </w:r>
      <w:r w:rsidRPr="00A155AD">
        <w:rPr>
          <w:b/>
        </w:rPr>
        <w:t>must be submitted online via PROSPECT</w:t>
      </w:r>
      <w:r>
        <w:t xml:space="preserve"> </w:t>
      </w:r>
      <w:hyperlink r:id="rId19" w:history="1">
        <w:r w:rsidRPr="002542A8">
          <w:rPr>
            <w:rStyle w:val="Hyperlink"/>
          </w:rPr>
          <w:t>https://webgate.ec.europa.eu/europeaid/prospect</w:t>
        </w:r>
      </w:hyperlink>
      <w:r>
        <w:t xml:space="preserve"> following the instructions given in the PROSPECT user manual.</w:t>
      </w:r>
    </w:p>
    <w:p w:rsidR="00F418BB" w:rsidRDefault="00F418BB" w:rsidP="00F418BB">
      <w:r>
        <w:t xml:space="preserve">Upon submission of a concept note online, the lead applicant will receive an automatic confirmation of receipt in its PROSPECT profile. </w:t>
      </w:r>
    </w:p>
    <w:p w:rsidR="00F418BB" w:rsidRPr="00681286" w:rsidRDefault="00F418BB" w:rsidP="00F418BB">
      <w:pPr>
        <w:spacing w:after="360"/>
      </w:pPr>
      <w:r w:rsidRPr="009E1FDA">
        <w:rPr>
          <w:b/>
          <w:u w:val="single"/>
        </w:rPr>
        <w:t>Please note that incomplete concept notes may be rejected.</w:t>
      </w:r>
      <w:r w:rsidRPr="00681286">
        <w:t xml:space="preserve"> Lead applicants are advised to verify that their concept note is complete by using the checklist for concept note (Annex A.1, Instructions).</w:t>
      </w:r>
    </w:p>
    <w:p w:rsidR="008B4806" w:rsidRPr="004E7253" w:rsidRDefault="008B4806" w:rsidP="004B7BC2">
      <w:pPr>
        <w:pStyle w:val="Guidelines3"/>
      </w:pPr>
      <w:bookmarkStart w:id="21" w:name="_Toc1059737"/>
      <w:r w:rsidRPr="004E7253">
        <w:t xml:space="preserve">Deadline for </w:t>
      </w:r>
      <w:r w:rsidR="005C3B40" w:rsidRPr="004E7253">
        <w:t xml:space="preserve">submission </w:t>
      </w:r>
      <w:r w:rsidRPr="004E7253">
        <w:t xml:space="preserve">of </w:t>
      </w:r>
      <w:r w:rsidR="005A0945" w:rsidRPr="004E7253">
        <w:t>c</w:t>
      </w:r>
      <w:r w:rsidRPr="004E7253">
        <w:t xml:space="preserve">oncept </w:t>
      </w:r>
      <w:r w:rsidR="005A0945" w:rsidRPr="004E7253">
        <w:t>n</w:t>
      </w:r>
      <w:r w:rsidRPr="004E7253">
        <w:t>otes</w:t>
      </w:r>
      <w:bookmarkEnd w:id="20"/>
      <w:bookmarkEnd w:id="21"/>
      <w:r w:rsidRPr="004E7253">
        <w:t xml:space="preserve"> </w:t>
      </w:r>
    </w:p>
    <w:p w:rsidR="0022530F" w:rsidRDefault="0022530F" w:rsidP="0022530F">
      <w:pPr>
        <w:spacing w:before="240"/>
      </w:pPr>
      <w:r>
        <w:t xml:space="preserve">The deadline for the submission of concept notes is 04/06/2019 at 12:00 (Brussels date and time). In order to convert this deadline to local time you can use any online time converter tool that takes into account timezones and winter/summer time changes (example available </w:t>
      </w:r>
      <w:r w:rsidRPr="0022530F">
        <w:rPr>
          <w:b/>
        </w:rPr>
        <w:t>here</w:t>
      </w:r>
      <w:r>
        <w:rPr>
          <w:rStyle w:val="af6"/>
        </w:rPr>
        <w:footnoteReference w:id="24"/>
      </w:r>
      <w:r>
        <w:t xml:space="preserve">). </w:t>
      </w:r>
      <w:r w:rsidRPr="0022530F">
        <w:rPr>
          <w:b/>
        </w:rPr>
        <w:t>The lead applicant is strongly advised not to wait until the last day to submit</w:t>
      </w:r>
      <w:r>
        <w:t xml:space="preserve"> its concept note, since heavy Internet traffic or a fault with the Internet connection (including electricity failure, etc.) could lead to difficulties in submission. The Contacting Authority cannot be held responsible for any delay due to such afore-mentioned difficulties. </w:t>
      </w:r>
    </w:p>
    <w:p w:rsidR="0022530F" w:rsidRDefault="0022530F" w:rsidP="0022530F">
      <w:r>
        <w:t xml:space="preserve">Any concept note submitted after the deadline will be rejected. </w:t>
      </w:r>
    </w:p>
    <w:p w:rsidR="008C3F01" w:rsidRPr="008C3F01" w:rsidRDefault="008B4806" w:rsidP="0068216F">
      <w:pPr>
        <w:pStyle w:val="Guidelines3"/>
      </w:pPr>
      <w:bookmarkStart w:id="22" w:name="_Toc125454355"/>
      <w:bookmarkStart w:id="23" w:name="_Toc1059738"/>
      <w:r w:rsidRPr="008C3F01">
        <w:t>Further information</w:t>
      </w:r>
      <w:bookmarkEnd w:id="22"/>
      <w:r w:rsidR="00CF7BEF" w:rsidRPr="008C3F01">
        <w:t xml:space="preserve"> </w:t>
      </w:r>
      <w:r w:rsidR="00E3173F" w:rsidRPr="008C3F01">
        <w:t xml:space="preserve">about </w:t>
      </w:r>
      <w:r w:rsidR="005A0945" w:rsidRPr="008C3F01">
        <w:t>c</w:t>
      </w:r>
      <w:r w:rsidR="00CF7BEF" w:rsidRPr="008C3F01">
        <w:t xml:space="preserve">oncept </w:t>
      </w:r>
      <w:r w:rsidR="005A0945" w:rsidRPr="008C3F01">
        <w:t>n</w:t>
      </w:r>
      <w:r w:rsidR="00CF7BEF" w:rsidRPr="008C3F01">
        <w:t>ote</w:t>
      </w:r>
      <w:r w:rsidR="00CB6E77" w:rsidRPr="008C3F01">
        <w:t>s</w:t>
      </w:r>
      <w:bookmarkEnd w:id="23"/>
    </w:p>
    <w:p w:rsidR="008B4806" w:rsidRPr="008C3F01" w:rsidRDefault="008B4806" w:rsidP="0022530F">
      <w:pPr>
        <w:spacing w:before="240"/>
      </w:pPr>
      <w:r w:rsidRPr="008C3F01">
        <w:t xml:space="preserve">Questions may be sent by e-mail no later than 21 days before the deadline for the </w:t>
      </w:r>
      <w:r w:rsidR="00934768" w:rsidRPr="008C3F01">
        <w:t>submission</w:t>
      </w:r>
      <w:r w:rsidRPr="008C3F01">
        <w:t xml:space="preserve"> of </w:t>
      </w:r>
      <w:r w:rsidR="005A0945" w:rsidRPr="008C3F01">
        <w:t>c</w:t>
      </w:r>
      <w:r w:rsidRPr="008C3F01">
        <w:t xml:space="preserve">oncept </w:t>
      </w:r>
      <w:r w:rsidR="005A0945" w:rsidRPr="008C3F01">
        <w:t>n</w:t>
      </w:r>
      <w:r w:rsidRPr="008C3F01">
        <w:t>otes to the address(es)</w:t>
      </w:r>
      <w:r w:rsidR="00023576" w:rsidRPr="008C3F01">
        <w:t xml:space="preserve"> below</w:t>
      </w:r>
      <w:r w:rsidRPr="008C3F01">
        <w:t xml:space="preserve">, indicating clearly the reference of the </w:t>
      </w:r>
      <w:r w:rsidR="005A0945" w:rsidRPr="008C3F01">
        <w:t>c</w:t>
      </w:r>
      <w:r w:rsidR="001D0C7B" w:rsidRPr="008C3F01">
        <w:t xml:space="preserve">all for </w:t>
      </w:r>
      <w:r w:rsidR="005A0945" w:rsidRPr="008C3F01">
        <w:t>p</w:t>
      </w:r>
      <w:r w:rsidR="001D0C7B" w:rsidRPr="008C3F01">
        <w:t>roposals</w:t>
      </w:r>
      <w:r w:rsidRPr="008C3F01">
        <w:t>:</w:t>
      </w:r>
    </w:p>
    <w:p w:rsidR="008B4806" w:rsidRPr="008F0684" w:rsidRDefault="008B4806" w:rsidP="0068216F">
      <w:pPr>
        <w:ind w:left="567"/>
        <w:rPr>
          <w:b/>
        </w:rPr>
      </w:pPr>
      <w:r w:rsidRPr="00F168F3">
        <w:t>E-mail address:</w:t>
      </w:r>
      <w:r w:rsidR="00F168F3">
        <w:t xml:space="preserve"> </w:t>
      </w:r>
      <w:r w:rsidR="00F168F3" w:rsidRPr="008F0684">
        <w:rPr>
          <w:b/>
        </w:rPr>
        <w:t>NEAR-ENI-SOUTH-TENDERS@ec.europa.eu</w:t>
      </w:r>
    </w:p>
    <w:p w:rsidR="002128D0" w:rsidRPr="008C3F01" w:rsidRDefault="002128D0" w:rsidP="0068216F">
      <w:r w:rsidRPr="008C3F01">
        <w:t xml:space="preserve">The </w:t>
      </w:r>
      <w:r w:rsidR="00AA0B45" w:rsidRPr="008C3F01">
        <w:t>c</w:t>
      </w:r>
      <w:r w:rsidRPr="008C3F01">
        <w:t xml:space="preserve">ontracting </w:t>
      </w:r>
      <w:r w:rsidR="00AA0B45" w:rsidRPr="008C3F01">
        <w:t>a</w:t>
      </w:r>
      <w:r w:rsidRPr="008C3F01">
        <w:t>uthority has no obligation to provide clarifications</w:t>
      </w:r>
      <w:r w:rsidR="007C4720" w:rsidRPr="008C3F01">
        <w:t xml:space="preserve"> to questions received </w:t>
      </w:r>
      <w:r w:rsidRPr="008C3F01">
        <w:t>after this date.</w:t>
      </w:r>
    </w:p>
    <w:p w:rsidR="008B4806" w:rsidRPr="008C3F01" w:rsidRDefault="008B4806" w:rsidP="0068216F">
      <w:r w:rsidRPr="008C3F01">
        <w:t xml:space="preserve">Replies will be given no later than 11 days before the deadline for </w:t>
      </w:r>
      <w:r w:rsidR="00CA6D19" w:rsidRPr="008C3F01">
        <w:t xml:space="preserve">submission </w:t>
      </w:r>
      <w:r w:rsidRPr="008C3F01">
        <w:t xml:space="preserve">of </w:t>
      </w:r>
      <w:r w:rsidR="005A0945" w:rsidRPr="008C3F01">
        <w:t>c</w:t>
      </w:r>
      <w:r w:rsidRPr="008C3F01">
        <w:t xml:space="preserve">oncept </w:t>
      </w:r>
      <w:r w:rsidR="005A0945" w:rsidRPr="008C3F01">
        <w:t>n</w:t>
      </w:r>
      <w:r w:rsidRPr="008C3F01">
        <w:t xml:space="preserve">otes. </w:t>
      </w:r>
    </w:p>
    <w:p w:rsidR="008B4806" w:rsidRPr="008C3F01" w:rsidRDefault="00023576" w:rsidP="0068216F">
      <w:r w:rsidRPr="008C3F01">
        <w:lastRenderedPageBreak/>
        <w:t>To ensure</w:t>
      </w:r>
      <w:r w:rsidR="008B4806" w:rsidRPr="008C3F01">
        <w:t xml:space="preserve"> equal treatment of applicants, the </w:t>
      </w:r>
      <w:r w:rsidR="005A0945" w:rsidRPr="008C3F01">
        <w:t>c</w:t>
      </w:r>
      <w:r w:rsidR="008B4806" w:rsidRPr="008C3F01">
        <w:t xml:space="preserve">ontracting </w:t>
      </w:r>
      <w:r w:rsidR="005A0945" w:rsidRPr="008C3F01">
        <w:t>a</w:t>
      </w:r>
      <w:r w:rsidR="008B4806" w:rsidRPr="008C3F01">
        <w:t xml:space="preserve">uthority cannot give a prior opinion on the eligibility of </w:t>
      </w:r>
      <w:r w:rsidR="00B114D9" w:rsidRPr="008C3F01">
        <w:t>lead a</w:t>
      </w:r>
      <w:r w:rsidR="008B4806" w:rsidRPr="008C3F01">
        <w:t>pplicant</w:t>
      </w:r>
      <w:r w:rsidR="009901E5" w:rsidRPr="008C3F01">
        <w:t>s</w:t>
      </w:r>
      <w:r w:rsidR="008B4806" w:rsidRPr="008C3F01">
        <w:t xml:space="preserve">, </w:t>
      </w:r>
      <w:r w:rsidR="005A0945" w:rsidRPr="008C3F01">
        <w:t>c</w:t>
      </w:r>
      <w:r w:rsidR="00C662CC" w:rsidRPr="008C3F01">
        <w:t xml:space="preserve">o-applicants, </w:t>
      </w:r>
      <w:r w:rsidR="009901E5" w:rsidRPr="008C3F01">
        <w:t>affiliated entity(ies)</w:t>
      </w:r>
      <w:r w:rsidR="008B12C7" w:rsidRPr="008C3F01">
        <w:t>,</w:t>
      </w:r>
      <w:r w:rsidR="008B4806" w:rsidRPr="008C3F01">
        <w:t xml:space="preserve"> </w:t>
      </w:r>
      <w:r w:rsidR="0068216F" w:rsidRPr="008C3F01">
        <w:t>an</w:t>
      </w:r>
      <w:r w:rsidR="008B4806" w:rsidRPr="008C3F01">
        <w:t xml:space="preserve"> action</w:t>
      </w:r>
      <w:r w:rsidR="008B12C7" w:rsidRPr="008C3F01">
        <w:t xml:space="preserve"> or specific activities</w:t>
      </w:r>
      <w:r w:rsidR="008B4806" w:rsidRPr="008C3F01">
        <w:t>.</w:t>
      </w:r>
    </w:p>
    <w:p w:rsidR="002128D0" w:rsidRDefault="00C52EA8" w:rsidP="0068216F">
      <w:r w:rsidRPr="008C3F01">
        <w:t xml:space="preserve">No individual replies will be given to questions. All questions and answers as well as other important notices to applicants during the course of the evaluation procedure </w:t>
      </w:r>
      <w:r w:rsidR="005649CD" w:rsidRPr="008C3F01">
        <w:t xml:space="preserve">will </w:t>
      </w:r>
      <w:r w:rsidR="008B4806" w:rsidRPr="008C3F01">
        <w:t>be published on the</w:t>
      </w:r>
      <w:r w:rsidR="001249D9" w:rsidRPr="008C3F01">
        <w:t xml:space="preserve"> </w:t>
      </w:r>
      <w:r w:rsidR="003956DF" w:rsidRPr="008C3F01">
        <w:t>website</w:t>
      </w:r>
      <w:r w:rsidR="001249D9" w:rsidRPr="008C3F01">
        <w:t xml:space="preserve"> of DG International Cooperation and Development:</w:t>
      </w:r>
      <w:r w:rsidR="003956DF" w:rsidRPr="008C3F01">
        <w:t xml:space="preserve"> </w:t>
      </w:r>
      <w:hyperlink r:id="rId20" w:history="1">
        <w:r w:rsidR="003A2107" w:rsidRPr="008C3F01">
          <w:rPr>
            <w:rStyle w:val="Hyperlink"/>
          </w:rPr>
          <w:t>https://webgate.ec.europa.eu/europeaid/online-services/index.cfm?do=publi.welcome</w:t>
        </w:r>
      </w:hyperlink>
      <w:r w:rsidR="008C3F01" w:rsidRPr="008C3F01">
        <w:t xml:space="preserve"> , </w:t>
      </w:r>
      <w:r w:rsidR="001A3322" w:rsidRPr="008C3F01">
        <w:t>as the need arises</w:t>
      </w:r>
      <w:r w:rsidR="008B4806" w:rsidRPr="008C3F01">
        <w:t>.</w:t>
      </w:r>
      <w:r w:rsidR="002128D0" w:rsidRPr="008C3F01">
        <w:t xml:space="preserve"> It is therefore </w:t>
      </w:r>
      <w:r w:rsidR="005649CD" w:rsidRPr="008C3F01">
        <w:t>advisable</w:t>
      </w:r>
      <w:r w:rsidR="002128D0" w:rsidRPr="008C3F01">
        <w:t xml:space="preserve"> to consult the abovementioned website</w:t>
      </w:r>
      <w:r w:rsidR="005649CD" w:rsidRPr="008C3F01">
        <w:t xml:space="preserve"> regularly</w:t>
      </w:r>
      <w:r w:rsidR="002128D0" w:rsidRPr="008C3F01">
        <w:t xml:space="preserve"> in order to be informed of the questions and answers published.</w:t>
      </w:r>
    </w:p>
    <w:p w:rsidR="0022530F" w:rsidRPr="00807DAF" w:rsidRDefault="0022530F" w:rsidP="0068216F">
      <w:r>
        <w:rPr>
          <w:szCs w:val="22"/>
        </w:rPr>
        <w:t xml:space="preserve">All questions related to registration in PADOR or the online submission via PROSPECT should be addressed to the IT helpdesk at </w:t>
      </w:r>
      <w:hyperlink r:id="rId21" w:history="1">
        <w:r w:rsidRPr="002139B0">
          <w:rPr>
            <w:rStyle w:val="Hyperlink"/>
            <w:szCs w:val="22"/>
          </w:rPr>
          <w:t>EuropeAid-IT-support@ec.europa.eu</w:t>
        </w:r>
      </w:hyperlink>
      <w:r>
        <w:rPr>
          <w:szCs w:val="22"/>
        </w:rPr>
        <w:t xml:space="preserve"> </w:t>
      </w:r>
      <w:r>
        <w:rPr>
          <w:b/>
          <w:bCs/>
          <w:szCs w:val="22"/>
        </w:rPr>
        <w:t xml:space="preserve">via the online support form in PROSPECT: </w:t>
      </w:r>
      <w:r>
        <w:rPr>
          <w:szCs w:val="22"/>
        </w:rPr>
        <w:t>Please note that the working languages of the IT support are: English French and Spanish. Therefore users are invited to send their questions in English, French or Spanish should they wish to benefit from an optimum response time.</w:t>
      </w:r>
    </w:p>
    <w:p w:rsidR="008B4806" w:rsidRPr="008C3F01" w:rsidRDefault="00E64637" w:rsidP="004B7BC2">
      <w:pPr>
        <w:pStyle w:val="Guidelines3"/>
      </w:pPr>
      <w:bookmarkStart w:id="24" w:name="_Toc1059739"/>
      <w:bookmarkStart w:id="25" w:name="_Toc125454356"/>
      <w:r w:rsidRPr="008C3F01">
        <w:t xml:space="preserve">Full </w:t>
      </w:r>
      <w:r w:rsidR="005A0945" w:rsidRPr="008C3F01">
        <w:t>a</w:t>
      </w:r>
      <w:r w:rsidR="008B4806" w:rsidRPr="008C3F01">
        <w:t>pplication</w:t>
      </w:r>
      <w:r w:rsidR="005A0945" w:rsidRPr="008C3F01">
        <w:t>s</w:t>
      </w:r>
      <w:bookmarkEnd w:id="24"/>
      <w:r w:rsidR="008B4806" w:rsidRPr="008C3F01">
        <w:t xml:space="preserve"> </w:t>
      </w:r>
      <w:bookmarkEnd w:id="25"/>
    </w:p>
    <w:p w:rsidR="008B4806" w:rsidRPr="008C3F01" w:rsidRDefault="00B114D9" w:rsidP="00203ABF">
      <w:pPr>
        <w:spacing w:before="240"/>
        <w:rPr>
          <w:color w:val="000000"/>
        </w:rPr>
      </w:pPr>
      <w:r w:rsidRPr="008C3F01">
        <w:t>Lead a</w:t>
      </w:r>
      <w:r w:rsidR="008B4806" w:rsidRPr="008C3F01">
        <w:t>pplicant</w:t>
      </w:r>
      <w:r w:rsidR="005A0945" w:rsidRPr="008C3F01">
        <w:t>s</w:t>
      </w:r>
      <w:r w:rsidR="008B4806" w:rsidRPr="008C3F01">
        <w:t xml:space="preserve"> invited to submit a full application following </w:t>
      </w:r>
      <w:r w:rsidR="001A3322" w:rsidRPr="008C3F01">
        <w:t>pre-selection of the</w:t>
      </w:r>
      <w:r w:rsidR="005649CD" w:rsidRPr="008C3F01">
        <w:t>ir</w:t>
      </w:r>
      <w:r w:rsidR="001A3322" w:rsidRPr="008C3F01">
        <w:t xml:space="preserve"> </w:t>
      </w:r>
      <w:r w:rsidR="005A0945" w:rsidRPr="008C3F01">
        <w:t>c</w:t>
      </w:r>
      <w:r w:rsidR="001A3322" w:rsidRPr="008C3F01">
        <w:t>on</w:t>
      </w:r>
      <w:r w:rsidR="006E2FAE" w:rsidRPr="008C3F01">
        <w:t>c</w:t>
      </w:r>
      <w:r w:rsidR="001A3322" w:rsidRPr="008C3F01">
        <w:t xml:space="preserve">ept </w:t>
      </w:r>
      <w:r w:rsidR="005A0945" w:rsidRPr="008C3F01">
        <w:t>n</w:t>
      </w:r>
      <w:r w:rsidR="001A3322" w:rsidRPr="008C3F01">
        <w:t xml:space="preserve">ote </w:t>
      </w:r>
      <w:r w:rsidR="008B4806" w:rsidRPr="008C3F01">
        <w:t xml:space="preserve">must do so using </w:t>
      </w:r>
      <w:r w:rsidR="00227148" w:rsidRPr="008C3F01">
        <w:t xml:space="preserve">the </w:t>
      </w:r>
      <w:r w:rsidR="005A0945" w:rsidRPr="008C3F01">
        <w:t xml:space="preserve">grant </w:t>
      </w:r>
      <w:r w:rsidR="008B4806" w:rsidRPr="008C3F01">
        <w:t xml:space="preserve">application form annexed to these </w:t>
      </w:r>
      <w:r w:rsidR="005A0945" w:rsidRPr="008C3F01">
        <w:t>g</w:t>
      </w:r>
      <w:r w:rsidR="008B4806" w:rsidRPr="008C3F01">
        <w:t xml:space="preserve">uidelines (Annex </w:t>
      </w:r>
      <w:r w:rsidR="00227148" w:rsidRPr="008C3F01">
        <w:t>A</w:t>
      </w:r>
      <w:r w:rsidR="008B4806" w:rsidRPr="008C3F01">
        <w:t xml:space="preserve">). </w:t>
      </w:r>
      <w:r w:rsidRPr="008C3F01">
        <w:t>Lead a</w:t>
      </w:r>
      <w:r w:rsidR="008B4806" w:rsidRPr="008C3F01">
        <w:t>pplicants should</w:t>
      </w:r>
      <w:r w:rsidR="009901E5" w:rsidRPr="008C3F01">
        <w:t xml:space="preserve"> then</w:t>
      </w:r>
      <w:r w:rsidR="008B4806" w:rsidRPr="008C3F01">
        <w:t xml:space="preserve"> keep strictly to the format of the </w:t>
      </w:r>
      <w:r w:rsidR="005A0945" w:rsidRPr="008C3F01">
        <w:t xml:space="preserve">grant </w:t>
      </w:r>
      <w:r w:rsidR="008B4806" w:rsidRPr="008C3F01">
        <w:t>application</w:t>
      </w:r>
      <w:r w:rsidR="001A3322" w:rsidRPr="008C3F01">
        <w:t xml:space="preserve"> form</w:t>
      </w:r>
      <w:r w:rsidR="008B4806" w:rsidRPr="008C3F01">
        <w:t xml:space="preserve"> and fill in the paragraphs and pages in order.</w:t>
      </w:r>
    </w:p>
    <w:p w:rsidR="007E4F56" w:rsidRPr="008C3F01" w:rsidRDefault="008B4806" w:rsidP="00951BF6">
      <w:pPr>
        <w:rPr>
          <w:color w:val="000000"/>
        </w:rPr>
      </w:pPr>
      <w:r w:rsidRPr="008C3F01">
        <w:rPr>
          <w:color w:val="000000"/>
        </w:rPr>
        <w:t xml:space="preserve">The elements </w:t>
      </w:r>
      <w:r w:rsidR="005649CD" w:rsidRPr="008C3F01">
        <w:rPr>
          <w:color w:val="000000"/>
        </w:rPr>
        <w:t>outlined in</w:t>
      </w:r>
      <w:r w:rsidR="008A5CD8" w:rsidRPr="008C3F01">
        <w:rPr>
          <w:color w:val="000000"/>
        </w:rPr>
        <w:t xml:space="preserve"> the</w:t>
      </w:r>
      <w:r w:rsidRPr="008C3F01">
        <w:rPr>
          <w:color w:val="000000"/>
        </w:rPr>
        <w:t xml:space="preserve"> </w:t>
      </w:r>
      <w:r w:rsidR="005A0945" w:rsidRPr="008C3F01">
        <w:rPr>
          <w:color w:val="000000"/>
        </w:rPr>
        <w:t>c</w:t>
      </w:r>
      <w:r w:rsidRPr="008C3F01">
        <w:rPr>
          <w:color w:val="000000"/>
        </w:rPr>
        <w:t xml:space="preserve">oncept </w:t>
      </w:r>
      <w:r w:rsidR="005A0945" w:rsidRPr="008C3F01">
        <w:rPr>
          <w:color w:val="000000"/>
        </w:rPr>
        <w:t>n</w:t>
      </w:r>
      <w:r w:rsidRPr="008C3F01">
        <w:rPr>
          <w:color w:val="000000"/>
        </w:rPr>
        <w:t xml:space="preserve">ote cannot be modified </w:t>
      </w:r>
      <w:r w:rsidR="008A5CD8" w:rsidRPr="008C3F01">
        <w:rPr>
          <w:color w:val="000000"/>
        </w:rPr>
        <w:t xml:space="preserve">by the </w:t>
      </w:r>
      <w:r w:rsidR="00B114D9" w:rsidRPr="008C3F01">
        <w:rPr>
          <w:color w:val="000000"/>
        </w:rPr>
        <w:t>lead a</w:t>
      </w:r>
      <w:r w:rsidR="008A5CD8" w:rsidRPr="008C3F01">
        <w:rPr>
          <w:color w:val="000000"/>
        </w:rPr>
        <w:t xml:space="preserve">pplicant </w:t>
      </w:r>
      <w:r w:rsidRPr="008C3F01">
        <w:rPr>
          <w:color w:val="000000"/>
        </w:rPr>
        <w:t>in the full application.</w:t>
      </w:r>
      <w:r w:rsidR="003956DF" w:rsidRPr="008C3F01">
        <w:rPr>
          <w:b/>
          <w:color w:val="000000"/>
        </w:rPr>
        <w:t xml:space="preserve"> </w:t>
      </w:r>
      <w:r w:rsidR="003956DF" w:rsidRPr="008C3F01">
        <w:t xml:space="preserve">The </w:t>
      </w:r>
      <w:r w:rsidR="00030E42" w:rsidRPr="008C3F01">
        <w:t xml:space="preserve">EU contribution </w:t>
      </w:r>
      <w:r w:rsidR="003956DF" w:rsidRPr="008C3F01">
        <w:t>may not vary from the initial estimate by more than 20</w:t>
      </w:r>
      <w:r w:rsidR="00A016F9" w:rsidRPr="008C3F01">
        <w:rPr>
          <w:w w:val="50"/>
        </w:rPr>
        <w:t> </w:t>
      </w:r>
      <w:r w:rsidR="003956DF" w:rsidRPr="008C3F01">
        <w:t xml:space="preserve">%, </w:t>
      </w:r>
      <w:r w:rsidR="005649CD" w:rsidRPr="008C3F01">
        <w:t xml:space="preserve">although </w:t>
      </w:r>
      <w:r w:rsidR="00B114D9" w:rsidRPr="008C3F01">
        <w:t>lead a</w:t>
      </w:r>
      <w:r w:rsidR="003956DF" w:rsidRPr="008C3F01">
        <w:t>pplicant</w:t>
      </w:r>
      <w:r w:rsidR="009901E5" w:rsidRPr="008C3F01">
        <w:t xml:space="preserve">s are </w:t>
      </w:r>
      <w:r w:rsidR="003956DF" w:rsidRPr="008C3F01">
        <w:t xml:space="preserve">free to adapt the percentage of co-financing required </w:t>
      </w:r>
      <w:r w:rsidR="006B5799" w:rsidRPr="008C3F01">
        <w:t>within</w:t>
      </w:r>
      <w:r w:rsidR="003956DF" w:rsidRPr="008C3F01">
        <w:t xml:space="preserve"> the minimum and maximum amount</w:t>
      </w:r>
      <w:r w:rsidR="006B5799" w:rsidRPr="008C3F01">
        <w:t xml:space="preserve"> and percentages</w:t>
      </w:r>
      <w:r w:rsidR="003956DF" w:rsidRPr="008C3F01">
        <w:t xml:space="preserve"> of co-financing, as laid down in th</w:t>
      </w:r>
      <w:r w:rsidR="006B5799" w:rsidRPr="008C3F01">
        <w:t xml:space="preserve">ese </w:t>
      </w:r>
      <w:r w:rsidR="005A0945" w:rsidRPr="008C3F01">
        <w:t>g</w:t>
      </w:r>
      <w:r w:rsidR="006B5799" w:rsidRPr="008C3F01">
        <w:t xml:space="preserve">uidelines under </w:t>
      </w:r>
      <w:r w:rsidR="00AA0B45" w:rsidRPr="008C3F01">
        <w:t>S</w:t>
      </w:r>
      <w:r w:rsidR="006B5799" w:rsidRPr="008C3F01">
        <w:t>ection 1.</w:t>
      </w:r>
      <w:r w:rsidR="00896ECA" w:rsidRPr="008C3F01">
        <w:t>3</w:t>
      </w:r>
      <w:r w:rsidR="003956DF" w:rsidRPr="008C3F01">
        <w:t>.</w:t>
      </w:r>
      <w:r w:rsidR="008C12F5" w:rsidRPr="008C3F01">
        <w:t xml:space="preserve"> </w:t>
      </w:r>
      <w:r w:rsidR="008C12F5" w:rsidRPr="008C3F01">
        <w:rPr>
          <w:iCs/>
          <w:color w:val="000000"/>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7E4F56" w:rsidRPr="008C3F01">
        <w:rPr>
          <w:iCs/>
          <w:color w:val="000000"/>
        </w:rPr>
        <w:t xml:space="preserve"> In such cases the duration must remain within the limits imposed by the guidelines for applicants. An explanation/justification of the relevant replacement/adjustment shall be included in an accompanying letter or email.</w:t>
      </w:r>
    </w:p>
    <w:p w:rsidR="008B4806" w:rsidRPr="0022530F" w:rsidRDefault="00B114D9" w:rsidP="0022530F">
      <w:pPr>
        <w:rPr>
          <w:color w:val="000000"/>
        </w:rPr>
      </w:pPr>
      <w:r w:rsidRPr="008C3F01">
        <w:rPr>
          <w:color w:val="000000"/>
        </w:rPr>
        <w:t>Lead a</w:t>
      </w:r>
      <w:r w:rsidR="008B4806" w:rsidRPr="008C3F01">
        <w:rPr>
          <w:color w:val="000000"/>
        </w:rPr>
        <w:t xml:space="preserve">pplicants must submit their </w:t>
      </w:r>
      <w:r w:rsidR="00F90A41" w:rsidRPr="008C3F01">
        <w:rPr>
          <w:color w:val="000000"/>
        </w:rPr>
        <w:t xml:space="preserve">full </w:t>
      </w:r>
      <w:r w:rsidR="008B4806" w:rsidRPr="008C3F01">
        <w:rPr>
          <w:color w:val="000000"/>
        </w:rPr>
        <w:t xml:space="preserve">applications in the same language as their </w:t>
      </w:r>
      <w:r w:rsidR="005A0945" w:rsidRPr="008C3F01">
        <w:rPr>
          <w:color w:val="000000"/>
        </w:rPr>
        <w:t>c</w:t>
      </w:r>
      <w:r w:rsidR="008B4806" w:rsidRPr="008C3F01">
        <w:rPr>
          <w:color w:val="000000"/>
        </w:rPr>
        <w:t xml:space="preserve">oncept </w:t>
      </w:r>
      <w:r w:rsidR="005A0945" w:rsidRPr="008C3F01">
        <w:rPr>
          <w:color w:val="000000"/>
        </w:rPr>
        <w:t>n</w:t>
      </w:r>
      <w:r w:rsidR="008B4806" w:rsidRPr="008C3F01">
        <w:rPr>
          <w:color w:val="000000"/>
        </w:rPr>
        <w:t>ote</w:t>
      </w:r>
      <w:r w:rsidR="00F90A41" w:rsidRPr="008C3F01">
        <w:rPr>
          <w:color w:val="000000"/>
        </w:rPr>
        <w:t>s</w:t>
      </w:r>
      <w:r w:rsidR="008B4806" w:rsidRPr="008C3F01">
        <w:rPr>
          <w:color w:val="000000"/>
        </w:rPr>
        <w:t>.</w:t>
      </w:r>
      <w:r w:rsidR="0022530F">
        <w:rPr>
          <w:color w:val="000000"/>
        </w:rPr>
        <w:t xml:space="preserve"> </w:t>
      </w:r>
      <w:r w:rsidR="0022530F" w:rsidRPr="0022530F">
        <w:rPr>
          <w:color w:val="000000"/>
        </w:rPr>
        <w:t>A copy of the lead applicant’s accounts of the latest financial year (the profit and loss account and the balance sheet for the last financial year for which the accounts have been closed) must be uploaded in PADOR by the full application deadline. A copy of the latest account is neither required from (if any) the co-applicant(s) nor from (if any) affiliated entity(ies)).</w:t>
      </w:r>
    </w:p>
    <w:p w:rsidR="003956DF" w:rsidRPr="008C3F01" w:rsidRDefault="003956DF" w:rsidP="00203ABF">
      <w:pPr>
        <w:rPr>
          <w:color w:val="000000"/>
        </w:rPr>
      </w:pPr>
      <w:r w:rsidRPr="008C3F01">
        <w:t>Please complete the</w:t>
      </w:r>
      <w:r w:rsidR="00227148" w:rsidRPr="008C3F01">
        <w:t xml:space="preserve"> full</w:t>
      </w:r>
      <w:r w:rsidRPr="008C3F01">
        <w:t xml:space="preserve"> application form carefully and as clearly as possible so that it can be assessed properly.</w:t>
      </w:r>
      <w:r w:rsidRPr="008C3F01">
        <w:rPr>
          <w:color w:val="000000"/>
        </w:rPr>
        <w:t xml:space="preserve"> </w:t>
      </w:r>
    </w:p>
    <w:p w:rsidR="003956DF" w:rsidRPr="008C3F01" w:rsidRDefault="003956DF" w:rsidP="00203ABF">
      <w:pPr>
        <w:rPr>
          <w:color w:val="000000"/>
        </w:rPr>
      </w:pPr>
      <w:r w:rsidRPr="008C3F01">
        <w:rPr>
          <w:color w:val="000000"/>
        </w:rPr>
        <w:t xml:space="preserve">Any error related to the points listed in the </w:t>
      </w:r>
      <w:r w:rsidR="003A23FE" w:rsidRPr="008C3F01">
        <w:rPr>
          <w:color w:val="000000"/>
        </w:rPr>
        <w:t>c</w:t>
      </w:r>
      <w:r w:rsidRPr="008C3F01">
        <w:rPr>
          <w:color w:val="000000"/>
        </w:rPr>
        <w:t>hecklist (</w:t>
      </w:r>
      <w:r w:rsidR="00227148" w:rsidRPr="008C3F01">
        <w:rPr>
          <w:color w:val="000000"/>
        </w:rPr>
        <w:t xml:space="preserve">of </w:t>
      </w:r>
      <w:r w:rsidRPr="008C3F01">
        <w:rPr>
          <w:color w:val="000000"/>
        </w:rPr>
        <w:t xml:space="preserve">the </w:t>
      </w:r>
      <w:r w:rsidR="003A23FE" w:rsidRPr="008C3F01">
        <w:rPr>
          <w:color w:val="000000"/>
        </w:rPr>
        <w:t>g</w:t>
      </w:r>
      <w:r w:rsidRPr="008C3F01">
        <w:rPr>
          <w:color w:val="000000"/>
        </w:rPr>
        <w:t xml:space="preserve">rant </w:t>
      </w:r>
      <w:r w:rsidR="003A23FE" w:rsidRPr="008C3F01">
        <w:rPr>
          <w:color w:val="000000"/>
        </w:rPr>
        <w:t>a</w:t>
      </w:r>
      <w:r w:rsidR="006459C5" w:rsidRPr="008C3F01">
        <w:rPr>
          <w:color w:val="000000"/>
        </w:rPr>
        <w:t xml:space="preserve">pplication </w:t>
      </w:r>
      <w:r w:rsidR="00E64637" w:rsidRPr="008C3F01">
        <w:rPr>
          <w:color w:val="000000"/>
        </w:rPr>
        <w:t>form</w:t>
      </w:r>
      <w:r w:rsidRPr="008C3F01">
        <w:rPr>
          <w:color w:val="000000"/>
        </w:rPr>
        <w:t xml:space="preserve">) or any major inconsistency in the </w:t>
      </w:r>
      <w:r w:rsidR="00227148" w:rsidRPr="008C3F01">
        <w:rPr>
          <w:color w:val="000000"/>
        </w:rPr>
        <w:t xml:space="preserve">full </w:t>
      </w:r>
      <w:r w:rsidRPr="008C3F01">
        <w:rPr>
          <w:color w:val="000000"/>
        </w:rPr>
        <w:t xml:space="preserve">application (e.g. </w:t>
      </w:r>
      <w:r w:rsidR="0040484C" w:rsidRPr="008C3F01">
        <w:rPr>
          <w:color w:val="000000"/>
        </w:rPr>
        <w:t xml:space="preserve">if </w:t>
      </w:r>
      <w:r w:rsidRPr="008C3F01">
        <w:rPr>
          <w:color w:val="000000"/>
        </w:rPr>
        <w:t xml:space="preserve">the amounts in the budget </w:t>
      </w:r>
      <w:r w:rsidR="00AD5C5F" w:rsidRPr="008C3F01">
        <w:rPr>
          <w:color w:val="000000"/>
        </w:rPr>
        <w:t xml:space="preserve">worksheets </w:t>
      </w:r>
      <w:r w:rsidRPr="008C3F01">
        <w:rPr>
          <w:color w:val="000000"/>
        </w:rPr>
        <w:t>are inconsist</w:t>
      </w:r>
      <w:r w:rsidR="00AD5C5F" w:rsidRPr="008C3F01">
        <w:rPr>
          <w:color w:val="000000"/>
        </w:rPr>
        <w:t>ent</w:t>
      </w:r>
      <w:r w:rsidRPr="008C3F01">
        <w:rPr>
          <w:color w:val="000000"/>
        </w:rPr>
        <w:t xml:space="preserve">) may lead to the rejection of the </w:t>
      </w:r>
      <w:r w:rsidR="006459C5" w:rsidRPr="008C3F01">
        <w:rPr>
          <w:color w:val="000000"/>
        </w:rPr>
        <w:t>application</w:t>
      </w:r>
      <w:r w:rsidRPr="008C3F01">
        <w:rPr>
          <w:color w:val="000000"/>
        </w:rPr>
        <w:t>.</w:t>
      </w:r>
    </w:p>
    <w:p w:rsidR="003956DF" w:rsidRPr="008C3F01" w:rsidRDefault="003956DF" w:rsidP="00203ABF">
      <w:r w:rsidRPr="008C3F01">
        <w:t>Clarifications will only be requested when information provided is unclear</w:t>
      </w:r>
      <w:r w:rsidR="0040484C" w:rsidRPr="008C3F01">
        <w:t xml:space="preserve"> and</w:t>
      </w:r>
      <w:r w:rsidRPr="008C3F01">
        <w:t xml:space="preserve"> thus prevent</w:t>
      </w:r>
      <w:r w:rsidR="0040484C" w:rsidRPr="008C3F01">
        <w:t>s</w:t>
      </w:r>
      <w:r w:rsidRPr="008C3F01">
        <w:t xml:space="preserve"> the </w:t>
      </w:r>
      <w:r w:rsidR="00AA0B45" w:rsidRPr="008C3F01">
        <w:t>c</w:t>
      </w:r>
      <w:r w:rsidRPr="008C3F01">
        <w:t xml:space="preserve">ontracting </w:t>
      </w:r>
      <w:r w:rsidR="00AA0B45" w:rsidRPr="008C3F01">
        <w:t>a</w:t>
      </w:r>
      <w:r w:rsidRPr="008C3F01">
        <w:t>uthority from conducting an objective assessment.</w:t>
      </w:r>
    </w:p>
    <w:p w:rsidR="003956DF" w:rsidRPr="008C3F01" w:rsidRDefault="003956DF" w:rsidP="00203ABF">
      <w:r w:rsidRPr="008C3F01">
        <w:t>Hand-written applications will not be accepted.</w:t>
      </w:r>
    </w:p>
    <w:p w:rsidR="00E16F20" w:rsidRPr="008C3F01" w:rsidRDefault="003956DF" w:rsidP="00203ABF">
      <w:pPr>
        <w:rPr>
          <w:b/>
          <w:snapToGrid/>
          <w:szCs w:val="22"/>
          <w:lang w:eastAsia="en-GB"/>
        </w:rPr>
      </w:pPr>
      <w:r w:rsidRPr="008C3F01">
        <w:rPr>
          <w:snapToGrid/>
          <w:szCs w:val="22"/>
          <w:lang w:eastAsia="en-GB"/>
        </w:rPr>
        <w:t xml:space="preserve">Please note that only the </w:t>
      </w:r>
      <w:r w:rsidR="00227148" w:rsidRPr="008C3F01">
        <w:rPr>
          <w:snapToGrid/>
          <w:szCs w:val="22"/>
          <w:lang w:eastAsia="en-GB"/>
        </w:rPr>
        <w:t xml:space="preserve">full </w:t>
      </w:r>
      <w:r w:rsidRPr="008C3F01">
        <w:rPr>
          <w:snapToGrid/>
          <w:szCs w:val="22"/>
          <w:lang w:eastAsia="en-GB"/>
        </w:rPr>
        <w:t xml:space="preserve">application form and the published annexes which have to be filled in (budget, logical framework) will be transmitted to the evaluators </w:t>
      </w:r>
      <w:r w:rsidR="008B1EA7" w:rsidRPr="008C3F01">
        <w:rPr>
          <w:snapToGrid/>
          <w:szCs w:val="22"/>
          <w:lang w:eastAsia="en-GB"/>
        </w:rPr>
        <w:t>(</w:t>
      </w:r>
      <w:r w:rsidRPr="008C3F01">
        <w:rPr>
          <w:snapToGrid/>
          <w:szCs w:val="22"/>
          <w:lang w:eastAsia="en-GB"/>
        </w:rPr>
        <w:t>and assessors</w:t>
      </w:r>
      <w:r w:rsidR="008B1EA7" w:rsidRPr="008C3F01">
        <w:rPr>
          <w:snapToGrid/>
          <w:szCs w:val="22"/>
          <w:lang w:eastAsia="en-GB"/>
        </w:rPr>
        <w:t>, if used)</w:t>
      </w:r>
      <w:r w:rsidRPr="008C3F01">
        <w:rPr>
          <w:snapToGrid/>
          <w:szCs w:val="22"/>
          <w:lang w:eastAsia="en-GB"/>
        </w:rPr>
        <w:t xml:space="preserve">. It is therefore of utmost importance that these documents contain ALL </w:t>
      </w:r>
      <w:r w:rsidR="0040484C" w:rsidRPr="008C3F01">
        <w:rPr>
          <w:snapToGrid/>
          <w:szCs w:val="22"/>
          <w:lang w:eastAsia="en-GB"/>
        </w:rPr>
        <w:t xml:space="preserve">the </w:t>
      </w:r>
      <w:r w:rsidRPr="008C3F01">
        <w:rPr>
          <w:snapToGrid/>
          <w:szCs w:val="22"/>
          <w:lang w:eastAsia="en-GB"/>
        </w:rPr>
        <w:t>relevant information concerning the action.</w:t>
      </w:r>
      <w:r w:rsidRPr="008C3F01">
        <w:rPr>
          <w:b/>
          <w:snapToGrid/>
          <w:szCs w:val="22"/>
          <w:lang w:eastAsia="en-GB"/>
        </w:rPr>
        <w:t xml:space="preserve"> </w:t>
      </w:r>
    </w:p>
    <w:p w:rsidR="00E16F20" w:rsidRPr="008C3F01" w:rsidRDefault="00E16F20" w:rsidP="00203ABF">
      <w:pPr>
        <w:rPr>
          <w:b/>
          <w:snapToGrid/>
          <w:szCs w:val="22"/>
          <w:lang w:eastAsia="en-GB"/>
        </w:rPr>
      </w:pPr>
      <w:r w:rsidRPr="008C3F01">
        <w:rPr>
          <w:b/>
          <w:snapToGrid/>
          <w:szCs w:val="22"/>
          <w:lang w:eastAsia="en-GB"/>
        </w:rPr>
        <w:lastRenderedPageBreak/>
        <w:t xml:space="preserve">With the full application the lead applicant also has to submit completed </w:t>
      </w:r>
      <w:r w:rsidR="00AA0B45" w:rsidRPr="008C3F01">
        <w:rPr>
          <w:b/>
          <w:snapToGrid/>
          <w:szCs w:val="22"/>
          <w:lang w:eastAsia="en-GB"/>
        </w:rPr>
        <w:t>o</w:t>
      </w:r>
      <w:r w:rsidR="00E30384" w:rsidRPr="008C3F01">
        <w:rPr>
          <w:b/>
          <w:snapToGrid/>
          <w:szCs w:val="22"/>
          <w:lang w:eastAsia="en-GB"/>
        </w:rPr>
        <w:t>rganisation</w:t>
      </w:r>
      <w:r w:rsidR="000176DE" w:rsidRPr="008C3F01">
        <w:rPr>
          <w:b/>
          <w:snapToGrid/>
          <w:szCs w:val="22"/>
          <w:lang w:eastAsia="en-GB"/>
        </w:rPr>
        <w:t xml:space="preserve"> </w:t>
      </w:r>
      <w:r w:rsidR="00AA0B45" w:rsidRPr="008C3F01">
        <w:rPr>
          <w:b/>
          <w:snapToGrid/>
          <w:szCs w:val="22"/>
          <w:lang w:eastAsia="en-GB"/>
        </w:rPr>
        <w:t>d</w:t>
      </w:r>
      <w:r w:rsidR="000176DE" w:rsidRPr="008C3F01">
        <w:rPr>
          <w:b/>
          <w:snapToGrid/>
          <w:szCs w:val="22"/>
          <w:lang w:eastAsia="en-GB"/>
        </w:rPr>
        <w:t xml:space="preserve">ata </w:t>
      </w:r>
      <w:r w:rsidR="00AA0B45" w:rsidRPr="008C3F01">
        <w:rPr>
          <w:b/>
          <w:snapToGrid/>
          <w:szCs w:val="22"/>
          <w:lang w:eastAsia="en-GB"/>
        </w:rPr>
        <w:t>f</w:t>
      </w:r>
      <w:r w:rsidR="000176DE" w:rsidRPr="008C3F01">
        <w:rPr>
          <w:b/>
          <w:snapToGrid/>
          <w:szCs w:val="22"/>
          <w:lang w:eastAsia="en-GB"/>
        </w:rPr>
        <w:t>orms</w:t>
      </w:r>
      <w:r w:rsidRPr="008C3F01">
        <w:rPr>
          <w:b/>
          <w:snapToGrid/>
          <w:szCs w:val="22"/>
          <w:lang w:eastAsia="en-GB"/>
        </w:rPr>
        <w:t xml:space="preserve"> (Annex F) for the lead applicant, each (if any) co-applicants and each (if any) affiliated entities</w:t>
      </w:r>
      <w:r w:rsidR="00554F55" w:rsidRPr="008C3F01">
        <w:rPr>
          <w:rStyle w:val="af6"/>
          <w:b/>
          <w:snapToGrid/>
          <w:szCs w:val="22"/>
          <w:lang w:eastAsia="en-GB"/>
        </w:rPr>
        <w:footnoteReference w:id="25"/>
      </w:r>
      <w:r w:rsidRPr="008C3F01">
        <w:rPr>
          <w:b/>
          <w:snapToGrid/>
          <w:szCs w:val="22"/>
          <w:lang w:eastAsia="en-GB"/>
        </w:rPr>
        <w:t>.</w:t>
      </w:r>
    </w:p>
    <w:p w:rsidR="003956DF" w:rsidRPr="008C3F01" w:rsidRDefault="003956DF" w:rsidP="00203ABF">
      <w:pPr>
        <w:rPr>
          <w:b/>
          <w:snapToGrid/>
          <w:szCs w:val="22"/>
          <w:lang w:eastAsia="en-GB"/>
        </w:rPr>
      </w:pPr>
      <w:r w:rsidRPr="008C3F01">
        <w:rPr>
          <w:b/>
          <w:snapToGrid/>
          <w:szCs w:val="22"/>
          <w:lang w:eastAsia="en-GB"/>
        </w:rPr>
        <w:t xml:space="preserve">No </w:t>
      </w:r>
      <w:r w:rsidR="007C4578" w:rsidRPr="008C3F01">
        <w:rPr>
          <w:b/>
          <w:snapToGrid/>
          <w:szCs w:val="22"/>
          <w:lang w:eastAsia="en-GB"/>
        </w:rPr>
        <w:t xml:space="preserve">additional </w:t>
      </w:r>
      <w:r w:rsidRPr="008C3F01">
        <w:rPr>
          <w:b/>
          <w:snapToGrid/>
          <w:szCs w:val="22"/>
          <w:lang w:eastAsia="en-GB"/>
        </w:rPr>
        <w:t>annexes should be sent.</w:t>
      </w:r>
    </w:p>
    <w:p w:rsidR="008B4806" w:rsidRPr="008C3F01" w:rsidRDefault="008B4806" w:rsidP="004B7BC2">
      <w:pPr>
        <w:pStyle w:val="Guidelines3"/>
      </w:pPr>
      <w:bookmarkStart w:id="26" w:name="_Toc1059740"/>
      <w:bookmarkStart w:id="27" w:name="_Toc125454357"/>
      <w:r w:rsidRPr="008C3F01">
        <w:t xml:space="preserve">Where and how to send </w:t>
      </w:r>
      <w:r w:rsidR="003A23FE" w:rsidRPr="008C3F01">
        <w:t>f</w:t>
      </w:r>
      <w:r w:rsidRPr="008C3F01">
        <w:t xml:space="preserve">ull </w:t>
      </w:r>
      <w:r w:rsidR="003A23FE" w:rsidRPr="008C3F01">
        <w:t>a</w:t>
      </w:r>
      <w:r w:rsidRPr="008C3F01">
        <w:t>pplication</w:t>
      </w:r>
      <w:r w:rsidR="003A23FE" w:rsidRPr="008C3F01">
        <w:t>s</w:t>
      </w:r>
      <w:bookmarkEnd w:id="26"/>
      <w:r w:rsidRPr="008C3F01">
        <w:t xml:space="preserve"> </w:t>
      </w:r>
      <w:bookmarkEnd w:id="27"/>
    </w:p>
    <w:p w:rsidR="0022530F" w:rsidRDefault="0022530F" w:rsidP="0022530F">
      <w:pPr>
        <w:spacing w:before="240"/>
      </w:pPr>
      <w:r>
        <w:t>Full application forms together with the budget, the logical framework and the declaration by the lead applicant must be submitted online via PROSPEC</w:t>
      </w:r>
      <w:r w:rsidR="000D533F">
        <w:t xml:space="preserve">T </w:t>
      </w:r>
      <w:hyperlink r:id="rId22" w:history="1">
        <w:r w:rsidR="000D533F" w:rsidRPr="002139B0">
          <w:rPr>
            <w:rStyle w:val="Hyperlink"/>
          </w:rPr>
          <w:t>https://webgate.ec.europa.eu/europeaid/prospect</w:t>
        </w:r>
      </w:hyperlink>
      <w:r w:rsidR="000D533F">
        <w:t xml:space="preserve"> </w:t>
      </w:r>
      <w:r>
        <w:t xml:space="preserve">following the instructions given in the users’ manual. </w:t>
      </w:r>
    </w:p>
    <w:p w:rsidR="0022530F" w:rsidRDefault="0022530F" w:rsidP="000D533F">
      <w:r>
        <w:t>Upon submission of the full application online, the lead applicants will receive an automatic confirmation of receipt in their PROSPECT profile.</w:t>
      </w:r>
    </w:p>
    <w:p w:rsidR="000D533F" w:rsidRDefault="000D533F" w:rsidP="000D533F">
      <w:pPr>
        <w:spacing w:after="240"/>
      </w:pPr>
      <w:r>
        <w:rPr>
          <w:b/>
          <w:bCs/>
          <w:szCs w:val="22"/>
        </w:rPr>
        <w:t xml:space="preserve">Please note that incomplete applications may be rejected. </w:t>
      </w:r>
      <w:r>
        <w:rPr>
          <w:szCs w:val="22"/>
        </w:rPr>
        <w:t>Lead applicants are advised to verify that their application is complete using the checklist (Annex A.2, Instructions).</w:t>
      </w:r>
    </w:p>
    <w:p w:rsidR="008B4806" w:rsidRPr="008C3F01" w:rsidRDefault="008B4806" w:rsidP="004B7BC2">
      <w:pPr>
        <w:pStyle w:val="Guidelines3"/>
      </w:pPr>
      <w:bookmarkStart w:id="28" w:name="_Toc1059741"/>
      <w:bookmarkStart w:id="29" w:name="_Toc125454358"/>
      <w:r w:rsidRPr="008C3F01">
        <w:t>Deadline for</w:t>
      </w:r>
      <w:r w:rsidR="006548FC" w:rsidRPr="008C3F01">
        <w:t xml:space="preserve"> submission</w:t>
      </w:r>
      <w:r w:rsidRPr="008C3F01">
        <w:t xml:space="preserve"> of</w:t>
      </w:r>
      <w:r w:rsidR="001507E7" w:rsidRPr="008C3F01">
        <w:t xml:space="preserve"> </w:t>
      </w:r>
      <w:r w:rsidR="00661830" w:rsidRPr="008C3F01">
        <w:t>f</w:t>
      </w:r>
      <w:r w:rsidR="001507E7" w:rsidRPr="008C3F01">
        <w:t xml:space="preserve">ull </w:t>
      </w:r>
      <w:r w:rsidR="00661830" w:rsidRPr="008C3F01">
        <w:t>a</w:t>
      </w:r>
      <w:r w:rsidRPr="008C3F01">
        <w:t>pplication</w:t>
      </w:r>
      <w:r w:rsidR="00661830" w:rsidRPr="008C3F01">
        <w:t>s</w:t>
      </w:r>
      <w:bookmarkEnd w:id="28"/>
      <w:r w:rsidR="001507E7" w:rsidRPr="008C3F01">
        <w:t xml:space="preserve"> </w:t>
      </w:r>
      <w:bookmarkEnd w:id="29"/>
    </w:p>
    <w:p w:rsidR="007C49D7" w:rsidRPr="007C49D7" w:rsidRDefault="007C49D7" w:rsidP="007C49D7">
      <w:pPr>
        <w:spacing w:before="240"/>
      </w:pPr>
      <w:r w:rsidRPr="007C49D7">
        <w:t xml:space="preserve">The deadline for the submission of full applications will be indicated in the letter sent to the lead applicants whose application has been pre-selected. This letter will appear online automatically in the PROSPECT profile of the lead applicant. </w:t>
      </w:r>
    </w:p>
    <w:p w:rsidR="007C49D7" w:rsidRPr="007C49D7" w:rsidRDefault="007C49D7" w:rsidP="007C49D7">
      <w:r w:rsidRPr="007C49D7">
        <w:rPr>
          <w:b/>
        </w:rPr>
        <w:t>Lead applicants are strongly advised not to wait until the last day to submit their full applications,</w:t>
      </w:r>
      <w:r w:rsidRPr="007C49D7">
        <w:t xml:space="preserve"> since heavy Internet traffic or a fault with the Internet connection (including electricity failure, etc.) could lead to difficulties in submission. The Contacting Authority cannot be held responsible for any delay due to such afore-mentioned difficulties. </w:t>
      </w:r>
    </w:p>
    <w:p w:rsidR="007C49D7" w:rsidRPr="007C49D7" w:rsidRDefault="007C49D7" w:rsidP="007C49D7">
      <w:r w:rsidRPr="007C49D7">
        <w:t xml:space="preserve">Any application submitted after the deadline will be rejected. </w:t>
      </w:r>
    </w:p>
    <w:p w:rsidR="007C49D7" w:rsidRPr="00807DAF" w:rsidRDefault="007C49D7" w:rsidP="00203ABF">
      <w:r w:rsidRPr="007C49D7">
        <w:t xml:space="preserve">However, for reasons of administrative efficiency, the Contracting Authority may also reject any full application sent in due time but received after the effective date of approval of the full application evaluation (see indicative calendar under section 2.5.2). </w:t>
      </w:r>
    </w:p>
    <w:p w:rsidR="008B4806" w:rsidRPr="000451C1" w:rsidRDefault="008B4806" w:rsidP="004B7BC2">
      <w:pPr>
        <w:pStyle w:val="Guidelines3"/>
      </w:pPr>
      <w:bookmarkStart w:id="30" w:name="_Toc1059742"/>
      <w:bookmarkStart w:id="31" w:name="_Toc125454359"/>
      <w:r w:rsidRPr="000451C1">
        <w:t>Further informatio</w:t>
      </w:r>
      <w:r w:rsidR="001507E7" w:rsidRPr="000451C1">
        <w:t xml:space="preserve">n </w:t>
      </w:r>
      <w:r w:rsidR="00000396" w:rsidRPr="000451C1">
        <w:t>about</w:t>
      </w:r>
      <w:r w:rsidR="001507E7" w:rsidRPr="000451C1">
        <w:t xml:space="preserve"> </w:t>
      </w:r>
      <w:r w:rsidR="00661830" w:rsidRPr="000451C1">
        <w:t>f</w:t>
      </w:r>
      <w:r w:rsidR="001507E7" w:rsidRPr="000451C1">
        <w:t xml:space="preserve">ull </w:t>
      </w:r>
      <w:r w:rsidR="00661830" w:rsidRPr="000451C1">
        <w:t>a</w:t>
      </w:r>
      <w:r w:rsidR="001507E7" w:rsidRPr="000451C1">
        <w:t>pplication</w:t>
      </w:r>
      <w:r w:rsidR="00661830" w:rsidRPr="000451C1">
        <w:t>s</w:t>
      </w:r>
      <w:bookmarkEnd w:id="30"/>
      <w:r w:rsidR="001507E7" w:rsidRPr="000451C1">
        <w:t xml:space="preserve"> </w:t>
      </w:r>
      <w:bookmarkEnd w:id="31"/>
    </w:p>
    <w:p w:rsidR="008B4806" w:rsidRPr="000451C1" w:rsidRDefault="008B4806" w:rsidP="00203ABF">
      <w:pPr>
        <w:spacing w:before="240"/>
      </w:pPr>
      <w:r w:rsidRPr="000451C1">
        <w:t>Questions may be s</w:t>
      </w:r>
      <w:r w:rsidR="00FC7579">
        <w:t xml:space="preserve">ent by e-mail </w:t>
      </w:r>
      <w:r w:rsidRPr="000451C1">
        <w:t xml:space="preserve">no later than 21 days before the deadline for the </w:t>
      </w:r>
      <w:r w:rsidR="00CA6D19" w:rsidRPr="000451C1">
        <w:t xml:space="preserve">submission </w:t>
      </w:r>
      <w:r w:rsidRPr="000451C1">
        <w:t xml:space="preserve">of </w:t>
      </w:r>
      <w:r w:rsidR="00661830" w:rsidRPr="000451C1">
        <w:t xml:space="preserve">full </w:t>
      </w:r>
      <w:r w:rsidR="006459C5" w:rsidRPr="000451C1">
        <w:t>application</w:t>
      </w:r>
      <w:r w:rsidRPr="000451C1">
        <w:t xml:space="preserve">s to the addresses listed below, indicating clearly the reference of the </w:t>
      </w:r>
      <w:r w:rsidR="00661830" w:rsidRPr="000451C1">
        <w:t>c</w:t>
      </w:r>
      <w:r w:rsidR="001D0C7B" w:rsidRPr="000451C1">
        <w:t xml:space="preserve">all for </w:t>
      </w:r>
      <w:r w:rsidR="00661830" w:rsidRPr="000451C1">
        <w:t>p</w:t>
      </w:r>
      <w:r w:rsidR="001D0C7B" w:rsidRPr="000451C1">
        <w:t>roposals</w:t>
      </w:r>
      <w:r w:rsidRPr="000451C1">
        <w:t>:</w:t>
      </w:r>
    </w:p>
    <w:p w:rsidR="008B4806" w:rsidRPr="00807DAF" w:rsidRDefault="008B4806" w:rsidP="00203ABF">
      <w:pPr>
        <w:ind w:left="709"/>
        <w:rPr>
          <w:highlight w:val="lightGray"/>
        </w:rPr>
      </w:pPr>
      <w:r w:rsidRPr="00F168F3">
        <w:t>E-mail address:</w:t>
      </w:r>
      <w:r w:rsidR="002F3F27" w:rsidRPr="00F168F3">
        <w:t xml:space="preserve"> </w:t>
      </w:r>
      <w:r w:rsidR="00F168F3" w:rsidRPr="008F0684">
        <w:rPr>
          <w:b/>
        </w:rPr>
        <w:t>NEAR-ENI-SOUTH-TENDERS@ec.europa.eu</w:t>
      </w:r>
    </w:p>
    <w:p w:rsidR="007C4720" w:rsidRPr="00132148" w:rsidRDefault="007C4720" w:rsidP="00203ABF">
      <w:r w:rsidRPr="00132148">
        <w:t xml:space="preserve">The </w:t>
      </w:r>
      <w:r w:rsidR="00221350" w:rsidRPr="00132148">
        <w:t>c</w:t>
      </w:r>
      <w:r w:rsidRPr="00132148">
        <w:t xml:space="preserve">ontracting </w:t>
      </w:r>
      <w:r w:rsidR="00221350" w:rsidRPr="00132148">
        <w:t>a</w:t>
      </w:r>
      <w:r w:rsidRPr="00132148">
        <w:t>uthority has no obligation to provide clarifications to questions received after this date.</w:t>
      </w:r>
    </w:p>
    <w:p w:rsidR="008B4806" w:rsidRPr="00132148" w:rsidRDefault="008B4806" w:rsidP="00203ABF">
      <w:r w:rsidRPr="00132148">
        <w:t xml:space="preserve">Replies will be given no later than 11 days before the deadline for the </w:t>
      </w:r>
      <w:r w:rsidR="00CA6D19" w:rsidRPr="00132148">
        <w:t xml:space="preserve">submission </w:t>
      </w:r>
      <w:r w:rsidRPr="00132148">
        <w:t xml:space="preserve">of </w:t>
      </w:r>
      <w:r w:rsidR="00661830" w:rsidRPr="00132148">
        <w:t xml:space="preserve">full </w:t>
      </w:r>
      <w:r w:rsidR="006459C5" w:rsidRPr="00132148">
        <w:t>application</w:t>
      </w:r>
      <w:r w:rsidRPr="00132148">
        <w:t xml:space="preserve">s. </w:t>
      </w:r>
    </w:p>
    <w:p w:rsidR="00376E92" w:rsidRPr="00132148" w:rsidRDefault="0040484C" w:rsidP="00203ABF">
      <w:r w:rsidRPr="00132148">
        <w:t>To ensure</w:t>
      </w:r>
      <w:r w:rsidR="008B4806" w:rsidRPr="00132148">
        <w:t xml:space="preserve"> equal treatment of applicants, the </w:t>
      </w:r>
      <w:r w:rsidR="00221350" w:rsidRPr="00132148">
        <w:t>c</w:t>
      </w:r>
      <w:r w:rsidR="008B4806" w:rsidRPr="00132148">
        <w:t xml:space="preserve">ontracting </w:t>
      </w:r>
      <w:r w:rsidR="00221350" w:rsidRPr="00132148">
        <w:t>a</w:t>
      </w:r>
      <w:r w:rsidR="008B4806" w:rsidRPr="00132148">
        <w:t xml:space="preserve">uthority cannot give a prior opinion on the eligibility of </w:t>
      </w:r>
      <w:r w:rsidR="00B114D9" w:rsidRPr="00132148">
        <w:t>lead a</w:t>
      </w:r>
      <w:r w:rsidR="008B4806" w:rsidRPr="00132148">
        <w:t>pplicant</w:t>
      </w:r>
      <w:r w:rsidR="000D40CC" w:rsidRPr="00132148">
        <w:t>s</w:t>
      </w:r>
      <w:r w:rsidR="00661830" w:rsidRPr="00132148">
        <w:t>, co-applicants</w:t>
      </w:r>
      <w:r w:rsidR="008B4806" w:rsidRPr="00132148">
        <w:t xml:space="preserve">, </w:t>
      </w:r>
      <w:r w:rsidR="000D40CC" w:rsidRPr="00132148">
        <w:t xml:space="preserve">affiliated entity(ies), </w:t>
      </w:r>
      <w:r w:rsidR="008B4806" w:rsidRPr="00132148">
        <w:t>or an action.</w:t>
      </w:r>
    </w:p>
    <w:p w:rsidR="002128D0" w:rsidRDefault="00376E92" w:rsidP="00203ABF">
      <w:r w:rsidRPr="00132148">
        <w:t>No individual replies will be given to questions. All questions and answers as well as other important notices to applicants during the course of the evaluation procedure</w:t>
      </w:r>
      <w:r w:rsidR="008B4806" w:rsidRPr="00132148">
        <w:t>, will be published on the</w:t>
      </w:r>
      <w:r w:rsidR="001249D9" w:rsidRPr="00132148">
        <w:t xml:space="preserve"> </w:t>
      </w:r>
      <w:r w:rsidR="008B4806" w:rsidRPr="00132148">
        <w:t>website</w:t>
      </w:r>
      <w:r w:rsidR="001249D9" w:rsidRPr="00132148">
        <w:t xml:space="preserve"> of DG International Cooperation and Development:</w:t>
      </w:r>
      <w:r w:rsidR="009C3DFC" w:rsidRPr="00132148">
        <w:t xml:space="preserve"> </w:t>
      </w:r>
      <w:hyperlink r:id="rId23" w:history="1">
        <w:r w:rsidR="00D0109C" w:rsidRPr="00132148">
          <w:rPr>
            <w:rStyle w:val="Hyperlink"/>
          </w:rPr>
          <w:t>https://webgate.ec.europa.eu/europeaid/online-services/index.cfm?do=publi.welcome</w:t>
        </w:r>
      </w:hyperlink>
      <w:r w:rsidR="009C3DFC" w:rsidRPr="00132148">
        <w:t xml:space="preserve"> </w:t>
      </w:r>
      <w:r w:rsidR="00132148" w:rsidRPr="00132148">
        <w:t xml:space="preserve">, </w:t>
      </w:r>
      <w:r w:rsidR="002D7F4A" w:rsidRPr="00132148">
        <w:t>as the need arises</w:t>
      </w:r>
      <w:r w:rsidR="009C3DFC" w:rsidRPr="00132148">
        <w:t>.</w:t>
      </w:r>
      <w:r w:rsidR="002128D0" w:rsidRPr="00132148">
        <w:t xml:space="preserve"> It is therefore </w:t>
      </w:r>
      <w:r w:rsidR="0040484C" w:rsidRPr="00132148">
        <w:t>advisable</w:t>
      </w:r>
      <w:r w:rsidR="002128D0" w:rsidRPr="00132148">
        <w:t xml:space="preserve"> to consult the abovementioned website</w:t>
      </w:r>
      <w:r w:rsidR="0040484C" w:rsidRPr="00132148">
        <w:t xml:space="preserve"> regularly</w:t>
      </w:r>
      <w:r w:rsidR="002128D0" w:rsidRPr="00132148">
        <w:t xml:space="preserve"> in order to be informed of the questions and answers published.</w:t>
      </w:r>
    </w:p>
    <w:p w:rsidR="00FC7579" w:rsidRPr="00FC7579" w:rsidRDefault="00FC7579" w:rsidP="00FC7579">
      <w:r w:rsidRPr="00FC7579">
        <w:lastRenderedPageBreak/>
        <w:t xml:space="preserve">All questions related to registration in PADOR or the online submission via PROSPECT should be addressed to the IT helpdesk at </w:t>
      </w:r>
      <w:hyperlink r:id="rId24" w:history="1">
        <w:r w:rsidRPr="002139B0">
          <w:rPr>
            <w:rStyle w:val="Hyperlink"/>
          </w:rPr>
          <w:t>EuropeAid-IT-support@ec.europa.eu</w:t>
        </w:r>
      </w:hyperlink>
      <w:r>
        <w:t xml:space="preserve"> </w:t>
      </w:r>
      <w:r w:rsidRPr="004350D6">
        <w:rPr>
          <w:b/>
        </w:rPr>
        <w:t>via the online support form in PROSPECT</w:t>
      </w:r>
      <w:r w:rsidRPr="00FC7579">
        <w:t>. Please note that the working languages of the IT support are: English French and Spanish. Therefore users are invited to send their questions in English, French or Spanish should they wish to benefit from an optimum response time.</w:t>
      </w:r>
    </w:p>
    <w:p w:rsidR="0007408E" w:rsidRPr="00807DAF" w:rsidRDefault="0007408E" w:rsidP="004741A1">
      <w:pPr>
        <w:pStyle w:val="Guidelines2"/>
        <w:rPr>
          <w:i/>
        </w:rPr>
      </w:pPr>
      <w:bookmarkStart w:id="32" w:name="_Toc40507653"/>
      <w:bookmarkStart w:id="33" w:name="_Toc1059743"/>
      <w:r w:rsidRPr="00807DAF">
        <w:t>Evaluation and selection of applications</w:t>
      </w:r>
      <w:bookmarkEnd w:id="32"/>
      <w:bookmarkEnd w:id="33"/>
    </w:p>
    <w:p w:rsidR="0007408E" w:rsidRPr="00807DAF" w:rsidRDefault="0007408E" w:rsidP="00203ABF">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rsidR="0007408E" w:rsidRPr="00807DAF" w:rsidRDefault="00267E4F" w:rsidP="00F016A9">
      <w:pPr>
        <w:numPr>
          <w:ilvl w:val="0"/>
          <w:numId w:val="41"/>
        </w:numPr>
        <w:tabs>
          <w:tab w:val="left" w:pos="426"/>
          <w:tab w:val="left" w:pos="1418"/>
        </w:tabs>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C67E04" w:rsidRPr="00807DAF">
        <w:rPr>
          <w:b/>
          <w:sz w:val="24"/>
          <w:szCs w:val="24"/>
        </w:rPr>
        <w:t>O</w:t>
      </w:r>
      <w:r w:rsidR="007A3169" w:rsidRPr="00807DAF">
        <w:rPr>
          <w:b/>
          <w:sz w:val="24"/>
          <w:szCs w:val="24"/>
        </w:rPr>
        <w:t>PENING</w:t>
      </w:r>
      <w:r w:rsidR="00CC1BB3" w:rsidRPr="00807DAF">
        <w:rPr>
          <w:b/>
          <w:sz w:val="24"/>
          <w:szCs w:val="24"/>
        </w:rPr>
        <w:t xml:space="preserve"> </w:t>
      </w:r>
      <w:r w:rsidR="00B66332" w:rsidRPr="00807DAF">
        <w:rPr>
          <w:b/>
          <w:sz w:val="24"/>
          <w:szCs w:val="24"/>
        </w:rPr>
        <w:t xml:space="preserve">&amp; </w:t>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rsidR="00402677" w:rsidRPr="00807DAF" w:rsidRDefault="007C4578" w:rsidP="006F280A">
      <w:r>
        <w:t>During the opening and administrative check t</w:t>
      </w:r>
      <w:r w:rsidR="0059080E" w:rsidRPr="00807DAF">
        <w:t>he following will be assessed:</w:t>
      </w:r>
    </w:p>
    <w:p w:rsidR="00A762B5" w:rsidRPr="00807DAF" w:rsidRDefault="00A762B5" w:rsidP="00F016A9">
      <w:pPr>
        <w:numPr>
          <w:ilvl w:val="2"/>
          <w:numId w:val="23"/>
        </w:numPr>
        <w:spacing w:before="120" w:after="120"/>
        <w:ind w:left="709"/>
      </w:pPr>
      <w:r>
        <w:t>If the deadline has been met. Otherwise</w:t>
      </w:r>
      <w:r w:rsidRPr="00807DAF">
        <w:t>, the application will be automatically rejected.</w:t>
      </w:r>
    </w:p>
    <w:p w:rsidR="0059080E" w:rsidRPr="00807DAF" w:rsidRDefault="00825A19" w:rsidP="00F016A9">
      <w:pPr>
        <w:numPr>
          <w:ilvl w:val="0"/>
          <w:numId w:val="23"/>
        </w:numPr>
      </w:pPr>
      <w:r>
        <w:t>If t</w:t>
      </w:r>
      <w:r w:rsidR="007A3169" w:rsidRPr="00807DAF">
        <w:t xml:space="preserve">he </w:t>
      </w:r>
      <w:r w:rsidR="005709E8" w:rsidRPr="00003F3A">
        <w:t>c</w:t>
      </w:r>
      <w:r w:rsidR="0084479D" w:rsidRPr="00003F3A">
        <w:t xml:space="preserve">oncept </w:t>
      </w:r>
      <w:r w:rsidR="005709E8" w:rsidRPr="00003F3A">
        <w:t>n</w:t>
      </w:r>
      <w:r w:rsidR="0084479D" w:rsidRPr="00003F3A">
        <w:t>ote</w:t>
      </w:r>
      <w:r w:rsidR="00003F3A">
        <w:t xml:space="preserve"> </w:t>
      </w:r>
      <w:r w:rsidR="006B6FC1" w:rsidRPr="00807DAF">
        <w:t xml:space="preserve">satisfies all the criteria </w:t>
      </w:r>
      <w:r w:rsidR="00BD4B21" w:rsidRPr="00807DAF">
        <w:t xml:space="preserve">specified in </w:t>
      </w:r>
      <w:r w:rsidR="00C40B9B">
        <w:t xml:space="preserve">the checklist </w:t>
      </w:r>
      <w:r w:rsidR="007A3169" w:rsidRPr="00807DAF">
        <w:t>of the grant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can be found </w:t>
      </w:r>
      <w:r w:rsidR="008B1EA7" w:rsidRPr="00807DAF">
        <w:t xml:space="preserve">in the </w:t>
      </w:r>
      <w:r w:rsidR="00717ADB">
        <w:t>g</w:t>
      </w:r>
      <w:r w:rsidR="00090A34">
        <w:t xml:space="preserve">rant </w:t>
      </w:r>
      <w:r w:rsidR="00717ADB">
        <w:t>a</w:t>
      </w:r>
      <w:r w:rsidR="008B1EA7" w:rsidRPr="00807DAF">
        <w:t xml:space="preserve">pplication </w:t>
      </w:r>
      <w:r w:rsidR="00717ADB">
        <w:t>f</w:t>
      </w:r>
      <w:r w:rsidR="008B1EA7" w:rsidRPr="00807DAF">
        <w:t>orm</w:t>
      </w:r>
      <w:r w:rsidR="007B5847" w:rsidRPr="00807DAF">
        <w:t>.</w:t>
      </w:r>
    </w:p>
    <w:p w:rsidR="005240D9" w:rsidRDefault="00ED5802" w:rsidP="006F280A">
      <w:bookmarkStart w:id="34" w:name="_Toc159211906"/>
      <w:bookmarkStart w:id="35" w:name="_Toc159212662"/>
      <w:bookmarkStart w:id="36" w:name="_Toc159212881"/>
      <w:bookmarkStart w:id="37"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bookmarkEnd w:id="34"/>
      <w:bookmarkEnd w:id="35"/>
      <w:bookmarkEnd w:id="36"/>
      <w:bookmarkEnd w:id="37"/>
    </w:p>
    <w:p w:rsidR="002C2415" w:rsidRDefault="002C2415" w:rsidP="006F280A">
      <w:pPr>
        <w:rPr>
          <w:b/>
        </w:rPr>
      </w:pPr>
      <w:r w:rsidRPr="002C2415">
        <w:rPr>
          <w:b/>
        </w:rPr>
        <w:t>Evaluation Grid</w:t>
      </w:r>
    </w:p>
    <w:tbl>
      <w:tblPr>
        <w:tblW w:w="9990" w:type="dxa"/>
        <w:tblLayout w:type="fixed"/>
        <w:tblLook w:val="01E0" w:firstRow="1" w:lastRow="1" w:firstColumn="1" w:lastColumn="1" w:noHBand="0" w:noVBand="0"/>
      </w:tblPr>
      <w:tblGrid>
        <w:gridCol w:w="8682"/>
        <w:gridCol w:w="1308"/>
      </w:tblGrid>
      <w:tr w:rsidR="00E901A4" w:rsidTr="006957A3">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1A4" w:rsidRDefault="00E901A4" w:rsidP="006957A3">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01A4" w:rsidRDefault="00E901A4" w:rsidP="006957A3">
            <w:pPr>
              <w:snapToGrid w:val="0"/>
              <w:jc w:val="center"/>
              <w:rPr>
                <w:b/>
                <w:szCs w:val="22"/>
              </w:rPr>
            </w:pPr>
            <w:r>
              <w:rPr>
                <w:b/>
                <w:szCs w:val="22"/>
              </w:rPr>
              <w:t>Maximum Score</w:t>
            </w:r>
          </w:p>
        </w:tc>
      </w:tr>
      <w:tr w:rsidR="00E901A4" w:rsidTr="006957A3">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01A4" w:rsidRDefault="00E901A4" w:rsidP="006957A3">
            <w:pPr>
              <w:snapToGrid w:val="0"/>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E901A4" w:rsidRDefault="00E901A4" w:rsidP="006957A3">
            <w:pPr>
              <w:snapToGrid w:val="0"/>
              <w:spacing w:before="120" w:after="120"/>
              <w:rPr>
                <w:b/>
                <w:szCs w:val="22"/>
              </w:rPr>
            </w:pPr>
            <w:r>
              <w:rPr>
                <w:b/>
                <w:noProof/>
                <w:szCs w:val="22"/>
              </w:rPr>
              <w:t>20</w:t>
            </w:r>
          </w:p>
        </w:tc>
      </w:tr>
      <w:tr w:rsidR="00E901A4" w:rsidTr="006957A3">
        <w:trPr>
          <w:trHeight w:val="62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ind w:left="340" w:hanging="340"/>
              <w:rPr>
                <w:szCs w:val="22"/>
              </w:rPr>
            </w:pPr>
            <w:r>
              <w:rPr>
                <w:noProof/>
                <w:szCs w:val="22"/>
              </w:rPr>
              <w:t>1.1.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62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ind w:left="340" w:hanging="340"/>
              <w:rPr>
                <w:szCs w:val="22"/>
              </w:rPr>
            </w:pPr>
            <w:r>
              <w:rPr>
                <w:noProof/>
                <w:szCs w:val="22"/>
              </w:rPr>
              <w:t>1.2. How relevant is the proposal to the particular needs and constraints of the target country(ies), region(s) and/or relevant sectors (including synergy with other development initiatives and avoidance of duplication)?</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62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ind w:left="340" w:hanging="340"/>
              <w:rPr>
                <w:szCs w:val="22"/>
              </w:rPr>
            </w:pPr>
            <w:r>
              <w:rPr>
                <w:noProof/>
                <w:szCs w:val="22"/>
              </w:rPr>
              <w:t>1.3. How clearly defined and strategically chosen are those involved (final beneficiaries, target groups)? Have their needs (as rights holders and/or duty bearers) and constraints been clearly defined and does the proposal address them appropriately?</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62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2C647B">
            <w:pPr>
              <w:snapToGrid w:val="0"/>
              <w:spacing w:before="120" w:after="120"/>
              <w:ind w:left="340" w:hanging="340"/>
              <w:rPr>
                <w:szCs w:val="22"/>
              </w:rPr>
            </w:pPr>
            <w:r>
              <w:rPr>
                <w:noProof/>
                <w:szCs w:val="22"/>
              </w:rPr>
              <w:t>1.4. Does the proposal contain particular added-value elements (e.g</w:t>
            </w:r>
            <w:r w:rsidR="002C647B">
              <w:rPr>
                <w:noProof/>
                <w:szCs w:val="22"/>
              </w:rPr>
              <w:t>. innovation, best practices)?</w:t>
            </w:r>
            <w:r w:rsidR="009C30EF">
              <w:rPr>
                <w:noProof/>
                <w:szCs w:val="22"/>
              </w:rPr>
              <w:t xml:space="preserve"> [and the other additional elements indicated under 1.2. of the guidelines for applicants]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01A4" w:rsidRDefault="00E901A4" w:rsidP="006957A3">
            <w:pPr>
              <w:snapToGrid w:val="0"/>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rsidR="00E901A4" w:rsidRDefault="00E901A4" w:rsidP="006957A3">
            <w:pPr>
              <w:snapToGrid w:val="0"/>
              <w:spacing w:before="120" w:after="120"/>
              <w:rPr>
                <w:b/>
                <w:szCs w:val="22"/>
              </w:rPr>
            </w:pPr>
            <w:r>
              <w:rPr>
                <w:b/>
                <w:bCs/>
                <w:noProof/>
                <w:szCs w:val="22"/>
              </w:rPr>
              <w:t>30</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rPr>
            </w:pPr>
            <w:r>
              <w:rPr>
                <w:noProof/>
                <w:szCs w:val="22"/>
              </w:rPr>
              <w:t>2.1. How coherent is the overall design of the action? Does the proposal indicate the expected results to be achieved by the action? Does the intervention logic explain the rationale to achieve the expected results?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5x2**</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rPr>
            </w:pPr>
            <w:r>
              <w:rPr>
                <w:noProof/>
                <w:szCs w:val="22"/>
              </w:rPr>
              <w:t>2.2. Does the design reflect a robust analysis of the problems involved, and the capacities of the relevant stakeholders?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rPr>
            </w:pPr>
            <w:r>
              <w:rPr>
                <w:noProof/>
                <w:szCs w:val="22"/>
              </w:rPr>
              <w:t>2.3. Does the design take into account external factors (risks and assumptions)?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rPr>
            </w:pPr>
            <w:r>
              <w:rPr>
                <w:noProof/>
                <w:szCs w:val="22"/>
              </w:rPr>
              <w:t>2.4. Are the activities feasible and consistent in relation to the expected results (including timeframe)? Are results (output, outcome and impact) realistic?</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rPr>
            </w:pPr>
            <w:r>
              <w:rPr>
                <w:noProof/>
                <w:szCs w:val="22"/>
              </w:rPr>
              <w:lastRenderedPageBreak/>
              <w:t>2.5.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E901A4" w:rsidRDefault="00E901A4" w:rsidP="006957A3">
            <w:pPr>
              <w:snapToGrid w:val="0"/>
              <w:spacing w:before="120" w:after="120"/>
              <w:rPr>
                <w:szCs w:val="22"/>
                <w:u w:val="single"/>
              </w:rPr>
            </w:pPr>
            <w:r>
              <w:rPr>
                <w:noProof/>
                <w:szCs w:val="22"/>
              </w:rPr>
              <w:t>5</w:t>
            </w:r>
          </w:p>
        </w:tc>
      </w:tr>
      <w:tr w:rsidR="00E901A4" w:rsidTr="006957A3">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rsidR="00E901A4" w:rsidRPr="008F32AC" w:rsidRDefault="00E901A4" w:rsidP="006957A3">
            <w:pPr>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rsidR="00E901A4" w:rsidRPr="008F32AC" w:rsidRDefault="00E901A4" w:rsidP="006957A3">
            <w:pPr>
              <w:keepNext/>
              <w:spacing w:before="120" w:after="120"/>
              <w:jc w:val="center"/>
              <w:rPr>
                <w:szCs w:val="22"/>
              </w:rPr>
            </w:pPr>
            <w:r w:rsidRPr="008F32AC">
              <w:rPr>
                <w:b/>
                <w:noProof/>
                <w:szCs w:val="22"/>
              </w:rPr>
              <w:t>50</w:t>
            </w:r>
          </w:p>
        </w:tc>
      </w:tr>
    </w:tbl>
    <w:p w:rsidR="00400B42" w:rsidRPr="00E901A4" w:rsidRDefault="00790B79" w:rsidP="006F280A">
      <w:pPr>
        <w:rPr>
          <w:b/>
          <w:bCs/>
          <w:snapToGrid/>
          <w:sz w:val="20"/>
        </w:rPr>
      </w:pPr>
      <w:r w:rsidRPr="00E901A4">
        <w:rPr>
          <w:b/>
          <w:bCs/>
          <w:snapToGrid/>
          <w:sz w:val="20"/>
        </w:rPr>
        <w:t>**</w:t>
      </w:r>
      <w:r w:rsidR="00D427C7">
        <w:rPr>
          <w:b/>
          <w:bCs/>
          <w:snapToGrid/>
          <w:sz w:val="20"/>
        </w:rPr>
        <w:t xml:space="preserve">: </w:t>
      </w:r>
      <w:r w:rsidR="00810C9F" w:rsidRPr="00E901A4">
        <w:rPr>
          <w:b/>
          <w:bCs/>
          <w:snapToGrid/>
          <w:sz w:val="20"/>
        </w:rPr>
        <w:t>this</w:t>
      </w:r>
      <w:r w:rsidR="000636F3" w:rsidRPr="00E901A4">
        <w:rPr>
          <w:b/>
          <w:bCs/>
          <w:snapToGrid/>
          <w:sz w:val="20"/>
        </w:rPr>
        <w:t xml:space="preserve"> score </w:t>
      </w:r>
      <w:r w:rsidR="00810C9F" w:rsidRPr="00E901A4">
        <w:rPr>
          <w:b/>
          <w:bCs/>
          <w:snapToGrid/>
          <w:sz w:val="20"/>
        </w:rPr>
        <w:t>is</w:t>
      </w:r>
      <w:r w:rsidR="000636F3" w:rsidRPr="00E901A4">
        <w:rPr>
          <w:b/>
          <w:bCs/>
          <w:snapToGrid/>
          <w:sz w:val="20"/>
        </w:rPr>
        <w:t xml:space="preserve"> multiplied by 2 because of </w:t>
      </w:r>
      <w:r w:rsidR="00810C9F" w:rsidRPr="00E901A4">
        <w:rPr>
          <w:b/>
          <w:bCs/>
          <w:snapToGrid/>
          <w:sz w:val="20"/>
        </w:rPr>
        <w:t>its</w:t>
      </w:r>
      <w:r w:rsidR="000636F3" w:rsidRPr="00E901A4">
        <w:rPr>
          <w:b/>
          <w:bCs/>
          <w:snapToGrid/>
          <w:sz w:val="20"/>
        </w:rPr>
        <w:t xml:space="preserve"> importance</w:t>
      </w:r>
    </w:p>
    <w:p w:rsidR="00726393" w:rsidRDefault="00726393" w:rsidP="006F280A">
      <w:r w:rsidRPr="00726393">
        <w:t xml:space="preserve">Note: A score of 5 (very good) will only be allocated if the proposal specifically addresses more than the required minimum number of priorities as indicated in Section 1.2 (objectives of the </w:t>
      </w:r>
      <w:r>
        <w:t>programme) of these guidelines.</w:t>
      </w:r>
    </w:p>
    <w:p w:rsidR="00400B42" w:rsidRPr="00807DAF" w:rsidRDefault="00400B42" w:rsidP="006F280A">
      <w:r w:rsidRPr="00807DAF">
        <w:t xml:space="preserve">Once all </w:t>
      </w:r>
      <w:r w:rsidR="00717ADB">
        <w:t>c</w:t>
      </w:r>
      <w:r w:rsidRPr="00807DAF">
        <w:t xml:space="preserve">oncept </w:t>
      </w:r>
      <w:r w:rsidR="00717ADB">
        <w:t>n</w:t>
      </w:r>
      <w:r w:rsidRPr="00807DAF">
        <w:t xml:space="preserve">otes have been assessed, a list will be </w:t>
      </w:r>
      <w:r w:rsidR="00C85211" w:rsidRPr="00807DAF">
        <w:t xml:space="preserve">drawn up </w:t>
      </w:r>
      <w:r w:rsidRPr="00807DAF">
        <w:t xml:space="preserve">with the proposed actions ranked according to their total score. </w:t>
      </w:r>
    </w:p>
    <w:p w:rsidR="00400B42" w:rsidRPr="00807DAF" w:rsidRDefault="001A4F8E" w:rsidP="006F280A">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least </w:t>
      </w:r>
      <w:r w:rsidR="00682B40" w:rsidRPr="00807DAF">
        <w:t xml:space="preserve">30 </w:t>
      </w:r>
      <w:r w:rsidR="00400B42" w:rsidRPr="00807DAF">
        <w:t xml:space="preserve">will be considered for pre-selection. </w:t>
      </w:r>
    </w:p>
    <w:p w:rsidR="00806B63" w:rsidRPr="00807DAF" w:rsidRDefault="00806B63" w:rsidP="006F280A">
      <w:r w:rsidRPr="00807DAF">
        <w:t xml:space="preserve">Secondly, the number of </w:t>
      </w:r>
      <w:r w:rsidR="00717ADB">
        <w:t>c</w:t>
      </w:r>
      <w:r w:rsidRPr="00807DAF">
        <w:t xml:space="preserve">oncept </w:t>
      </w:r>
      <w:r w:rsidR="00717ADB">
        <w:t>n</w:t>
      </w:r>
      <w:r w:rsidRPr="00807DAF">
        <w:t xml:space="preserve">otes will be reduced, taking account of the ranking, to the number of </w:t>
      </w:r>
      <w:r w:rsidR="00717ADB">
        <w:t>c</w:t>
      </w:r>
      <w:r w:rsidRPr="00807DAF">
        <w:t xml:space="preserve">oncept </w:t>
      </w:r>
      <w:r w:rsidR="00717ADB">
        <w:t>n</w:t>
      </w:r>
      <w:r w:rsidRPr="00807DAF">
        <w:t xml:space="preserve">otes whose total aggregate amount of requested contributions is equal to </w:t>
      </w:r>
      <w:r w:rsidR="00003F3A" w:rsidRPr="00003F3A">
        <w:t>3</w:t>
      </w:r>
      <w:r w:rsidRPr="00003F3A">
        <w:t>00%</w:t>
      </w:r>
      <w:r w:rsidRPr="00807DAF">
        <w:t xml:space="preserve"> of the available budget for this </w:t>
      </w:r>
      <w:r w:rsidR="00717ADB">
        <w:t>c</w:t>
      </w:r>
      <w:r w:rsidRPr="00807DAF">
        <w:t xml:space="preserve">all for </w:t>
      </w:r>
      <w:r w:rsidR="00717ADB">
        <w:t>p</w:t>
      </w:r>
      <w:r w:rsidRPr="00807DAF">
        <w:t>roposals. The amount of requested contributions of each concept note will be based on the indicative financial envelopes for each lot</w:t>
      </w:r>
      <w:r w:rsidR="00B114D9">
        <w:t>, where relevant</w:t>
      </w:r>
      <w:r w:rsidRPr="00807DAF">
        <w:t>.</w:t>
      </w:r>
    </w:p>
    <w:p w:rsidR="00530053" w:rsidRDefault="00CE6348" w:rsidP="00530053">
      <w:r>
        <w:t xml:space="preserve">Lead applicants will receive a letter indicating the reference number of their application and the respective results. This letter will automatically appear online in the PROSPECT profile of the lead applicant. </w:t>
      </w:r>
    </w:p>
    <w:p w:rsidR="007A3169" w:rsidRPr="00530053" w:rsidRDefault="00CE6348" w:rsidP="00530053">
      <w:r>
        <w:t xml:space="preserve">The pre-selected lead applicants will subsequently be invited to submit full applications. </w:t>
      </w:r>
      <w:r w:rsidR="00267E4F" w:rsidRPr="00807DAF">
        <w:rPr>
          <w:b/>
          <w:sz w:val="24"/>
          <w:szCs w:val="24"/>
        </w:rPr>
        <w:br w:type="page"/>
      </w:r>
      <w:r>
        <w:rPr>
          <w:b/>
          <w:sz w:val="24"/>
          <w:szCs w:val="24"/>
        </w:rPr>
        <w:lastRenderedPageBreak/>
        <w:t xml:space="preserve">(2) </w:t>
      </w:r>
      <w:r w:rsidR="009A51CA" w:rsidRPr="00807DAF">
        <w:rPr>
          <w:b/>
          <w:sz w:val="24"/>
          <w:szCs w:val="24"/>
        </w:rPr>
        <w:t xml:space="preserve">STEP </w:t>
      </w:r>
      <w:r w:rsidR="00B66332" w:rsidRPr="00807DAF">
        <w:rPr>
          <w:b/>
          <w:sz w:val="24"/>
          <w:szCs w:val="24"/>
        </w:rPr>
        <w:t>2</w:t>
      </w:r>
      <w:r w:rsidR="009A51CA" w:rsidRPr="00807DAF">
        <w:rPr>
          <w:b/>
          <w:sz w:val="24"/>
          <w:szCs w:val="24"/>
        </w:rPr>
        <w:t xml:space="preserve">: </w:t>
      </w:r>
      <w:r w:rsidR="00AC6CE1" w:rsidRPr="00807DAF">
        <w:rPr>
          <w:b/>
          <w:sz w:val="24"/>
          <w:szCs w:val="24"/>
        </w:rPr>
        <w:t xml:space="preserve">OPENING &amp; ADMINISTRATIVE CHECKS AND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r w:rsidR="0007408E" w:rsidRPr="00807DAF">
        <w:rPr>
          <w:b/>
          <w:sz w:val="24"/>
          <w:szCs w:val="24"/>
        </w:rPr>
        <w:t xml:space="preserve"> </w:t>
      </w:r>
    </w:p>
    <w:p w:rsidR="00047C7D" w:rsidRPr="00807DAF" w:rsidRDefault="00047C7D" w:rsidP="006F280A">
      <w:r w:rsidRPr="00807DAF">
        <w:rPr>
          <w:szCs w:val="24"/>
        </w:rPr>
        <w:t>First</w:t>
      </w:r>
      <w:r w:rsidR="00C4575C" w:rsidRPr="00807DAF">
        <w:rPr>
          <w:szCs w:val="24"/>
        </w:rPr>
        <w:t>ly</w:t>
      </w:r>
      <w:r w:rsidRPr="00807DAF">
        <w:rPr>
          <w:szCs w:val="24"/>
        </w:rPr>
        <w:t xml:space="preserve">, </w:t>
      </w:r>
      <w:r w:rsidRPr="00807DAF">
        <w:t>the following will be assessed:</w:t>
      </w:r>
    </w:p>
    <w:p w:rsidR="00047C7D" w:rsidRPr="00003F3A" w:rsidRDefault="00606AF7" w:rsidP="00F016A9">
      <w:pPr>
        <w:numPr>
          <w:ilvl w:val="0"/>
          <w:numId w:val="24"/>
        </w:numPr>
      </w:pPr>
      <w:r w:rsidRPr="00003F3A">
        <w:t xml:space="preserve">If the </w:t>
      </w:r>
      <w:r w:rsidR="00047C7D" w:rsidRPr="00003F3A">
        <w:t>submission deadline</w:t>
      </w:r>
      <w:r w:rsidRPr="00003F3A">
        <w:t xml:space="preserve"> has been met</w:t>
      </w:r>
      <w:r w:rsidR="00047C7D" w:rsidRPr="00003F3A">
        <w:t xml:space="preserve">. </w:t>
      </w:r>
      <w:r w:rsidRPr="00003F3A">
        <w:t>Otherwise</w:t>
      </w:r>
      <w:r w:rsidR="00F149E4" w:rsidRPr="00003F3A">
        <w:t xml:space="preserve">, </w:t>
      </w:r>
      <w:r w:rsidR="00047C7D" w:rsidRPr="00003F3A">
        <w:t xml:space="preserve">the application </w:t>
      </w:r>
      <w:r w:rsidR="00003F3A" w:rsidRPr="00003F3A">
        <w:t>will automatically be rejected.</w:t>
      </w:r>
    </w:p>
    <w:p w:rsidR="00047C7D" w:rsidRPr="00807DAF" w:rsidRDefault="00606AF7" w:rsidP="00F016A9">
      <w:pPr>
        <w:numPr>
          <w:ilvl w:val="0"/>
          <w:numId w:val="24"/>
        </w:numPr>
      </w:pPr>
      <w:r>
        <w:t>If t</w:t>
      </w:r>
      <w:r w:rsidR="00047C7D" w:rsidRPr="00807DAF">
        <w:t>he full application satisfies all the criteria</w:t>
      </w:r>
      <w:r>
        <w:t xml:space="preserve"> </w:t>
      </w:r>
      <w:r w:rsidR="00047C7D" w:rsidRPr="00807DAF">
        <w:t xml:space="preserve">specified in the </w:t>
      </w:r>
      <w:r w:rsidR="0092399A">
        <w:t>c</w:t>
      </w:r>
      <w:r w:rsidR="00047C7D" w:rsidRPr="00807DAF">
        <w:t>hecklist (</w:t>
      </w:r>
      <w:r w:rsidR="00E901A4">
        <w:t xml:space="preserve">of </w:t>
      </w:r>
      <w:r w:rsidR="00047C7D" w:rsidRPr="00807DAF">
        <w:t xml:space="preserve">the grant application form). </w:t>
      </w:r>
      <w:r w:rsidR="0092399A">
        <w:t xml:space="preserve">This includes also an assessment of the eligibility of the action. </w:t>
      </w:r>
      <w:r w:rsidR="0092399A" w:rsidRPr="00807DAF">
        <w:t xml:space="preserve"> </w:t>
      </w:r>
      <w:r w:rsidR="00047C7D" w:rsidRPr="00807DAF">
        <w:t xml:space="preserve">If any of the requested information is missing or is incorrect, the application may be rejected on that </w:t>
      </w:r>
      <w:r w:rsidR="00047C7D" w:rsidRPr="00807DAF">
        <w:rPr>
          <w:b/>
          <w:u w:val="single"/>
        </w:rPr>
        <w:t>sole</w:t>
      </w:r>
      <w:r w:rsidR="00047C7D" w:rsidRPr="00807DAF">
        <w:t xml:space="preserve"> basis and the application will not be evaluated further.</w:t>
      </w:r>
    </w:p>
    <w:p w:rsidR="0007408E" w:rsidRPr="00807DAF" w:rsidRDefault="0086780C" w:rsidP="006F280A">
      <w:r w:rsidRPr="00807DAF">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affiliated entity(ies)</w:t>
      </w:r>
      <w:r w:rsidR="00606AF7">
        <w:t>. They</w:t>
      </w:r>
      <w:r w:rsidR="00047C7D" w:rsidRPr="00807DAF">
        <w:t xml:space="preserve"> will be </w:t>
      </w:r>
      <w:r w:rsidR="00F149E4" w:rsidRPr="00807DAF">
        <w:t>evaluated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rsidR="0007408E" w:rsidRPr="00807DAF" w:rsidRDefault="0007408E" w:rsidP="006F280A">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en</w:t>
      </w:r>
      <w:r w:rsidR="00A8066A" w:rsidRPr="00807DAF">
        <w:t>t</w:t>
      </w:r>
      <w:r w:rsidR="00FA2479" w:rsidRPr="00807DAF">
        <w:t>ity(ies)</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rsidR="0007408E" w:rsidRPr="00807DAF" w:rsidRDefault="0007408E" w:rsidP="00F016A9">
      <w:pPr>
        <w:numPr>
          <w:ilvl w:val="0"/>
          <w:numId w:val="25"/>
        </w:numPr>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rsidR="0007408E" w:rsidRDefault="0007408E" w:rsidP="00F016A9">
      <w:pPr>
        <w:numPr>
          <w:ilvl w:val="0"/>
          <w:numId w:val="25"/>
        </w:numPr>
      </w:pPr>
      <w:r w:rsidRPr="00807DAF">
        <w:t xml:space="preserve">have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affiliated entity(ies)</w:t>
      </w:r>
      <w:r w:rsidRPr="00807DAF">
        <w:t>.</w:t>
      </w:r>
    </w:p>
    <w:p w:rsidR="00E901A4" w:rsidRDefault="00E901A4" w:rsidP="006F280A">
      <w:pPr>
        <w:rPr>
          <w:b/>
          <w:u w:val="single"/>
        </w:rPr>
      </w:pPr>
      <w:bookmarkStart w:id="38" w:name="_Hlk522123628"/>
      <w:r w:rsidRPr="007904B1">
        <w:t xml:space="preserve">For the purpose of the evaluation of the financial capacity, </w:t>
      </w:r>
      <w:r>
        <w:t>lead a</w:t>
      </w:r>
      <w:r w:rsidRPr="007904B1">
        <w:t xml:space="preserve">pplicants must ensure that the relevant information and documents </w:t>
      </w:r>
      <w:r>
        <w:t xml:space="preserve">(i.e. </w:t>
      </w:r>
      <w:r w:rsidRPr="0086420D">
        <w:rPr>
          <w:szCs w:val="22"/>
          <w:lang w:eastAsia="en-GB"/>
        </w:rPr>
        <w:t>accounts of the latest financial year</w:t>
      </w:r>
      <w:r>
        <w:rPr>
          <w:szCs w:val="22"/>
          <w:lang w:eastAsia="en-GB"/>
        </w:rPr>
        <w:t xml:space="preserve"> and external audit report, where applicable</w:t>
      </w:r>
      <w:r>
        <w:t xml:space="preserve">) </w:t>
      </w:r>
      <w:r w:rsidRPr="007904B1">
        <w:t>in their PADOR profile are up to date. If the information and documents in PADOR are outdated and do not allow for a proper evaluation of the financial capacity</w:t>
      </w:r>
      <w:r>
        <w:t>, the application may be rejected.</w:t>
      </w:r>
      <w:bookmarkEnd w:id="38"/>
    </w:p>
    <w:p w:rsidR="0007408E" w:rsidRPr="00807DAF" w:rsidRDefault="0007408E" w:rsidP="006F280A">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rsidR="00ED5802" w:rsidRPr="00807DAF" w:rsidRDefault="00ED5802" w:rsidP="006F280A">
      <w:pPr>
        <w:rPr>
          <w:i/>
        </w:rPr>
      </w:pPr>
      <w:r w:rsidRPr="00807DAF">
        <w:rPr>
          <w:i/>
        </w:rPr>
        <w:t>Scoring:</w:t>
      </w:r>
    </w:p>
    <w:p w:rsidR="00ED5802" w:rsidRPr="00807DAF" w:rsidRDefault="00ED5802" w:rsidP="006F280A">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rsidR="00CE6348" w:rsidRPr="00807DAF" w:rsidRDefault="004B7BC2" w:rsidP="00CE6348">
      <w:pPr>
        <w:rPr>
          <w:b/>
        </w:rPr>
      </w:pPr>
      <w:r>
        <w:rPr>
          <w:b/>
        </w:rPr>
        <w:br w:type="page"/>
      </w:r>
      <w:r w:rsidR="00CE6348" w:rsidRPr="00807DAF">
        <w:rPr>
          <w:b/>
        </w:rPr>
        <w:lastRenderedPageBreak/>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E901A4" w:rsidRPr="00807DAF" w:rsidTr="006957A3">
        <w:tc>
          <w:tcPr>
            <w:tcW w:w="8472" w:type="dxa"/>
            <w:vAlign w:val="center"/>
          </w:tcPr>
          <w:p w:rsidR="00E901A4" w:rsidRPr="00E94A3D" w:rsidRDefault="00E901A4" w:rsidP="006957A3">
            <w:pPr>
              <w:rPr>
                <w:b/>
                <w:szCs w:val="22"/>
              </w:rPr>
            </w:pPr>
            <w:r w:rsidRPr="00E94A3D">
              <w:rPr>
                <w:b/>
                <w:szCs w:val="22"/>
              </w:rPr>
              <w:t>Section</w:t>
            </w:r>
          </w:p>
        </w:tc>
        <w:tc>
          <w:tcPr>
            <w:tcW w:w="1275" w:type="dxa"/>
            <w:vAlign w:val="center"/>
          </w:tcPr>
          <w:p w:rsidR="00E901A4" w:rsidRPr="00E94A3D" w:rsidRDefault="00E901A4" w:rsidP="006957A3">
            <w:pPr>
              <w:jc w:val="center"/>
              <w:rPr>
                <w:b/>
                <w:szCs w:val="22"/>
              </w:rPr>
            </w:pPr>
            <w:r w:rsidRPr="00E94A3D">
              <w:rPr>
                <w:b/>
                <w:szCs w:val="22"/>
              </w:rPr>
              <w:t>Maximum Score</w:t>
            </w:r>
          </w:p>
        </w:tc>
      </w:tr>
      <w:tr w:rsidR="00E901A4" w:rsidRPr="00807DAF" w:rsidTr="006957A3">
        <w:tc>
          <w:tcPr>
            <w:tcW w:w="8472" w:type="dxa"/>
            <w:shd w:val="pct10" w:color="auto" w:fill="FFFFFF"/>
            <w:vAlign w:val="center"/>
          </w:tcPr>
          <w:p w:rsidR="00E901A4" w:rsidRPr="00E94A3D" w:rsidRDefault="00E901A4" w:rsidP="006957A3">
            <w:pPr>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rsidR="00E901A4" w:rsidRPr="00E94A3D" w:rsidRDefault="00E901A4" w:rsidP="006957A3">
            <w:pPr>
              <w:spacing w:before="120" w:after="120"/>
              <w:jc w:val="center"/>
              <w:rPr>
                <w:b/>
                <w:szCs w:val="22"/>
              </w:rPr>
            </w:pPr>
            <w:r w:rsidRPr="00E94A3D">
              <w:rPr>
                <w:b/>
                <w:noProof/>
                <w:szCs w:val="22"/>
              </w:rPr>
              <w:t>20</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1.4. Does the lead applicant have stable and sufficient sources of finance?</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shd w:val="pct10" w:color="auto" w:fill="FFFFFF"/>
            <w:vAlign w:val="center"/>
          </w:tcPr>
          <w:p w:rsidR="00E901A4" w:rsidRPr="00E94A3D" w:rsidRDefault="00E901A4" w:rsidP="006957A3">
            <w:pPr>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rsidR="00E901A4" w:rsidRPr="00E94A3D" w:rsidRDefault="00E901A4" w:rsidP="006957A3">
            <w:pPr>
              <w:spacing w:before="120" w:after="120"/>
              <w:jc w:val="center"/>
              <w:rPr>
                <w:b/>
                <w:szCs w:val="22"/>
              </w:rPr>
            </w:pPr>
            <w:r w:rsidRPr="00E94A3D">
              <w:rPr>
                <w:b/>
                <w:noProof/>
                <w:szCs w:val="22"/>
              </w:rPr>
              <w:t>20</w:t>
            </w:r>
          </w:p>
        </w:tc>
      </w:tr>
      <w:tr w:rsidR="00E901A4" w:rsidRPr="00807DAF" w:rsidTr="006957A3">
        <w:tc>
          <w:tcPr>
            <w:tcW w:w="8472" w:type="dxa"/>
            <w:shd w:val="clear" w:color="auto" w:fill="FFFFFF"/>
          </w:tcPr>
          <w:p w:rsidR="00E901A4" w:rsidRPr="00E94A3D" w:rsidRDefault="00E901A4" w:rsidP="006957A3">
            <w:pPr>
              <w:spacing w:before="120" w:after="120"/>
              <w:rPr>
                <w:i/>
                <w:szCs w:val="22"/>
              </w:rPr>
            </w:pPr>
            <w:r w:rsidRPr="00E94A3D">
              <w:rPr>
                <w:noProof/>
                <w:szCs w:val="22"/>
              </w:rPr>
              <w:t>2.1.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rsidR="00E901A4" w:rsidRPr="00E94A3D" w:rsidRDefault="00E901A4" w:rsidP="006957A3">
            <w:pPr>
              <w:spacing w:before="120" w:after="120"/>
              <w:jc w:val="center"/>
              <w:rPr>
                <w:b/>
                <w:szCs w:val="22"/>
              </w:rPr>
            </w:pPr>
            <w:r w:rsidRPr="00E94A3D">
              <w:rPr>
                <w:noProof/>
                <w:szCs w:val="22"/>
              </w:rPr>
              <w:t>5</w:t>
            </w:r>
          </w:p>
        </w:tc>
      </w:tr>
      <w:tr w:rsidR="00E901A4" w:rsidRPr="00807DAF" w:rsidTr="006957A3">
        <w:tc>
          <w:tcPr>
            <w:tcW w:w="8472" w:type="dxa"/>
            <w:shd w:val="clear" w:color="auto" w:fill="FFFFFF"/>
          </w:tcPr>
          <w:p w:rsidR="00E901A4" w:rsidRPr="00E94A3D" w:rsidRDefault="00E901A4" w:rsidP="006957A3">
            <w:pPr>
              <w:spacing w:before="120" w:after="120"/>
              <w:rPr>
                <w:i/>
                <w:szCs w:val="22"/>
              </w:rPr>
            </w:pPr>
            <w:r w:rsidRPr="00E94A3D">
              <w:rPr>
                <w:noProof/>
                <w:szCs w:val="22"/>
              </w:rPr>
              <w:t>2.2. How relevant is the proposal to the particular needs and constraints of the target country(ies), region(s) and/or relevant sectors (including synergy with other development initiatives and avoidance of duplication)?</w:t>
            </w:r>
          </w:p>
        </w:tc>
        <w:tc>
          <w:tcPr>
            <w:tcW w:w="1275" w:type="dxa"/>
            <w:shd w:val="clear" w:color="auto" w:fill="FFFFFF"/>
            <w:vAlign w:val="center"/>
          </w:tcPr>
          <w:p w:rsidR="00E901A4" w:rsidRPr="00E94A3D" w:rsidRDefault="00E901A4" w:rsidP="006957A3">
            <w:pPr>
              <w:spacing w:before="120" w:after="120"/>
              <w:jc w:val="center"/>
              <w:rPr>
                <w:b/>
                <w:szCs w:val="22"/>
              </w:rPr>
            </w:pPr>
            <w:r w:rsidRPr="00E94A3D">
              <w:rPr>
                <w:noProof/>
                <w:szCs w:val="22"/>
              </w:rPr>
              <w:t>5</w:t>
            </w:r>
          </w:p>
        </w:tc>
      </w:tr>
      <w:tr w:rsidR="00E901A4" w:rsidRPr="00807DAF" w:rsidTr="006957A3">
        <w:tc>
          <w:tcPr>
            <w:tcW w:w="8472" w:type="dxa"/>
            <w:shd w:val="clear" w:color="auto" w:fill="FFFFFF"/>
          </w:tcPr>
          <w:p w:rsidR="00E901A4" w:rsidRPr="00E94A3D" w:rsidRDefault="00E901A4" w:rsidP="006957A3">
            <w:pPr>
              <w:spacing w:before="120" w:after="120"/>
              <w:rPr>
                <w:i/>
                <w:szCs w:val="22"/>
              </w:rPr>
            </w:pPr>
            <w:r w:rsidRPr="00E94A3D">
              <w:rPr>
                <w:noProof/>
                <w:szCs w:val="22"/>
              </w:rPr>
              <w:t>2.3. 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rsidR="00E901A4" w:rsidRPr="00E94A3D" w:rsidRDefault="00E901A4" w:rsidP="006957A3">
            <w:pPr>
              <w:spacing w:before="120" w:after="120"/>
              <w:jc w:val="center"/>
              <w:rPr>
                <w:b/>
                <w:szCs w:val="22"/>
              </w:rPr>
            </w:pPr>
            <w:r w:rsidRPr="00E94A3D">
              <w:rPr>
                <w:noProof/>
                <w:szCs w:val="22"/>
              </w:rPr>
              <w:t>5</w:t>
            </w:r>
          </w:p>
        </w:tc>
      </w:tr>
      <w:tr w:rsidR="00E901A4" w:rsidRPr="00807DAF" w:rsidTr="006957A3">
        <w:tc>
          <w:tcPr>
            <w:tcW w:w="8472" w:type="dxa"/>
            <w:shd w:val="clear" w:color="auto" w:fill="FFFFFF"/>
          </w:tcPr>
          <w:p w:rsidR="00E901A4" w:rsidRPr="00E94A3D" w:rsidRDefault="00E901A4" w:rsidP="006957A3">
            <w:pPr>
              <w:spacing w:before="120" w:after="120"/>
              <w:rPr>
                <w:i/>
                <w:szCs w:val="22"/>
              </w:rPr>
            </w:pPr>
            <w:r w:rsidRPr="00E94A3D">
              <w:rPr>
                <w:noProof/>
                <w:szCs w:val="22"/>
              </w:rPr>
              <w:t>2.4. Does the proposal contain particular added-value elements (e.g. innovation, best practices) ? [and the other additional elements indicated under 1.2. of the guidelines for applicants]</w:t>
            </w:r>
          </w:p>
        </w:tc>
        <w:tc>
          <w:tcPr>
            <w:tcW w:w="1275" w:type="dxa"/>
            <w:shd w:val="clear" w:color="auto" w:fill="FFFFFF"/>
            <w:vAlign w:val="center"/>
          </w:tcPr>
          <w:p w:rsidR="00E901A4" w:rsidRPr="00E94A3D" w:rsidRDefault="00E901A4" w:rsidP="006957A3">
            <w:pPr>
              <w:spacing w:before="120" w:after="120"/>
              <w:jc w:val="center"/>
              <w:rPr>
                <w:b/>
                <w:szCs w:val="22"/>
              </w:rPr>
            </w:pPr>
            <w:r w:rsidRPr="00E94A3D">
              <w:rPr>
                <w:noProof/>
                <w:szCs w:val="22"/>
              </w:rPr>
              <w:t>5</w:t>
            </w:r>
          </w:p>
        </w:tc>
      </w:tr>
      <w:tr w:rsidR="00E901A4" w:rsidRPr="00807DAF" w:rsidTr="006957A3">
        <w:tc>
          <w:tcPr>
            <w:tcW w:w="8472" w:type="dxa"/>
            <w:shd w:val="pct10" w:color="auto" w:fill="FFFFFF"/>
            <w:vAlign w:val="center"/>
          </w:tcPr>
          <w:p w:rsidR="00E901A4" w:rsidRPr="00E94A3D" w:rsidRDefault="00E901A4" w:rsidP="006957A3">
            <w:pPr>
              <w:rPr>
                <w:szCs w:val="22"/>
              </w:rPr>
            </w:pPr>
            <w:r w:rsidRPr="00E94A3D">
              <w:rPr>
                <w:b/>
                <w:szCs w:val="22"/>
              </w:rPr>
              <w:t xml:space="preserve">3. </w:t>
            </w:r>
            <w:r w:rsidRPr="00E94A3D">
              <w:rPr>
                <w:b/>
                <w:noProof/>
                <w:szCs w:val="22"/>
              </w:rPr>
              <w:t>Design of the action</w:t>
            </w:r>
          </w:p>
        </w:tc>
        <w:tc>
          <w:tcPr>
            <w:tcW w:w="1275" w:type="dxa"/>
            <w:shd w:val="pct10" w:color="auto" w:fill="FFFFFF"/>
            <w:vAlign w:val="center"/>
          </w:tcPr>
          <w:p w:rsidR="00E901A4" w:rsidRPr="00E94A3D" w:rsidRDefault="00E901A4" w:rsidP="006957A3">
            <w:pPr>
              <w:spacing w:before="120" w:after="120"/>
              <w:jc w:val="center"/>
              <w:rPr>
                <w:b/>
                <w:szCs w:val="22"/>
              </w:rPr>
            </w:pPr>
            <w:r w:rsidRPr="00E94A3D">
              <w:rPr>
                <w:b/>
                <w:noProof/>
                <w:szCs w:val="22"/>
              </w:rPr>
              <w:t>15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3.2. Does the proposal/Logical Framework include credible baseline, targets and sources of verification? If not, is a baseline study foreseen (and is the study budgeted appropriately in the proposal)?</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3.3. Does the design reflect a robust analysis of the problems involved, and the capacities of the relevant stakeholders?</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shd w:val="pct10" w:color="auto" w:fill="FFFFFF"/>
            <w:vAlign w:val="center"/>
          </w:tcPr>
          <w:p w:rsidR="00E901A4" w:rsidRPr="00E94A3D" w:rsidRDefault="00E901A4" w:rsidP="006957A3">
            <w:pPr>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rsidR="00E901A4" w:rsidRPr="00E94A3D" w:rsidRDefault="00E901A4" w:rsidP="006957A3">
            <w:pPr>
              <w:spacing w:before="120" w:after="120"/>
              <w:jc w:val="center"/>
              <w:rPr>
                <w:b/>
                <w:szCs w:val="22"/>
              </w:rPr>
            </w:pPr>
            <w:r w:rsidRPr="00E94A3D">
              <w:rPr>
                <w:b/>
                <w:noProof/>
                <w:szCs w:val="22"/>
              </w:rPr>
              <w:t>15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4.1. Is the action plan for implementing the action clear and feasible? Is the timeline realistic?</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 xml:space="preserve">4.2. Does the proposal include an effective and efficient monitoring system? Is there an </w:t>
            </w:r>
            <w:r w:rsidRPr="00E94A3D">
              <w:rPr>
                <w:noProof/>
                <w:szCs w:val="22"/>
              </w:rPr>
              <w:lastRenderedPageBreak/>
              <w:t>evaluation planned (previous, during or/and at the end of the implementation)?</w:t>
            </w:r>
          </w:p>
        </w:tc>
        <w:tc>
          <w:tcPr>
            <w:tcW w:w="1275" w:type="dxa"/>
          </w:tcPr>
          <w:p w:rsidR="00E901A4" w:rsidRPr="00E94A3D" w:rsidRDefault="00E901A4" w:rsidP="006957A3">
            <w:pPr>
              <w:spacing w:before="120" w:after="120"/>
              <w:jc w:val="center"/>
              <w:rPr>
                <w:szCs w:val="22"/>
              </w:rPr>
            </w:pPr>
            <w:r w:rsidRPr="00E94A3D">
              <w:rPr>
                <w:noProof/>
                <w:szCs w:val="22"/>
              </w:rPr>
              <w:lastRenderedPageBreak/>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4.3. Is the co-applicant(s)'s and affiliated entity(ies)'s level of involvement and participation in the action satisfactory?</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shd w:val="pct10" w:color="auto" w:fill="FFFFFF"/>
            <w:vAlign w:val="center"/>
          </w:tcPr>
          <w:p w:rsidR="00E901A4" w:rsidRPr="00E94A3D" w:rsidRDefault="00E901A4" w:rsidP="006957A3">
            <w:pPr>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rsidR="00E901A4" w:rsidRPr="00E94A3D" w:rsidRDefault="00E901A4" w:rsidP="006957A3">
            <w:pPr>
              <w:spacing w:before="120" w:after="120"/>
              <w:jc w:val="center"/>
              <w:rPr>
                <w:b/>
                <w:szCs w:val="22"/>
              </w:rPr>
            </w:pPr>
            <w:r w:rsidRPr="00E94A3D">
              <w:rPr>
                <w:b/>
                <w:noProof/>
                <w:szCs w:val="22"/>
              </w:rPr>
              <w:t>15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5.1. Is the action likely to have a tangible impact on its target groups?</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5.2. Is the action likely to have multiplier effects, including scope for replication, extension capitalisation on experience and knowledge sharing?</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sidRPr="00E94A3D">
              <w:rPr>
                <w:noProof/>
                <w:szCs w:val="22"/>
              </w:rPr>
              <w:t>5.3. Are the expected results of the proposed action sustainable?- Financially (e.g. financing of follow-up activities, sources of revenue for covering all future operating and maintenance costs)- Institutionally (will structures allow the results of the action to be sustained at the end of the action? Will there be local ‘ownership’ of the results of the action?)- At policy level (where applicable) (what will be the structural impact of the action — e.g. improved legislation, codes of conduct, methods) - Environmentally (if applicable) (will the action have a negative/positive environmental impact?)</w:t>
            </w:r>
          </w:p>
        </w:tc>
        <w:tc>
          <w:tcPr>
            <w:tcW w:w="1275" w:type="dxa"/>
          </w:tcPr>
          <w:p w:rsidR="00E901A4" w:rsidRPr="00E94A3D" w:rsidRDefault="00E901A4" w:rsidP="006957A3">
            <w:pPr>
              <w:spacing w:before="120" w:after="120"/>
              <w:jc w:val="center"/>
              <w:rPr>
                <w:szCs w:val="22"/>
              </w:rPr>
            </w:pPr>
            <w:r w:rsidRPr="00E94A3D">
              <w:rPr>
                <w:noProof/>
                <w:szCs w:val="22"/>
              </w:rPr>
              <w:t>5</w:t>
            </w:r>
          </w:p>
        </w:tc>
      </w:tr>
      <w:tr w:rsidR="00E901A4" w:rsidRPr="00807DAF" w:rsidTr="006957A3">
        <w:tc>
          <w:tcPr>
            <w:tcW w:w="8472" w:type="dxa"/>
            <w:shd w:val="clear" w:color="auto" w:fill="E5E5E5"/>
            <w:vAlign w:val="center"/>
          </w:tcPr>
          <w:p w:rsidR="00E901A4" w:rsidRPr="00E94A3D" w:rsidRDefault="00E901A4" w:rsidP="006957A3">
            <w:pPr>
              <w:rPr>
                <w:szCs w:val="22"/>
              </w:rPr>
            </w:pPr>
            <w:r w:rsidRPr="00E94A3D">
              <w:rPr>
                <w:szCs w:val="22"/>
              </w:rPr>
              <w:br w:type="page"/>
            </w:r>
            <w:r>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rsidR="00E901A4" w:rsidRPr="00E94A3D" w:rsidRDefault="00E901A4" w:rsidP="006957A3">
            <w:pPr>
              <w:spacing w:before="120" w:after="120"/>
              <w:jc w:val="center"/>
              <w:rPr>
                <w:b/>
                <w:szCs w:val="22"/>
              </w:rPr>
            </w:pPr>
            <w:r>
              <w:rPr>
                <w:b/>
                <w:noProof/>
                <w:szCs w:val="22"/>
              </w:rPr>
              <w:t>15</w:t>
            </w:r>
          </w:p>
        </w:tc>
      </w:tr>
      <w:tr w:rsidR="00E901A4" w:rsidRPr="00807DAF" w:rsidTr="006957A3">
        <w:tc>
          <w:tcPr>
            <w:tcW w:w="8472" w:type="dxa"/>
          </w:tcPr>
          <w:p w:rsidR="00E901A4" w:rsidRPr="00E94A3D" w:rsidRDefault="00E901A4" w:rsidP="006957A3">
            <w:pPr>
              <w:spacing w:before="120" w:after="120"/>
              <w:ind w:left="340" w:hanging="340"/>
              <w:rPr>
                <w:szCs w:val="22"/>
              </w:rPr>
            </w:pPr>
            <w:r>
              <w:rPr>
                <w:noProof/>
                <w:szCs w:val="22"/>
              </w:rPr>
              <w:t>6.1. Are the activities appropriately reflected in the budget?</w:t>
            </w:r>
          </w:p>
        </w:tc>
        <w:tc>
          <w:tcPr>
            <w:tcW w:w="1275" w:type="dxa"/>
          </w:tcPr>
          <w:p w:rsidR="00E901A4" w:rsidRPr="00E94A3D" w:rsidRDefault="00E901A4" w:rsidP="006957A3">
            <w:pPr>
              <w:spacing w:before="120" w:after="120"/>
              <w:jc w:val="center"/>
              <w:rPr>
                <w:szCs w:val="22"/>
              </w:rPr>
            </w:pPr>
            <w:r>
              <w:rPr>
                <w:noProof/>
                <w:szCs w:val="22"/>
              </w:rPr>
              <w:t>5</w:t>
            </w:r>
          </w:p>
        </w:tc>
      </w:tr>
      <w:tr w:rsidR="00E901A4" w:rsidRPr="00807DAF" w:rsidTr="006957A3">
        <w:tc>
          <w:tcPr>
            <w:tcW w:w="8472" w:type="dxa"/>
          </w:tcPr>
          <w:p w:rsidR="00E901A4" w:rsidRPr="00E94A3D" w:rsidRDefault="00E901A4" w:rsidP="006957A3">
            <w:pPr>
              <w:spacing w:before="120" w:after="120"/>
              <w:ind w:left="340" w:hanging="340"/>
              <w:rPr>
                <w:szCs w:val="22"/>
              </w:rPr>
            </w:pPr>
            <w:r>
              <w:rPr>
                <w:noProof/>
                <w:szCs w:val="22"/>
              </w:rPr>
              <w:t>6.2. Is the ratio between the estimated costs and the expected results satisfactory?</w:t>
            </w:r>
          </w:p>
        </w:tc>
        <w:tc>
          <w:tcPr>
            <w:tcW w:w="1275" w:type="dxa"/>
          </w:tcPr>
          <w:p w:rsidR="00E901A4" w:rsidRPr="00E94A3D" w:rsidRDefault="00E901A4" w:rsidP="006957A3">
            <w:pPr>
              <w:spacing w:before="120" w:after="120"/>
              <w:jc w:val="center"/>
              <w:rPr>
                <w:szCs w:val="22"/>
              </w:rPr>
            </w:pPr>
            <w:r>
              <w:rPr>
                <w:noProof/>
                <w:szCs w:val="22"/>
              </w:rPr>
              <w:t>5x2**</w:t>
            </w:r>
          </w:p>
        </w:tc>
      </w:tr>
      <w:tr w:rsidR="00E901A4" w:rsidRPr="00807DAF" w:rsidTr="006957A3">
        <w:tc>
          <w:tcPr>
            <w:tcW w:w="8472" w:type="dxa"/>
            <w:shd w:val="pct10" w:color="auto" w:fill="FFFFFF"/>
            <w:vAlign w:val="center"/>
          </w:tcPr>
          <w:p w:rsidR="00E901A4" w:rsidRPr="00E94A3D" w:rsidRDefault="00E901A4" w:rsidP="006957A3">
            <w:pPr>
              <w:rPr>
                <w:b/>
                <w:szCs w:val="22"/>
              </w:rPr>
            </w:pPr>
            <w:r w:rsidRPr="00E94A3D">
              <w:rPr>
                <w:b/>
                <w:szCs w:val="22"/>
              </w:rPr>
              <w:t>Maximum total score</w:t>
            </w:r>
          </w:p>
        </w:tc>
        <w:tc>
          <w:tcPr>
            <w:tcW w:w="1275" w:type="dxa"/>
            <w:shd w:val="pct10" w:color="auto" w:fill="FFFFFF"/>
            <w:vAlign w:val="center"/>
          </w:tcPr>
          <w:p w:rsidR="00E901A4" w:rsidRPr="00E94A3D" w:rsidRDefault="00E901A4" w:rsidP="006957A3">
            <w:pPr>
              <w:keepNext/>
              <w:spacing w:before="120" w:after="120"/>
              <w:jc w:val="center"/>
              <w:rPr>
                <w:b/>
                <w:szCs w:val="22"/>
              </w:rPr>
            </w:pPr>
            <w:r w:rsidRPr="00E94A3D">
              <w:rPr>
                <w:b/>
                <w:noProof/>
                <w:szCs w:val="22"/>
              </w:rPr>
              <w:t>100</w:t>
            </w:r>
          </w:p>
        </w:tc>
      </w:tr>
    </w:tbl>
    <w:p w:rsidR="00CE6348" w:rsidRPr="00E901A4" w:rsidRDefault="00CE6348" w:rsidP="00CE6348">
      <w:pPr>
        <w:rPr>
          <w:b/>
          <w:bCs/>
          <w:snapToGrid/>
          <w:sz w:val="20"/>
        </w:rPr>
      </w:pPr>
      <w:r w:rsidRPr="00E901A4">
        <w:rPr>
          <w:b/>
          <w:bCs/>
          <w:snapToGrid/>
          <w:sz w:val="20"/>
        </w:rPr>
        <w:t>**</w:t>
      </w:r>
      <w:r w:rsidR="00D427C7">
        <w:rPr>
          <w:b/>
          <w:bCs/>
          <w:snapToGrid/>
          <w:sz w:val="20"/>
        </w:rPr>
        <w:t xml:space="preserve">: </w:t>
      </w:r>
      <w:r w:rsidRPr="00E901A4">
        <w:rPr>
          <w:b/>
          <w:bCs/>
          <w:snapToGrid/>
          <w:sz w:val="20"/>
        </w:rPr>
        <w:t>this score is multiplied by 2 because of its importance</w:t>
      </w:r>
    </w:p>
    <w:p w:rsidR="00F248A3" w:rsidRDefault="00F248A3" w:rsidP="00CE6348">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rsidR="00B975FF" w:rsidRPr="00807DAF" w:rsidRDefault="00B975FF" w:rsidP="006F280A">
      <w:r>
        <w:t xml:space="preserve">If the lead applicant applies without co-applicants or affiliated entities the score for point </w:t>
      </w:r>
      <w:r w:rsidR="000B047E">
        <w:t>4</w:t>
      </w:r>
      <w:r w:rsidR="00F21DAD">
        <w:t>.3</w:t>
      </w:r>
      <w:r>
        <w:t xml:space="preserve"> shall be 5 unless the involvement of co-applicants or affiliated entities is mandatory according to these guidelines for applicants.  </w:t>
      </w:r>
    </w:p>
    <w:p w:rsidR="00ED5802" w:rsidRPr="00807DAF" w:rsidRDefault="00ED5802" w:rsidP="006F280A">
      <w:pPr>
        <w:rPr>
          <w:i/>
        </w:rPr>
      </w:pPr>
      <w:r w:rsidRPr="00807DAF">
        <w:rPr>
          <w:i/>
        </w:rPr>
        <w:t>Provisional selection</w:t>
      </w:r>
    </w:p>
    <w:p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p>
    <w:p w:rsidR="00F20A9C" w:rsidRPr="00807DAF" w:rsidRDefault="00267E4F" w:rsidP="00F016A9">
      <w:pPr>
        <w:numPr>
          <w:ilvl w:val="0"/>
          <w:numId w:val="42"/>
        </w:numPr>
        <w:tabs>
          <w:tab w:val="left" w:pos="426"/>
        </w:tabs>
        <w:spacing w:before="240"/>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6C1232" w:rsidRPr="00807DAF">
        <w:rPr>
          <w:b/>
          <w:sz w:val="24"/>
          <w:szCs w:val="24"/>
        </w:rPr>
        <w:t xml:space="preserve"> </w:t>
      </w:r>
      <w:r w:rsidR="000D40CC" w:rsidRPr="00807DAF">
        <w:rPr>
          <w:b/>
          <w:sz w:val="24"/>
          <w:szCs w:val="24"/>
        </w:rPr>
        <w:t>AFFILIATED ENTITY(IES)</w:t>
      </w:r>
    </w:p>
    <w:p w:rsidR="00F20A9C" w:rsidRPr="00807DAF" w:rsidRDefault="006C1232" w:rsidP="006F280A">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(see </w:t>
      </w:r>
      <w:r w:rsidR="00A11755">
        <w:t>S</w:t>
      </w:r>
      <w:r w:rsidR="00896ECA" w:rsidRPr="00807DAF">
        <w:t>ection</w:t>
      </w:r>
      <w:r w:rsidR="00ED5802" w:rsidRPr="00807DAF">
        <w:t xml:space="preserve"> </w:t>
      </w:r>
      <w:r w:rsidR="0087633A" w:rsidRPr="00807DAF">
        <w:t>2.4)</w:t>
      </w:r>
      <w:r w:rsidR="00E43789">
        <w:t>. It</w:t>
      </w:r>
      <w:r w:rsidR="00F20A9C" w:rsidRPr="00807DAF">
        <w:t xml:space="preserve"> will </w:t>
      </w:r>
      <w:r w:rsidR="000E2AF6">
        <w:t xml:space="preserve">by default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according to their score and within the available </w:t>
      </w:r>
      <w:r w:rsidR="00E43789">
        <w:t>budget for this call for proposals</w:t>
      </w:r>
      <w:r w:rsidRPr="00807DAF">
        <w:t xml:space="preserve">. </w:t>
      </w:r>
    </w:p>
    <w:p w:rsidR="00FC4EAA" w:rsidRPr="00807DAF" w:rsidRDefault="007A3169" w:rsidP="00F016A9">
      <w:pPr>
        <w:numPr>
          <w:ilvl w:val="0"/>
          <w:numId w:val="26"/>
        </w:numPr>
      </w:pPr>
      <w:r w:rsidRPr="00807DAF">
        <w:t xml:space="preserve">The </w:t>
      </w:r>
      <w:r w:rsidR="00717ADB">
        <w:t>d</w:t>
      </w:r>
      <w:r w:rsidR="007F1763" w:rsidRPr="00807DAF">
        <w:t>eclaration</w:t>
      </w:r>
      <w:r w:rsidRPr="00807DAF">
        <w:t xml:space="preserve"> by the </w:t>
      </w:r>
      <w:r w:rsidR="00504963">
        <w:t>lead a</w:t>
      </w:r>
      <w:r w:rsidRPr="00807DAF">
        <w:t>pplicant (</w:t>
      </w:r>
      <w:r w:rsidR="004B3788">
        <w:t xml:space="preserve">of </w:t>
      </w:r>
      <w:r w:rsidRPr="00807DAF">
        <w:t>the grant application form) 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rsidR="00FC4EAA" w:rsidRPr="00807DAF" w:rsidRDefault="0029175E" w:rsidP="00F016A9">
      <w:pPr>
        <w:numPr>
          <w:ilvl w:val="0"/>
          <w:numId w:val="26"/>
        </w:numPr>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affiliated entit</w:t>
      </w:r>
      <w:r w:rsidR="007D4CA7" w:rsidRPr="00807DAF">
        <w:t>y</w:t>
      </w:r>
      <w:r w:rsidR="009901E5" w:rsidRPr="00807DAF">
        <w:t>(ies)</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671019" w:rsidRPr="00807DAF">
        <w:t>s</w:t>
      </w:r>
      <w:r w:rsidR="00FC4EAA" w:rsidRPr="00807DAF">
        <w:t xml:space="preserve"> 2.1.1,</w:t>
      </w:r>
      <w:r w:rsidR="0087633A" w:rsidRPr="00807DAF">
        <w:t xml:space="preserve"> </w:t>
      </w:r>
      <w:r w:rsidR="00FC4EAA" w:rsidRPr="00807DAF">
        <w:t>2.1.2 and 2.1.3.</w:t>
      </w:r>
    </w:p>
    <w:p w:rsidR="005D7AF3" w:rsidRPr="00807DAF" w:rsidRDefault="008F3758" w:rsidP="006F280A">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39" w:name="_Toc40507654"/>
    </w:p>
    <w:p w:rsidR="0007408E" w:rsidRPr="00807DAF" w:rsidRDefault="005D7AF3" w:rsidP="004741A1">
      <w:pPr>
        <w:pStyle w:val="Guidelines2"/>
      </w:pPr>
      <w:r w:rsidRPr="00807DAF">
        <w:br w:type="page"/>
      </w:r>
      <w:bookmarkStart w:id="40" w:name="_Toc1059744"/>
      <w:r w:rsidR="00B67806" w:rsidRPr="00807DAF">
        <w:lastRenderedPageBreak/>
        <w:t xml:space="preserve">Submission of supporting documents for </w:t>
      </w:r>
      <w:r w:rsidR="00E44A12" w:rsidRPr="00807DAF">
        <w:t>provisionally</w:t>
      </w:r>
      <w:r w:rsidR="008C00E4" w:rsidRPr="00807DAF">
        <w:t xml:space="preserve"> </w:t>
      </w:r>
      <w:r w:rsidR="00B67806" w:rsidRPr="00807DAF">
        <w:t xml:space="preserve">selected </w:t>
      </w:r>
      <w:r w:rsidR="000C00BF" w:rsidRPr="00807DAF">
        <w:t>applications</w:t>
      </w:r>
      <w:bookmarkEnd w:id="39"/>
      <w:bookmarkEnd w:id="40"/>
      <w:r w:rsidR="0007408E" w:rsidRPr="00807DAF">
        <w:t xml:space="preserve"> </w:t>
      </w:r>
    </w:p>
    <w:p w:rsidR="00511FEE" w:rsidRDefault="009901E5" w:rsidP="006F280A">
      <w:r w:rsidRPr="00807DAF">
        <w:t>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A11755">
        <w:t>c</w:t>
      </w:r>
      <w:r w:rsidR="0007408E" w:rsidRPr="00807DAF">
        <w:t xml:space="preserve">ontracting </w:t>
      </w:r>
      <w:r w:rsidR="00A11755">
        <w:t>a</w:t>
      </w:r>
      <w:r w:rsidR="00DE7018" w:rsidRPr="00807DAF">
        <w:t>uthority</w:t>
      </w:r>
      <w:r w:rsidR="009C1C8B" w:rsidRPr="00807DAF">
        <w:t xml:space="preserve">. </w:t>
      </w:r>
      <w:r w:rsidR="00725B7A" w:rsidRPr="00807DAF">
        <w:t xml:space="preserve">It </w:t>
      </w:r>
      <w:r w:rsidR="00DE7018" w:rsidRPr="00807DAF">
        <w:t xml:space="preserve">will be requested to supply the following documents in order to allow the </w:t>
      </w:r>
      <w:r w:rsidR="00A11755">
        <w:t>c</w:t>
      </w:r>
      <w:r w:rsidR="00DE7018" w:rsidRPr="00807DAF">
        <w:t xml:space="preserve">ontracting </w:t>
      </w:r>
      <w:r w:rsidR="00A11755">
        <w:t>a</w:t>
      </w:r>
      <w:r w:rsidR="00DE7018" w:rsidRPr="00807DAF">
        <w:t xml:space="preserve">uthority to verify the eligibility of the </w:t>
      </w:r>
      <w:r w:rsidR="00504963">
        <w:t>lead a</w:t>
      </w:r>
      <w:r w:rsidR="00DE7018" w:rsidRPr="00807DAF">
        <w:t>pplicant</w:t>
      </w:r>
      <w:r w:rsidR="005700D5" w:rsidRPr="00807DAF">
        <w:t xml:space="preserve">, (if any) of the co-applicant(s) </w:t>
      </w:r>
      <w:r w:rsidR="00485E39" w:rsidRPr="00807DAF">
        <w:t>and</w:t>
      </w:r>
      <w:r w:rsidR="005700D5" w:rsidRPr="00807DAF">
        <w:t xml:space="preserve"> (if any)</w:t>
      </w:r>
      <w:r w:rsidR="00485E39" w:rsidRPr="00807DAF">
        <w:t xml:space="preserve"> </w:t>
      </w:r>
      <w:r w:rsidR="005700D5" w:rsidRPr="00807DAF">
        <w:t xml:space="preserve">of </w:t>
      </w:r>
      <w:r w:rsidR="00485E39" w:rsidRPr="00807DAF">
        <w:t xml:space="preserve">their </w:t>
      </w:r>
      <w:r w:rsidR="000D40CC" w:rsidRPr="00807DAF">
        <w:t>affiliated entity(ies)</w:t>
      </w:r>
      <w:r w:rsidR="006F280A" w:rsidRPr="00807DAF">
        <w:rPr>
          <w:rStyle w:val="af6"/>
        </w:rPr>
        <w:footnoteReference w:id="26"/>
      </w:r>
      <w:r w:rsidR="00511FEE" w:rsidRPr="00807DAF">
        <w:t>:</w:t>
      </w:r>
    </w:p>
    <w:p w:rsidR="00776300" w:rsidRPr="00776300" w:rsidRDefault="00776300" w:rsidP="00776300">
      <w:r w:rsidRPr="00776300">
        <w:t>Supporting documents must be provided through PADOR (see section 2.2).</w:t>
      </w:r>
    </w:p>
    <w:p w:rsidR="003D1E09" w:rsidRPr="00807DAF" w:rsidRDefault="00511FEE" w:rsidP="00F016A9">
      <w:pPr>
        <w:numPr>
          <w:ilvl w:val="6"/>
          <w:numId w:val="27"/>
        </w:numPr>
        <w:tabs>
          <w:tab w:val="left" w:pos="567"/>
          <w:tab w:val="left" w:pos="2126"/>
          <w:tab w:val="left" w:pos="2835"/>
        </w:tabs>
        <w:spacing w:before="120"/>
        <w:ind w:left="567"/>
      </w:pPr>
      <w:r w:rsidRPr="00807DAF">
        <w:t xml:space="preserve">The statutes or articles of association of the </w:t>
      </w:r>
      <w:r w:rsidR="00504963">
        <w:t>lead a</w:t>
      </w:r>
      <w:r w:rsidRPr="00807DAF">
        <w:t>pplicant</w:t>
      </w:r>
      <w:r w:rsidR="005700D5" w:rsidRPr="00807DAF">
        <w:t xml:space="preserve">, (if any) of </w:t>
      </w:r>
      <w:r w:rsidR="00327BB2" w:rsidRPr="00807DAF">
        <w:t>each</w:t>
      </w:r>
      <w:r w:rsidR="005700D5" w:rsidRPr="00807DAF">
        <w:t xml:space="preserve"> co-applicant and (if any) of </w:t>
      </w:r>
      <w:r w:rsidR="00327BB2" w:rsidRPr="00807DAF">
        <w:t>each</w:t>
      </w:r>
      <w:r w:rsidR="005700D5" w:rsidRPr="00807DAF">
        <w:t xml:space="preserve"> affiliated entity</w:t>
      </w:r>
      <w:r w:rsidR="005700D5" w:rsidRPr="00807DAF">
        <w:rPr>
          <w:rStyle w:val="af6"/>
        </w:rPr>
        <w:footnoteReference w:id="27"/>
      </w:r>
      <w:r w:rsidR="001E10DA" w:rsidRPr="00807DAF">
        <w:t xml:space="preserve">. </w:t>
      </w:r>
      <w:r w:rsidRPr="00807DAF">
        <w:t xml:space="preserve">Where the </w:t>
      </w:r>
      <w:r w:rsidR="00A11755">
        <w:t>c</w:t>
      </w:r>
      <w:r w:rsidRPr="00807DAF">
        <w:t xml:space="preserve">ontracting </w:t>
      </w:r>
      <w:r w:rsidR="00A11755">
        <w:t>a</w:t>
      </w:r>
      <w:r w:rsidRPr="00807DAF">
        <w:t>uthority has recogni</w:t>
      </w:r>
      <w:r w:rsidR="00A016F9" w:rsidRPr="00807DAF">
        <w:t>s</w:t>
      </w:r>
      <w:r w:rsidRPr="00807DAF">
        <w:t xml:space="preserve">ed the </w:t>
      </w:r>
      <w:r w:rsidR="00504963">
        <w:t>lead a</w:t>
      </w:r>
      <w:r w:rsidRPr="00807DAF">
        <w:t>pplicant’</w:t>
      </w:r>
      <w:r w:rsidR="005700D5" w:rsidRPr="00807DAF">
        <w:t>s,</w:t>
      </w:r>
      <w:r w:rsidRPr="00807DAF">
        <w:t xml:space="preserve"> </w:t>
      </w:r>
      <w:r w:rsidR="005700D5" w:rsidRPr="00807DAF">
        <w:t xml:space="preserve">or the co-applicant(s)’s, or </w:t>
      </w:r>
      <w:r w:rsidR="00327BB2" w:rsidRPr="00807DAF">
        <w:t>their</w:t>
      </w:r>
      <w:r w:rsidR="005700D5" w:rsidRPr="00807DAF">
        <w:t xml:space="preserve"> affiliated entity(ies)’s </w:t>
      </w:r>
      <w:r w:rsidRPr="00807DAF">
        <w:t xml:space="preserve">eligibility for another call for proposals under the same budget line within 2 years before the deadline for receipt of applications, </w:t>
      </w:r>
      <w:r w:rsidR="00327BB2" w:rsidRPr="00807DAF">
        <w:t>it should</w:t>
      </w:r>
      <w:r w:rsidRPr="00807DAF">
        <w:t xml:space="preserve"> </w:t>
      </w:r>
      <w:r w:rsidR="00327BB2" w:rsidRPr="00807DAF">
        <w:t xml:space="preserve">be </w:t>
      </w:r>
      <w:r w:rsidRPr="00807DAF">
        <w:t>submit</w:t>
      </w:r>
      <w:r w:rsidR="00327BB2" w:rsidRPr="00807DAF">
        <w:t>ted</w:t>
      </w:r>
      <w:r w:rsidRPr="00807DAF">
        <w:t xml:space="preserve">, instead of </w:t>
      </w:r>
      <w:r w:rsidR="005700D5" w:rsidRPr="00807DAF">
        <w:t xml:space="preserve">the  </w:t>
      </w:r>
      <w:r w:rsidRPr="00807DAF">
        <w:t>statutes</w:t>
      </w:r>
      <w:r w:rsidR="005700D5" w:rsidRPr="00807DAF">
        <w:t xml:space="preserve"> or articles of association</w:t>
      </w:r>
      <w:r w:rsidRPr="00807DAF">
        <w:t xml:space="preserve">, </w:t>
      </w:r>
      <w:r w:rsidR="002379BB" w:rsidRPr="00807DAF">
        <w:t xml:space="preserve">a </w:t>
      </w:r>
      <w:r w:rsidRPr="00807DAF">
        <w:t xml:space="preserve">copy of the document proving </w:t>
      </w:r>
      <w:r w:rsidR="00327BB2" w:rsidRPr="00807DAF">
        <w:t xml:space="preserve">their </w:t>
      </w:r>
      <w:r w:rsidRPr="00807DAF">
        <w:t xml:space="preserve">eligibility in a former </w:t>
      </w:r>
      <w:r w:rsidR="00F65B55">
        <w:t>c</w:t>
      </w:r>
      <w:r w:rsidRPr="00807DAF">
        <w:t>all (</w:t>
      </w:r>
      <w:r w:rsidR="00A121F5" w:rsidRPr="00807DAF">
        <w:t>e.g.</w:t>
      </w:r>
      <w:r w:rsidR="002379BB" w:rsidRPr="00807DAF">
        <w:t xml:space="preserve"> a</w:t>
      </w:r>
      <w:r w:rsidRPr="00807DAF">
        <w:t xml:space="preserve"> copy of the </w:t>
      </w:r>
      <w:r w:rsidR="00A33874">
        <w:t>s</w:t>
      </w:r>
      <w:r w:rsidRPr="00807DAF">
        <w:t xml:space="preserve">pecial </w:t>
      </w:r>
      <w:r w:rsidR="00A33874">
        <w:t>c</w:t>
      </w:r>
      <w:r w:rsidRPr="00807DAF">
        <w:t xml:space="preserve">onditions of </w:t>
      </w:r>
      <w:r w:rsidR="00485E39" w:rsidRPr="00807DAF">
        <w:t xml:space="preserve">a </w:t>
      </w:r>
      <w:r w:rsidRPr="00807DAF">
        <w:t>grant contract</w:t>
      </w:r>
      <w:r w:rsidR="00485E39" w:rsidRPr="00807DAF">
        <w:t xml:space="preserve"> received during the reference period</w:t>
      </w:r>
      <w:r w:rsidRPr="00807DAF">
        <w:t>), unless a change in legal status has occurred in the meantime</w:t>
      </w:r>
      <w:r w:rsidRPr="00807DAF">
        <w:rPr>
          <w:rStyle w:val="af6"/>
        </w:rPr>
        <w:footnoteReference w:id="28"/>
      </w:r>
      <w:r w:rsidR="00292E73" w:rsidRPr="00807DAF">
        <w:t xml:space="preserve">. </w:t>
      </w:r>
      <w:r w:rsidRPr="00807DAF">
        <w:t xml:space="preserve"> This obligation does not apply to international organisations which have signed a framework agreement with the European Commission. </w:t>
      </w:r>
      <w:r w:rsidR="007C2E1E" w:rsidRPr="00807DAF" w:rsidDel="007C2E1E">
        <w:t xml:space="preserve"> </w:t>
      </w:r>
    </w:p>
    <w:p w:rsidR="00AF748D" w:rsidRDefault="00AF748D" w:rsidP="00F016A9">
      <w:pPr>
        <w:numPr>
          <w:ilvl w:val="6"/>
          <w:numId w:val="27"/>
        </w:numPr>
        <w:tabs>
          <w:tab w:val="left" w:pos="567"/>
          <w:tab w:val="left" w:pos="2126"/>
          <w:tab w:val="left" w:pos="2835"/>
        </w:tabs>
        <w:spacing w:before="120"/>
        <w:ind w:left="567"/>
      </w:pPr>
      <w:r>
        <w:t>For action grants exceeding EUR 750 000 and for operating grants above EUR 100 000, the lead applicant must provide an audit report produced by an approved external</w:t>
      </w:r>
      <w:r w:rsidRPr="00807DAF">
        <w:t xml:space="preserve"> </w:t>
      </w:r>
      <w:r>
        <w:t xml:space="preserve">auditor where it is available, and always in cases where a statutory audit is required by EU or national law. That report shall certify the accounts for up to the last 3 financial years available. In all other cases, the applicant shall provide a self-declaration signed by its authorised representative certifying the validity of its accounts for up to the last 3 financial years available. </w:t>
      </w:r>
    </w:p>
    <w:p w:rsidR="00AF748D" w:rsidRDefault="00AF748D" w:rsidP="00BF158E">
      <w:pPr>
        <w:tabs>
          <w:tab w:val="left" w:pos="567"/>
          <w:tab w:val="left" w:pos="2126"/>
          <w:tab w:val="left" w:pos="2835"/>
        </w:tabs>
        <w:spacing w:before="120"/>
        <w:ind w:left="567"/>
      </w:pPr>
      <w:r>
        <w:t xml:space="preserve">This requirement shall apply only to the first application made by a beneficiary to an authorising officer responsible in any one financial year.                                                                                    </w:t>
      </w:r>
    </w:p>
    <w:p w:rsidR="008A4D2D" w:rsidRPr="00807DAF" w:rsidRDefault="005700D5" w:rsidP="00F016A9">
      <w:pPr>
        <w:numPr>
          <w:ilvl w:val="6"/>
          <w:numId w:val="27"/>
        </w:numPr>
        <w:tabs>
          <w:tab w:val="left" w:pos="567"/>
          <w:tab w:val="left" w:pos="2126"/>
          <w:tab w:val="left" w:pos="2835"/>
        </w:tabs>
        <w:spacing w:before="120"/>
        <w:ind w:left="567"/>
      </w:pPr>
      <w:r w:rsidRPr="00807DAF">
        <w:t>The external audit report is not required from (if any) the co-applicant(s))</w:t>
      </w:r>
      <w:r w:rsidR="00273299">
        <w:t xml:space="preserve"> or affiliated entities</w:t>
      </w:r>
      <w:r w:rsidRPr="00807DAF">
        <w:t>.</w:t>
      </w:r>
    </w:p>
    <w:p w:rsidR="00585E31" w:rsidRPr="00003F3A" w:rsidRDefault="00511FEE" w:rsidP="00984331">
      <w:pPr>
        <w:ind w:left="567"/>
      </w:pPr>
      <w:r w:rsidRPr="00003F3A">
        <w:t xml:space="preserve">This obligation does not apply to </w:t>
      </w:r>
      <w:r w:rsidR="008D4C88" w:rsidRPr="00003F3A">
        <w:t xml:space="preserve">public bodies and </w:t>
      </w:r>
      <w:r w:rsidRPr="00003F3A">
        <w:t>international organisations</w:t>
      </w:r>
      <w:r w:rsidR="008D4C88" w:rsidRPr="00003F3A">
        <w:t xml:space="preserve"> provided that the international organisation in question offers the guarantees provided for in the applicable Financial Regulation, as described in </w:t>
      </w:r>
      <w:r w:rsidR="00A33874" w:rsidRPr="00003F3A">
        <w:t>C</w:t>
      </w:r>
      <w:r w:rsidR="008D4C88" w:rsidRPr="00003F3A">
        <w:t xml:space="preserve">hapter 6 of the </w:t>
      </w:r>
      <w:r w:rsidR="009D7AC9" w:rsidRPr="00003F3A">
        <w:t>p</w:t>
      </w:r>
      <w:r w:rsidR="008D4C88" w:rsidRPr="00003F3A">
        <w:t xml:space="preserve">ractical </w:t>
      </w:r>
      <w:r w:rsidR="009D7AC9" w:rsidRPr="00003F3A">
        <w:t>g</w:t>
      </w:r>
      <w:r w:rsidR="008D4C88" w:rsidRPr="00003F3A">
        <w:t>uide</w:t>
      </w:r>
      <w:r w:rsidR="00003F3A" w:rsidRPr="00003F3A">
        <w:t>.</w:t>
      </w:r>
    </w:p>
    <w:p w:rsidR="002F53C2" w:rsidRPr="00807DAF" w:rsidRDefault="00585E31" w:rsidP="00984331">
      <w:pPr>
        <w:ind w:left="567"/>
      </w:pPr>
      <w:r w:rsidRPr="00003F3A">
        <w:t>This obligation does not apply t</w:t>
      </w:r>
      <w:r w:rsidR="002F53C2" w:rsidRPr="00003F3A">
        <w:t>o secondary and higher education establishments</w:t>
      </w:r>
      <w:r w:rsidRPr="00003F3A">
        <w:t>.</w:t>
      </w:r>
    </w:p>
    <w:p w:rsidR="0069357C" w:rsidRPr="00807DAF" w:rsidRDefault="008B3646" w:rsidP="00F016A9">
      <w:pPr>
        <w:numPr>
          <w:ilvl w:val="6"/>
          <w:numId w:val="27"/>
        </w:numPr>
        <w:tabs>
          <w:tab w:val="left" w:pos="567"/>
          <w:tab w:val="left" w:pos="2126"/>
          <w:tab w:val="left" w:pos="2835"/>
        </w:tabs>
        <w:spacing w:before="120"/>
        <w:ind w:left="567"/>
      </w:pPr>
      <w:r w:rsidRPr="00807DAF">
        <w:t>A c</w:t>
      </w:r>
      <w:r w:rsidR="0069357C" w:rsidRPr="00807DAF">
        <w:t xml:space="preserve">opy of </w:t>
      </w:r>
      <w:r w:rsidR="00485E39" w:rsidRPr="00807DAF">
        <w:t xml:space="preserve">the </w:t>
      </w:r>
      <w:r w:rsidR="00504963">
        <w:t>lead a</w:t>
      </w:r>
      <w:r w:rsidR="00485E39" w:rsidRPr="00807DAF">
        <w:t xml:space="preserve">pplicant’s </w:t>
      </w:r>
      <w:r w:rsidR="0069357C" w:rsidRPr="00807DAF">
        <w:t xml:space="preserve">latest accounts (the profit and loss account and the balance sheet for the </w:t>
      </w:r>
      <w:r w:rsidRPr="00807DAF">
        <w:t xml:space="preserve">last </w:t>
      </w:r>
      <w:r w:rsidR="0069357C" w:rsidRPr="00807DAF">
        <w:t>financial year for which the accounts have been closed)</w:t>
      </w:r>
      <w:r w:rsidR="0069357C" w:rsidRPr="00807DAF">
        <w:rPr>
          <w:rStyle w:val="af6"/>
        </w:rPr>
        <w:footnoteReference w:id="29"/>
      </w:r>
      <w:r w:rsidR="00984331" w:rsidRPr="00807DAF">
        <w:t>.</w:t>
      </w:r>
      <w:r w:rsidR="005700D5" w:rsidRPr="00807DAF">
        <w:t xml:space="preserve"> A copy of the latest account is </w:t>
      </w:r>
      <w:r w:rsidR="00524552" w:rsidRPr="00807DAF">
        <w:t xml:space="preserve">neither </w:t>
      </w:r>
      <w:r w:rsidR="005700D5" w:rsidRPr="00807DAF">
        <w:t>required from (if any) the co-applicant(s)</w:t>
      </w:r>
      <w:r w:rsidR="00524552" w:rsidRPr="00807DAF">
        <w:t xml:space="preserve"> nor from (if any) affiliated entity(ies)</w:t>
      </w:r>
      <w:r w:rsidR="005700D5" w:rsidRPr="00807DAF">
        <w:t>).</w:t>
      </w:r>
    </w:p>
    <w:p w:rsidR="00511FEE" w:rsidRPr="00003F3A" w:rsidRDefault="00511FEE" w:rsidP="00F016A9">
      <w:pPr>
        <w:numPr>
          <w:ilvl w:val="6"/>
          <w:numId w:val="27"/>
        </w:numPr>
        <w:tabs>
          <w:tab w:val="left" w:pos="567"/>
          <w:tab w:val="left" w:pos="2126"/>
          <w:tab w:val="left" w:pos="2835"/>
        </w:tabs>
        <w:spacing w:before="120"/>
        <w:ind w:left="567"/>
        <w:rPr>
          <w:szCs w:val="22"/>
        </w:rPr>
      </w:pPr>
      <w:r w:rsidRPr="00003F3A">
        <w:rPr>
          <w:szCs w:val="22"/>
        </w:rPr>
        <w:t xml:space="preserve">Legal entity sheet (see </w:t>
      </w:r>
      <w:r w:rsidR="00A24F0A" w:rsidRPr="00003F3A">
        <w:rPr>
          <w:szCs w:val="22"/>
        </w:rPr>
        <w:t>A</w:t>
      </w:r>
      <w:r w:rsidRPr="00003F3A">
        <w:rPr>
          <w:szCs w:val="22"/>
        </w:rPr>
        <w:t>nnex D</w:t>
      </w:r>
      <w:r w:rsidR="006459C5" w:rsidRPr="00003F3A">
        <w:rPr>
          <w:szCs w:val="22"/>
        </w:rPr>
        <w:t xml:space="preserve"> of these </w:t>
      </w:r>
      <w:r w:rsidR="00F65B55" w:rsidRPr="00003F3A">
        <w:rPr>
          <w:szCs w:val="22"/>
        </w:rPr>
        <w:t>g</w:t>
      </w:r>
      <w:r w:rsidR="006459C5" w:rsidRPr="00003F3A">
        <w:rPr>
          <w:szCs w:val="22"/>
        </w:rPr>
        <w:t>uidelines</w:t>
      </w:r>
      <w:r w:rsidRPr="00003F3A">
        <w:rPr>
          <w:szCs w:val="22"/>
        </w:rPr>
        <w:t>)</w:t>
      </w:r>
      <w:r w:rsidR="0069357C" w:rsidRPr="00003F3A">
        <w:rPr>
          <w:szCs w:val="22"/>
        </w:rPr>
        <w:t xml:space="preserve"> </w:t>
      </w:r>
      <w:r w:rsidRPr="00003F3A">
        <w:rPr>
          <w:szCs w:val="22"/>
        </w:rPr>
        <w:t xml:space="preserve">duly completed and signed by </w:t>
      </w:r>
      <w:r w:rsidR="00F1605F" w:rsidRPr="00003F3A">
        <w:rPr>
          <w:szCs w:val="22"/>
        </w:rPr>
        <w:t xml:space="preserve">each of the </w:t>
      </w:r>
      <w:r w:rsidRPr="00003F3A">
        <w:rPr>
          <w:szCs w:val="22"/>
        </w:rPr>
        <w:t>applicant</w:t>
      </w:r>
      <w:r w:rsidR="000C1624" w:rsidRPr="00003F3A">
        <w:rPr>
          <w:szCs w:val="22"/>
        </w:rPr>
        <w:t>s</w:t>
      </w:r>
      <w:r w:rsidR="00327BB2" w:rsidRPr="00003F3A">
        <w:rPr>
          <w:szCs w:val="22"/>
        </w:rPr>
        <w:t xml:space="preserve"> (i</w:t>
      </w:r>
      <w:r w:rsidR="00A24F0A" w:rsidRPr="00003F3A">
        <w:rPr>
          <w:szCs w:val="22"/>
        </w:rPr>
        <w:t>.</w:t>
      </w:r>
      <w:r w:rsidR="00327BB2" w:rsidRPr="00003F3A">
        <w:rPr>
          <w:szCs w:val="22"/>
        </w:rPr>
        <w:t>e</w:t>
      </w:r>
      <w:r w:rsidR="00A24F0A" w:rsidRPr="00003F3A">
        <w:rPr>
          <w:szCs w:val="22"/>
        </w:rPr>
        <w:t>.</w:t>
      </w:r>
      <w:r w:rsidR="00327BB2" w:rsidRPr="00003F3A">
        <w:rPr>
          <w:szCs w:val="22"/>
        </w:rPr>
        <w:t xml:space="preserve"> by the </w:t>
      </w:r>
      <w:r w:rsidR="00504963" w:rsidRPr="00003F3A">
        <w:rPr>
          <w:szCs w:val="22"/>
        </w:rPr>
        <w:t>lead a</w:t>
      </w:r>
      <w:r w:rsidR="00327BB2" w:rsidRPr="00003F3A">
        <w:rPr>
          <w:szCs w:val="22"/>
        </w:rPr>
        <w:t>pplicant and (if any) by each co-applicant)</w:t>
      </w:r>
      <w:r w:rsidRPr="00003F3A">
        <w:rPr>
          <w:szCs w:val="22"/>
        </w:rPr>
        <w:t>, accompanied by the justifying documents requested there. If the applicant</w:t>
      </w:r>
      <w:r w:rsidR="000C1624" w:rsidRPr="00003F3A">
        <w:rPr>
          <w:szCs w:val="22"/>
        </w:rPr>
        <w:t>s</w:t>
      </w:r>
      <w:r w:rsidRPr="00003F3A">
        <w:rPr>
          <w:szCs w:val="22"/>
        </w:rPr>
        <w:t xml:space="preserve"> </w:t>
      </w:r>
      <w:r w:rsidR="000C1624" w:rsidRPr="00003F3A">
        <w:rPr>
          <w:szCs w:val="22"/>
        </w:rPr>
        <w:t xml:space="preserve">have </w:t>
      </w:r>
      <w:r w:rsidRPr="00003F3A">
        <w:rPr>
          <w:szCs w:val="22"/>
        </w:rPr>
        <w:t xml:space="preserve">already signed a contract with the </w:t>
      </w:r>
      <w:r w:rsidR="00A33874" w:rsidRPr="00003F3A">
        <w:rPr>
          <w:szCs w:val="22"/>
        </w:rPr>
        <w:t>c</w:t>
      </w:r>
      <w:r w:rsidR="00B75EB7" w:rsidRPr="00003F3A">
        <w:rPr>
          <w:szCs w:val="22"/>
        </w:rPr>
        <w:t xml:space="preserve">ontracting </w:t>
      </w:r>
      <w:r w:rsidR="00A33874" w:rsidRPr="00003F3A">
        <w:rPr>
          <w:szCs w:val="22"/>
        </w:rPr>
        <w:lastRenderedPageBreak/>
        <w:t>a</w:t>
      </w:r>
      <w:r w:rsidR="00B75EB7" w:rsidRPr="00003F3A">
        <w:rPr>
          <w:szCs w:val="22"/>
        </w:rPr>
        <w:t>uthority</w:t>
      </w:r>
      <w:r w:rsidRPr="00003F3A">
        <w:rPr>
          <w:szCs w:val="22"/>
        </w:rPr>
        <w:t>, instead of the legal entity sheet and supporting documents</w:t>
      </w:r>
      <w:r w:rsidR="008B3646" w:rsidRPr="00003F3A">
        <w:rPr>
          <w:szCs w:val="22"/>
        </w:rPr>
        <w:t>,</w:t>
      </w:r>
      <w:r w:rsidRPr="00003F3A">
        <w:rPr>
          <w:szCs w:val="22"/>
        </w:rPr>
        <w:t xml:space="preserve"> </w:t>
      </w:r>
      <w:r w:rsidR="00F95172" w:rsidRPr="00003F3A">
        <w:rPr>
          <w:szCs w:val="22"/>
        </w:rPr>
        <w:t>the</w:t>
      </w:r>
      <w:r w:rsidRPr="00003F3A">
        <w:rPr>
          <w:szCs w:val="22"/>
        </w:rPr>
        <w:t xml:space="preserve"> legal entity number </w:t>
      </w:r>
      <w:r w:rsidR="00F95172" w:rsidRPr="00003F3A">
        <w:rPr>
          <w:szCs w:val="22"/>
        </w:rPr>
        <w:t>may be provided</w:t>
      </w:r>
      <w:r w:rsidRPr="00003F3A">
        <w:rPr>
          <w:szCs w:val="22"/>
        </w:rPr>
        <w:t>, unless a change in legal status occurred in the meantime.</w:t>
      </w:r>
    </w:p>
    <w:p w:rsidR="00984331" w:rsidRPr="00003F3A" w:rsidRDefault="00984331" w:rsidP="00F016A9">
      <w:pPr>
        <w:numPr>
          <w:ilvl w:val="6"/>
          <w:numId w:val="27"/>
        </w:numPr>
        <w:tabs>
          <w:tab w:val="left" w:pos="567"/>
          <w:tab w:val="left" w:pos="2126"/>
          <w:tab w:val="left" w:pos="2835"/>
        </w:tabs>
        <w:spacing w:before="120"/>
        <w:ind w:left="567"/>
        <w:rPr>
          <w:szCs w:val="22"/>
        </w:rPr>
      </w:pPr>
      <w:r w:rsidRPr="00003F3A">
        <w:rPr>
          <w:szCs w:val="22"/>
        </w:rPr>
        <w:t xml:space="preserve">A financial identification form of the </w:t>
      </w:r>
      <w:r w:rsidR="00504963" w:rsidRPr="00003F3A">
        <w:rPr>
          <w:szCs w:val="22"/>
        </w:rPr>
        <w:t>lead a</w:t>
      </w:r>
      <w:r w:rsidRPr="00003F3A">
        <w:rPr>
          <w:szCs w:val="22"/>
        </w:rPr>
        <w:t xml:space="preserve">pplicant </w:t>
      </w:r>
      <w:r w:rsidR="00327BB2" w:rsidRPr="00003F3A">
        <w:rPr>
          <w:szCs w:val="22"/>
        </w:rPr>
        <w:t xml:space="preserve">(not from co-applicant(s)) </w:t>
      </w:r>
      <w:r w:rsidRPr="00003F3A">
        <w:rPr>
          <w:szCs w:val="22"/>
        </w:rPr>
        <w:t>conforming to the model attached a</w:t>
      </w:r>
      <w:r w:rsidR="00A24F0A" w:rsidRPr="00003F3A">
        <w:rPr>
          <w:szCs w:val="22"/>
        </w:rPr>
        <w:t>s</w:t>
      </w:r>
      <w:r w:rsidRPr="00003F3A">
        <w:rPr>
          <w:szCs w:val="22"/>
        </w:rPr>
        <w:t xml:space="preserve"> Annex E of these </w:t>
      </w:r>
      <w:r w:rsidR="00F65B55" w:rsidRPr="00003F3A">
        <w:rPr>
          <w:szCs w:val="22"/>
        </w:rPr>
        <w:t>g</w:t>
      </w:r>
      <w:r w:rsidRPr="00003F3A">
        <w:rPr>
          <w:szCs w:val="22"/>
        </w:rPr>
        <w:t xml:space="preserve">uidelines, certified by the bank to which the payments will be made. This bank should be located in the country where the </w:t>
      </w:r>
      <w:r w:rsidR="00504963" w:rsidRPr="00003F3A">
        <w:rPr>
          <w:szCs w:val="22"/>
        </w:rPr>
        <w:t>lead a</w:t>
      </w:r>
      <w:r w:rsidRPr="00003F3A">
        <w:rPr>
          <w:szCs w:val="22"/>
        </w:rPr>
        <w:t xml:space="preserve">pplicant is established. If the </w:t>
      </w:r>
      <w:r w:rsidR="002004B0" w:rsidRPr="00003F3A">
        <w:rPr>
          <w:szCs w:val="22"/>
        </w:rPr>
        <w:t>lead a</w:t>
      </w:r>
      <w:r w:rsidRPr="00003F3A">
        <w:rPr>
          <w:szCs w:val="22"/>
        </w:rPr>
        <w:t>pplicant has already submitted a financial identification form in the past for a contract where the European Commission was in charge of the payments and intends to use the same bank account, a copy of the previous financial identificatio</w:t>
      </w:r>
      <w:r w:rsidR="00003F3A" w:rsidRPr="00003F3A">
        <w:rPr>
          <w:szCs w:val="22"/>
        </w:rPr>
        <w:t>n form may be provided instead.</w:t>
      </w:r>
    </w:p>
    <w:p w:rsidR="00776300" w:rsidRDefault="00776300" w:rsidP="00984331">
      <w:r w:rsidRPr="00776300">
        <w:t xml:space="preserve">The requested supporting documents (uploaded in PADOR or sent together with the PADOR offline form) must be supplied in the form of originals, photocopies or scanned versions (i.e. showing legible stamps, signatures and dates) of the said originals. </w:t>
      </w:r>
    </w:p>
    <w:p w:rsidR="009348D1" w:rsidRPr="00807DAF" w:rsidRDefault="009348D1" w:rsidP="00984331">
      <w:r w:rsidRPr="00003F3A">
        <w:t>Where such documents are not in one of the official languages of the European</w:t>
      </w:r>
      <w:r w:rsidR="00776300">
        <w:t xml:space="preserve"> Union</w:t>
      </w:r>
      <w:r w:rsidR="00B75EB7" w:rsidRPr="00003F3A">
        <w:t>,</w:t>
      </w:r>
      <w:r w:rsidRPr="00003F3A">
        <w:t xml:space="preserve"> a translation into </w:t>
      </w:r>
      <w:r w:rsidR="003074A8">
        <w:t>one of the languages</w:t>
      </w:r>
      <w:r w:rsidR="00003F3A" w:rsidRPr="00003F3A">
        <w:t xml:space="preserve"> of the call for proposals</w:t>
      </w:r>
      <w:r w:rsidRPr="00003F3A">
        <w:t xml:space="preserve"> of the relevant parts of these documents proving the </w:t>
      </w:r>
      <w:r w:rsidR="00504963" w:rsidRPr="00003F3A">
        <w:t>lead a</w:t>
      </w:r>
      <w:r w:rsidRPr="00003F3A">
        <w:t>pplicant</w:t>
      </w:r>
      <w:r w:rsidR="00E94856" w:rsidRPr="00003F3A">
        <w:t>'s</w:t>
      </w:r>
      <w:r w:rsidRPr="00003F3A">
        <w:t xml:space="preserve"> </w:t>
      </w:r>
      <w:r w:rsidR="00520968" w:rsidRPr="00003F3A">
        <w:t xml:space="preserve">and, where applicable, </w:t>
      </w:r>
      <w:r w:rsidR="00F65B55" w:rsidRPr="00003F3A">
        <w:t>c</w:t>
      </w:r>
      <w:r w:rsidR="0025435C" w:rsidRPr="00003F3A">
        <w:t>o-applicant</w:t>
      </w:r>
      <w:r w:rsidR="00520968" w:rsidRPr="00003F3A">
        <w:t xml:space="preserve">s' and </w:t>
      </w:r>
      <w:r w:rsidR="00F65B55" w:rsidRPr="00003F3A">
        <w:t>a</w:t>
      </w:r>
      <w:r w:rsidR="00520968" w:rsidRPr="00003F3A">
        <w:t xml:space="preserve">ffiliated </w:t>
      </w:r>
      <w:r w:rsidR="00F65B55" w:rsidRPr="00003F3A">
        <w:t>e</w:t>
      </w:r>
      <w:r w:rsidR="00520968" w:rsidRPr="00003F3A">
        <w:t xml:space="preserve">ntity(ies)' </w:t>
      </w:r>
      <w:r w:rsidRPr="00003F3A">
        <w:t>eligibility, must be attached</w:t>
      </w:r>
      <w:r w:rsidR="00524552" w:rsidRPr="00003F3A">
        <w:t xml:space="preserve"> </w:t>
      </w:r>
      <w:r w:rsidRPr="00003F3A">
        <w:t>for the purpose of analy</w:t>
      </w:r>
      <w:r w:rsidR="00B75EB7" w:rsidRPr="00003F3A">
        <w:t>s</w:t>
      </w:r>
      <w:r w:rsidRPr="00003F3A">
        <w:t xml:space="preserve">ing the </w:t>
      </w:r>
      <w:r w:rsidR="006459C5" w:rsidRPr="00003F3A">
        <w:t>application</w:t>
      </w:r>
      <w:r w:rsidRPr="00003F3A">
        <w:t>.</w:t>
      </w:r>
    </w:p>
    <w:p w:rsidR="00A57627" w:rsidRDefault="00A57627" w:rsidP="00984331">
      <w:pPr>
        <w:rPr>
          <w:rStyle w:val="StyleListBullet11ptChar"/>
        </w:rPr>
      </w:pPr>
      <w:r w:rsidRPr="003074A8">
        <w:rPr>
          <w:rStyle w:val="StyleListBullet11ptChar"/>
        </w:rPr>
        <w:t xml:space="preserve">Where these documents are in an official language of the European Union other than </w:t>
      </w:r>
      <w:r w:rsidR="003074A8" w:rsidRPr="003074A8">
        <w:rPr>
          <w:rStyle w:val="StyleListBullet11ptChar"/>
        </w:rPr>
        <w:t>one of the language</w:t>
      </w:r>
      <w:r w:rsidRPr="003074A8">
        <w:rPr>
          <w:rStyle w:val="StyleListBullet11ptChar"/>
        </w:rPr>
        <w:t>s</w:t>
      </w:r>
      <w:r w:rsidR="004D1B60" w:rsidRPr="003074A8">
        <w:rPr>
          <w:rStyle w:val="StyleListBullet11ptChar"/>
        </w:rPr>
        <w:t xml:space="preserve"> of the call for proposals</w:t>
      </w:r>
      <w:r w:rsidRPr="003074A8">
        <w:rPr>
          <w:rStyle w:val="StyleListBullet11ptChar"/>
        </w:rPr>
        <w:t xml:space="preserve">, it is </w:t>
      </w:r>
      <w:r w:rsidRPr="003074A8">
        <w:rPr>
          <w:b/>
          <w:szCs w:val="22"/>
        </w:rPr>
        <w:t xml:space="preserve">strongly </w:t>
      </w:r>
      <w:r w:rsidRPr="003074A8">
        <w:rPr>
          <w:rStyle w:val="StyleListBullet11ptChar"/>
        </w:rPr>
        <w:t xml:space="preserve">recommended, in order to facilitate the evaluation, to provide a translation of the relevant parts of the documents, proving the </w:t>
      </w:r>
      <w:r w:rsidR="00504963" w:rsidRPr="003074A8">
        <w:rPr>
          <w:rStyle w:val="StyleListBullet11ptChar"/>
        </w:rPr>
        <w:t>lead a</w:t>
      </w:r>
      <w:r w:rsidR="00520968" w:rsidRPr="003074A8">
        <w:t xml:space="preserve">pplicant's and, where applicable, </w:t>
      </w:r>
      <w:r w:rsidR="00F65B55" w:rsidRPr="003074A8">
        <w:t>c</w:t>
      </w:r>
      <w:r w:rsidR="00520968" w:rsidRPr="003074A8">
        <w:t xml:space="preserve">o-applicants' and </w:t>
      </w:r>
      <w:r w:rsidR="00F65B55" w:rsidRPr="003074A8">
        <w:t>a</w:t>
      </w:r>
      <w:r w:rsidR="00520968" w:rsidRPr="003074A8">
        <w:t xml:space="preserve">ffiliated </w:t>
      </w:r>
      <w:r w:rsidR="00F65B55" w:rsidRPr="003074A8">
        <w:t>e</w:t>
      </w:r>
      <w:r w:rsidR="00520968" w:rsidRPr="003074A8">
        <w:t xml:space="preserve">ntity(ies)' </w:t>
      </w:r>
      <w:r w:rsidRPr="003074A8">
        <w:rPr>
          <w:rStyle w:val="StyleListBullet11ptChar"/>
        </w:rPr>
        <w:t xml:space="preserve">eligibility, into </w:t>
      </w:r>
      <w:r w:rsidR="003074A8" w:rsidRPr="003074A8">
        <w:rPr>
          <w:rStyle w:val="StyleListBullet11ptChar"/>
        </w:rPr>
        <w:t>one of the languages</w:t>
      </w:r>
      <w:r w:rsidR="00B75EB7" w:rsidRPr="003074A8">
        <w:rPr>
          <w:rStyle w:val="StyleListBullet11ptChar"/>
        </w:rPr>
        <w:t xml:space="preserve"> </w:t>
      </w:r>
      <w:r w:rsidR="004D1B60" w:rsidRPr="003074A8">
        <w:rPr>
          <w:rStyle w:val="StyleListBullet11ptChar"/>
        </w:rPr>
        <w:t xml:space="preserve">of the </w:t>
      </w:r>
      <w:r w:rsidR="00F65B55" w:rsidRPr="003074A8">
        <w:rPr>
          <w:rStyle w:val="StyleListBullet11ptChar"/>
        </w:rPr>
        <w:t>c</w:t>
      </w:r>
      <w:r w:rsidR="004D1B60" w:rsidRPr="003074A8">
        <w:rPr>
          <w:rStyle w:val="StyleListBullet11ptChar"/>
        </w:rPr>
        <w:t xml:space="preserve">all for </w:t>
      </w:r>
      <w:r w:rsidR="00F65B55" w:rsidRPr="003074A8">
        <w:rPr>
          <w:rStyle w:val="StyleListBullet11ptChar"/>
        </w:rPr>
        <w:t>p</w:t>
      </w:r>
      <w:r w:rsidR="003074A8" w:rsidRPr="003074A8">
        <w:rPr>
          <w:rStyle w:val="StyleListBullet11ptChar"/>
        </w:rPr>
        <w:t>roposals</w:t>
      </w:r>
      <w:r w:rsidRPr="003074A8">
        <w:rPr>
          <w:rStyle w:val="StyleListBullet11ptChar"/>
        </w:rPr>
        <w:t>.</w:t>
      </w:r>
    </w:p>
    <w:p w:rsidR="00776300" w:rsidRPr="00807DAF" w:rsidRDefault="00776300" w:rsidP="00984331">
      <w:pPr>
        <w:rPr>
          <w:rStyle w:val="StyleListBullet11ptChar"/>
        </w:rPr>
      </w:pPr>
      <w:r w:rsidRPr="00776300">
        <w:rPr>
          <w:rStyle w:val="StyleListBullet11ptChar"/>
        </w:rPr>
        <w:t>Applicants have to take into consideration the time necessary to obtain official documents from national competent authorities and to translate such documents in the authorised languages while registering their data in PADOR.</w:t>
      </w:r>
    </w:p>
    <w:p w:rsidR="009348D1" w:rsidRPr="00807DAF" w:rsidRDefault="009348D1" w:rsidP="00984331">
      <w:pPr>
        <w:rPr>
          <w:szCs w:val="22"/>
        </w:rPr>
      </w:pPr>
      <w:r w:rsidRPr="00807DAF">
        <w:rPr>
          <w:szCs w:val="22"/>
        </w:rPr>
        <w:t>If the</w:t>
      </w:r>
      <w:r w:rsidR="00585E31" w:rsidRPr="00807DAF">
        <w:rPr>
          <w:szCs w:val="22"/>
        </w:rPr>
        <w:t xml:space="preserve"> </w:t>
      </w:r>
      <w:r w:rsidR="00460A7B" w:rsidRPr="00807DAF">
        <w:rPr>
          <w:szCs w:val="22"/>
        </w:rPr>
        <w:t xml:space="preserve">abovementioned </w:t>
      </w:r>
      <w:r w:rsidR="00585E31" w:rsidRPr="00807DAF">
        <w:rPr>
          <w:szCs w:val="22"/>
        </w:rPr>
        <w:t>supporting</w:t>
      </w:r>
      <w:r w:rsidRPr="00807DAF">
        <w:rPr>
          <w:szCs w:val="22"/>
        </w:rPr>
        <w:t xml:space="preserve"> documents are not provided </w:t>
      </w:r>
      <w:r w:rsidR="00B67806" w:rsidRPr="00807DAF">
        <w:rPr>
          <w:szCs w:val="22"/>
        </w:rPr>
        <w:t>before the deadline</w:t>
      </w:r>
      <w:r w:rsidR="00460A7B" w:rsidRPr="00807DAF">
        <w:rPr>
          <w:szCs w:val="22"/>
        </w:rPr>
        <w:t xml:space="preserve"> indicated in the request for supporting documents sent to the </w:t>
      </w:r>
      <w:r w:rsidR="00504963">
        <w:rPr>
          <w:szCs w:val="22"/>
        </w:rPr>
        <w:t>lead a</w:t>
      </w:r>
      <w:r w:rsidR="00460A7B" w:rsidRPr="00807DAF">
        <w:rPr>
          <w:szCs w:val="22"/>
        </w:rPr>
        <w:t xml:space="preserve">pplicant by the </w:t>
      </w:r>
      <w:r w:rsidR="00A33874">
        <w:rPr>
          <w:szCs w:val="22"/>
        </w:rPr>
        <w:t>c</w:t>
      </w:r>
      <w:r w:rsidR="00460A7B" w:rsidRPr="00807DAF">
        <w:rPr>
          <w:szCs w:val="22"/>
        </w:rPr>
        <w:t xml:space="preserve">ontracting </w:t>
      </w:r>
      <w:r w:rsidR="00A33874">
        <w:rPr>
          <w:szCs w:val="22"/>
        </w:rPr>
        <w:t>a</w:t>
      </w:r>
      <w:r w:rsidR="00460A7B" w:rsidRPr="00807DAF">
        <w:rPr>
          <w:szCs w:val="22"/>
        </w:rPr>
        <w:t>uthority</w:t>
      </w:r>
      <w:r w:rsidR="00B67806" w:rsidRPr="00807DAF">
        <w:rPr>
          <w:szCs w:val="22"/>
        </w:rPr>
        <w:t xml:space="preserve">, the application </w:t>
      </w:r>
      <w:r w:rsidR="00B75EB7" w:rsidRPr="00807DAF">
        <w:rPr>
          <w:szCs w:val="22"/>
        </w:rPr>
        <w:t xml:space="preserve">may </w:t>
      </w:r>
      <w:r w:rsidR="00B67806" w:rsidRPr="00807DAF">
        <w:rPr>
          <w:szCs w:val="22"/>
        </w:rPr>
        <w:t>be rejected</w:t>
      </w:r>
      <w:r w:rsidRPr="00807DAF">
        <w:rPr>
          <w:szCs w:val="22"/>
        </w:rPr>
        <w:t>.</w:t>
      </w:r>
    </w:p>
    <w:p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rsidR="001E10DA" w:rsidRPr="00807DAF" w:rsidRDefault="001E10DA" w:rsidP="002D4ACD">
      <w:pPr>
        <w:ind w:left="567" w:hanging="567"/>
        <w:rPr>
          <w:szCs w:val="22"/>
        </w:rPr>
      </w:pPr>
      <w:r w:rsidRPr="00807DAF">
        <w:t>NB</w:t>
      </w:r>
      <w:r w:rsidR="007C4C56" w:rsidRPr="00807DAF">
        <w:t xml:space="preserve"> :</w:t>
      </w:r>
      <w:r w:rsidR="007C4C56" w:rsidRPr="00807DAF">
        <w:tab/>
      </w:r>
      <w:r w:rsidRPr="00807DAF">
        <w:t xml:space="preserve">In the eventuality that the </w:t>
      </w:r>
      <w:r w:rsidR="00A33874">
        <w:t>c</w:t>
      </w:r>
      <w:r w:rsidRPr="00807DAF">
        <w:t xml:space="preserve">ontracting </w:t>
      </w:r>
      <w:r w:rsidR="00A33874">
        <w:t>a</w:t>
      </w:r>
      <w:r w:rsidRPr="00807DAF">
        <w:t xml:space="preserve">uthority is not satisfied with the strength, solidity, and guarantee offered by the </w:t>
      </w:r>
      <w:r w:rsidR="00991F51" w:rsidRPr="00807DAF">
        <w:t>structural</w:t>
      </w:r>
      <w:r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rsidR="009348D1" w:rsidRPr="00807DAF" w:rsidRDefault="00B67806" w:rsidP="004741A1">
      <w:pPr>
        <w:pStyle w:val="Guidelines2"/>
      </w:pPr>
      <w:bookmarkStart w:id="41" w:name="_Toc1059745"/>
      <w:r w:rsidRPr="00807DAF">
        <w:t>Notification of the Contracting Authority’s decision</w:t>
      </w:r>
      <w:bookmarkEnd w:id="41"/>
    </w:p>
    <w:p w:rsidR="00A57627" w:rsidRPr="00807DAF" w:rsidRDefault="00A57627" w:rsidP="004B7BC2">
      <w:pPr>
        <w:pStyle w:val="Guidelines3"/>
      </w:pPr>
      <w:bookmarkStart w:id="42" w:name="_Toc1059746"/>
      <w:r w:rsidRPr="00807DAF">
        <w:t>Content of the decision</w:t>
      </w:r>
      <w:bookmarkEnd w:id="42"/>
    </w:p>
    <w:p w:rsidR="00A94D65" w:rsidRDefault="00A94D65" w:rsidP="00A94D65">
      <w:pPr>
        <w:spacing w:before="240"/>
      </w:pPr>
      <w:r>
        <w:t xml:space="preserve">The lead applicants will be informed in writing of the Contracting Authority’s decision concerning their application and, if rejected, the reasons for the negative decision. This letter will be sent by e-mail and will appear online automatically in the PROSPECT profile of the user who submitted the application. </w:t>
      </w:r>
    </w:p>
    <w:p w:rsidR="004841AA" w:rsidRDefault="00A94D65" w:rsidP="00A94D65">
      <w:r>
        <w:t>An applicant believing that it has been harmed by an error or irregularity during the award process may lodge a complaint. See further Section 2.4.15 of the practical guide.</w:t>
      </w:r>
    </w:p>
    <w:p w:rsidR="00A94D65" w:rsidRPr="00807DAF" w:rsidRDefault="00A94D65" w:rsidP="00A94D65"/>
    <w:p w:rsidR="0097715A" w:rsidRPr="00807DAF" w:rsidRDefault="0097715A" w:rsidP="004B7BC2">
      <w:pPr>
        <w:pStyle w:val="Guidelines3"/>
      </w:pPr>
      <w:bookmarkStart w:id="43" w:name="_Toc1059747"/>
      <w:r w:rsidRPr="00807DAF">
        <w:t>Indicative timetable</w:t>
      </w:r>
      <w:bookmarkEnd w:id="43"/>
      <w:r w:rsidRPr="00807DAF">
        <w:t xml:space="preserve"> </w:t>
      </w:r>
    </w:p>
    <w:p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rsidTr="008503BC">
        <w:tc>
          <w:tcPr>
            <w:tcW w:w="4678" w:type="dxa"/>
            <w:tcBorders>
              <w:top w:val="single" w:sz="4" w:space="0" w:color="auto"/>
              <w:left w:val="single" w:sz="4" w:space="0" w:color="auto"/>
              <w:bottom w:val="single" w:sz="4" w:space="0" w:color="auto"/>
              <w:right w:val="single" w:sz="4" w:space="0" w:color="auto"/>
            </w:tcBorders>
          </w:tcPr>
          <w:p w:rsidR="0013435B" w:rsidRPr="00807DAF"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rsidR="0013435B" w:rsidRPr="00807DAF" w:rsidRDefault="0013435B" w:rsidP="00F15864">
            <w:pPr>
              <w:spacing w:before="120"/>
              <w:jc w:val="center"/>
              <w:rPr>
                <w:b/>
                <w:szCs w:val="22"/>
              </w:rPr>
            </w:pPr>
            <w:r w:rsidRPr="00807DAF">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13435B" w:rsidRPr="00807DAF" w:rsidRDefault="0013435B" w:rsidP="00F15864">
            <w:pPr>
              <w:spacing w:before="120"/>
              <w:jc w:val="center"/>
              <w:rPr>
                <w:b/>
                <w:szCs w:val="22"/>
              </w:rPr>
            </w:pPr>
            <w:r w:rsidRPr="00807DAF">
              <w:rPr>
                <w:b/>
                <w:szCs w:val="22"/>
              </w:rPr>
              <w:t>TIME</w:t>
            </w:r>
          </w:p>
        </w:tc>
      </w:tr>
      <w:tr w:rsidR="003074A8" w:rsidRPr="00807DAF" w:rsidTr="008503BC">
        <w:tc>
          <w:tcPr>
            <w:tcW w:w="4678" w:type="dxa"/>
            <w:tcBorders>
              <w:top w:val="single" w:sz="4" w:space="0" w:color="auto"/>
            </w:tcBorders>
            <w:shd w:val="pct10" w:color="auto" w:fill="FFFFFF"/>
          </w:tcPr>
          <w:p w:rsidR="003074A8" w:rsidRPr="00807DAF" w:rsidRDefault="003074A8" w:rsidP="003074A8">
            <w:pPr>
              <w:spacing w:before="120"/>
              <w:ind w:left="318" w:hanging="318"/>
              <w:jc w:val="left"/>
              <w:rPr>
                <w:b/>
                <w:szCs w:val="22"/>
              </w:rPr>
            </w:pPr>
            <w:r>
              <w:rPr>
                <w:b/>
                <w:szCs w:val="22"/>
              </w:rPr>
              <w:t>1.</w:t>
            </w:r>
            <w:r>
              <w:rPr>
                <w:b/>
                <w:szCs w:val="22"/>
              </w:rPr>
              <w:tab/>
            </w:r>
            <w:r w:rsidRPr="00807DAF">
              <w:rPr>
                <w:b/>
                <w:szCs w:val="22"/>
              </w:rPr>
              <w:t>Information meeting (if any)</w:t>
            </w:r>
          </w:p>
        </w:tc>
        <w:tc>
          <w:tcPr>
            <w:tcW w:w="2552" w:type="dxa"/>
            <w:tcBorders>
              <w:top w:val="single" w:sz="4" w:space="0" w:color="auto"/>
            </w:tcBorders>
          </w:tcPr>
          <w:p w:rsidR="003074A8" w:rsidRPr="00D42E0C" w:rsidRDefault="003074A8" w:rsidP="003074A8">
            <w:pPr>
              <w:jc w:val="center"/>
            </w:pPr>
            <w:r w:rsidRPr="00D42E0C">
              <w:t>Not applicable</w:t>
            </w:r>
          </w:p>
        </w:tc>
        <w:tc>
          <w:tcPr>
            <w:tcW w:w="2551" w:type="dxa"/>
            <w:tcBorders>
              <w:top w:val="single" w:sz="4" w:space="0" w:color="auto"/>
            </w:tcBorders>
          </w:tcPr>
          <w:p w:rsidR="003074A8" w:rsidRDefault="003074A8" w:rsidP="003074A8">
            <w:pPr>
              <w:jc w:val="center"/>
            </w:pPr>
            <w:r w:rsidRPr="00D42E0C">
              <w:t>Not applicable</w:t>
            </w:r>
          </w:p>
        </w:tc>
      </w:tr>
      <w:tr w:rsidR="0013435B" w:rsidRPr="00807DAF" w:rsidTr="00864FA8">
        <w:tc>
          <w:tcPr>
            <w:tcW w:w="4678" w:type="dxa"/>
            <w:shd w:val="pct10" w:color="auto" w:fill="FFFFFF"/>
          </w:tcPr>
          <w:p w:rsidR="0013435B" w:rsidRPr="00807DAF" w:rsidRDefault="001C4D3A" w:rsidP="00D34B88">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shd w:val="clear" w:color="auto" w:fill="auto"/>
          </w:tcPr>
          <w:p w:rsidR="0013435B" w:rsidRPr="00864FA8" w:rsidRDefault="000B047E" w:rsidP="006E7CF6">
            <w:pPr>
              <w:spacing w:before="120"/>
              <w:jc w:val="center"/>
              <w:rPr>
                <w:szCs w:val="22"/>
              </w:rPr>
            </w:pPr>
            <w:r>
              <w:rPr>
                <w:szCs w:val="22"/>
              </w:rPr>
              <w:t>14</w:t>
            </w:r>
            <w:r w:rsidR="003074A8" w:rsidRPr="00864FA8">
              <w:rPr>
                <w:szCs w:val="22"/>
              </w:rPr>
              <w:t xml:space="preserve"> </w:t>
            </w:r>
            <w:r w:rsidR="006E7CF6">
              <w:rPr>
                <w:szCs w:val="22"/>
              </w:rPr>
              <w:t>May</w:t>
            </w:r>
            <w:r w:rsidR="00864FA8" w:rsidRPr="00864FA8">
              <w:rPr>
                <w:szCs w:val="22"/>
              </w:rPr>
              <w:t xml:space="preserve"> 2019</w:t>
            </w:r>
          </w:p>
        </w:tc>
        <w:tc>
          <w:tcPr>
            <w:tcW w:w="2551" w:type="dxa"/>
          </w:tcPr>
          <w:p w:rsidR="0013435B" w:rsidRPr="00807DAF" w:rsidRDefault="003074A8" w:rsidP="00F15864">
            <w:pPr>
              <w:spacing w:before="120"/>
              <w:jc w:val="center"/>
              <w:rPr>
                <w:szCs w:val="22"/>
              </w:rPr>
            </w:pPr>
            <w:r>
              <w:rPr>
                <w:szCs w:val="22"/>
              </w:rPr>
              <w:t>12:00</w:t>
            </w:r>
          </w:p>
        </w:tc>
      </w:tr>
      <w:tr w:rsidR="0013435B" w:rsidRPr="00807DAF" w:rsidTr="00864FA8">
        <w:tc>
          <w:tcPr>
            <w:tcW w:w="4678" w:type="dxa"/>
            <w:shd w:val="pct10" w:color="auto" w:fill="FFFFFF"/>
          </w:tcPr>
          <w:p w:rsidR="0013435B" w:rsidRPr="00807DAF" w:rsidRDefault="001C4D3A" w:rsidP="00D34B88">
            <w:pPr>
              <w:spacing w:before="120"/>
              <w:ind w:left="318" w:hanging="284"/>
              <w:jc w:val="left"/>
              <w:rPr>
                <w:b/>
                <w:szCs w:val="22"/>
              </w:rPr>
            </w:pPr>
            <w:r>
              <w:rPr>
                <w:b/>
                <w:szCs w:val="22"/>
              </w:rPr>
              <w:t>3.</w:t>
            </w:r>
            <w:r>
              <w:rPr>
                <w:b/>
                <w:szCs w:val="22"/>
              </w:rPr>
              <w:tab/>
            </w:r>
            <w:r w:rsidR="0013435B" w:rsidRPr="00807DAF">
              <w:rPr>
                <w:b/>
                <w:szCs w:val="22"/>
              </w:rPr>
              <w:t xml:space="preserve">Last date on which clarifications are issued by the </w:t>
            </w:r>
            <w:r w:rsidR="00A33874">
              <w:rPr>
                <w:b/>
                <w:szCs w:val="22"/>
              </w:rPr>
              <w:t>c</w:t>
            </w:r>
            <w:r w:rsidR="0013435B" w:rsidRPr="00807DAF">
              <w:rPr>
                <w:b/>
                <w:szCs w:val="22"/>
              </w:rPr>
              <w:t xml:space="preserve">ontracting </w:t>
            </w:r>
            <w:r w:rsidR="00A33874">
              <w:rPr>
                <w:b/>
                <w:szCs w:val="22"/>
              </w:rPr>
              <w:t>a</w:t>
            </w:r>
            <w:r w:rsidR="0013435B" w:rsidRPr="00807DAF">
              <w:rPr>
                <w:b/>
                <w:szCs w:val="22"/>
              </w:rPr>
              <w:t>uthority</w:t>
            </w:r>
          </w:p>
        </w:tc>
        <w:tc>
          <w:tcPr>
            <w:tcW w:w="2552" w:type="dxa"/>
            <w:shd w:val="clear" w:color="auto" w:fill="auto"/>
          </w:tcPr>
          <w:p w:rsidR="0013435B" w:rsidRPr="00864FA8" w:rsidRDefault="000B047E" w:rsidP="00864FA8">
            <w:pPr>
              <w:spacing w:before="120"/>
              <w:jc w:val="center"/>
              <w:rPr>
                <w:szCs w:val="22"/>
              </w:rPr>
            </w:pPr>
            <w:r>
              <w:rPr>
                <w:szCs w:val="22"/>
              </w:rPr>
              <w:t>24</w:t>
            </w:r>
            <w:r w:rsidR="00864FA8" w:rsidRPr="00864FA8">
              <w:rPr>
                <w:szCs w:val="22"/>
              </w:rPr>
              <w:t xml:space="preserve"> May 2019</w:t>
            </w:r>
          </w:p>
        </w:tc>
        <w:tc>
          <w:tcPr>
            <w:tcW w:w="2551" w:type="dxa"/>
          </w:tcPr>
          <w:p w:rsidR="0013435B" w:rsidRPr="00807DAF" w:rsidRDefault="0013435B" w:rsidP="00F15864">
            <w:pPr>
              <w:spacing w:before="120"/>
              <w:jc w:val="center"/>
              <w:rPr>
                <w:szCs w:val="22"/>
              </w:rPr>
            </w:pPr>
            <w:r w:rsidRPr="00807DAF">
              <w:rPr>
                <w:szCs w:val="22"/>
              </w:rPr>
              <w:t>-</w:t>
            </w:r>
          </w:p>
        </w:tc>
      </w:tr>
      <w:tr w:rsidR="0013435B" w:rsidRPr="00807DAF" w:rsidTr="00864FA8">
        <w:tc>
          <w:tcPr>
            <w:tcW w:w="4678" w:type="dxa"/>
            <w:shd w:val="pct10" w:color="auto" w:fill="FFFFFF"/>
          </w:tcPr>
          <w:p w:rsidR="0013435B" w:rsidRPr="00807DAF" w:rsidRDefault="001C4D3A" w:rsidP="003074A8">
            <w:pPr>
              <w:spacing w:before="120"/>
              <w:ind w:left="318" w:hanging="284"/>
              <w:jc w:val="left"/>
              <w:rPr>
                <w:b/>
                <w:szCs w:val="22"/>
              </w:rPr>
            </w:pPr>
            <w:r>
              <w:rPr>
                <w:b/>
                <w:szCs w:val="22"/>
              </w:rPr>
              <w:t>4.</w:t>
            </w:r>
            <w:r>
              <w:rPr>
                <w:b/>
                <w:szCs w:val="22"/>
              </w:rPr>
              <w:tab/>
            </w:r>
            <w:r w:rsidR="0013435B" w:rsidRPr="00807DAF">
              <w:rPr>
                <w:b/>
                <w:szCs w:val="22"/>
              </w:rPr>
              <w:t xml:space="preserve">Deadline for submission of </w:t>
            </w:r>
            <w:r w:rsidR="00F65B55" w:rsidRPr="003074A8">
              <w:rPr>
                <w:b/>
                <w:szCs w:val="22"/>
              </w:rPr>
              <w:t>c</w:t>
            </w:r>
            <w:r w:rsidR="0013435B" w:rsidRPr="003074A8">
              <w:rPr>
                <w:b/>
                <w:szCs w:val="22"/>
              </w:rPr>
              <w:t xml:space="preserve">oncept </w:t>
            </w:r>
            <w:r w:rsidR="00F65B55" w:rsidRPr="003074A8">
              <w:rPr>
                <w:b/>
                <w:szCs w:val="22"/>
              </w:rPr>
              <w:t>n</w:t>
            </w:r>
            <w:r w:rsidR="0013435B" w:rsidRPr="003074A8">
              <w:rPr>
                <w:b/>
                <w:szCs w:val="22"/>
              </w:rPr>
              <w:t>otes</w:t>
            </w:r>
          </w:p>
        </w:tc>
        <w:tc>
          <w:tcPr>
            <w:tcW w:w="2552" w:type="dxa"/>
            <w:shd w:val="clear" w:color="auto" w:fill="auto"/>
          </w:tcPr>
          <w:p w:rsidR="0013435B" w:rsidRPr="00864FA8" w:rsidRDefault="00DB04FC" w:rsidP="00F15864">
            <w:pPr>
              <w:spacing w:before="120"/>
              <w:jc w:val="center"/>
              <w:rPr>
                <w:szCs w:val="22"/>
              </w:rPr>
            </w:pPr>
            <w:r w:rsidRPr="00864FA8">
              <w:rPr>
                <w:szCs w:val="22"/>
              </w:rPr>
              <w:t>04 June</w:t>
            </w:r>
            <w:r w:rsidR="00CD44EC" w:rsidRPr="00864FA8">
              <w:rPr>
                <w:szCs w:val="22"/>
              </w:rPr>
              <w:t xml:space="preserve"> 2019</w:t>
            </w:r>
          </w:p>
        </w:tc>
        <w:tc>
          <w:tcPr>
            <w:tcW w:w="2551" w:type="dxa"/>
          </w:tcPr>
          <w:p w:rsidR="0013435B" w:rsidRPr="00807DAF" w:rsidRDefault="003074A8" w:rsidP="00F15864">
            <w:pPr>
              <w:spacing w:before="120"/>
              <w:jc w:val="center"/>
              <w:rPr>
                <w:szCs w:val="22"/>
              </w:rPr>
            </w:pPr>
            <w:r>
              <w:rPr>
                <w:szCs w:val="22"/>
              </w:rPr>
              <w:t>12:00</w:t>
            </w:r>
          </w:p>
        </w:tc>
      </w:tr>
      <w:tr w:rsidR="00622381" w:rsidRPr="00807DAF" w:rsidTr="00864FA8">
        <w:tc>
          <w:tcPr>
            <w:tcW w:w="4678" w:type="dxa"/>
            <w:shd w:val="pct10" w:color="auto" w:fill="FFFFFF"/>
          </w:tcPr>
          <w:p w:rsidR="00622381" w:rsidRPr="00807DAF" w:rsidRDefault="001C4D3A" w:rsidP="001C4D3A">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shd w:val="clear" w:color="auto" w:fill="auto"/>
          </w:tcPr>
          <w:p w:rsidR="00622381" w:rsidRPr="00864FA8" w:rsidRDefault="0092781E" w:rsidP="0092781E">
            <w:pPr>
              <w:spacing w:before="120"/>
              <w:jc w:val="center"/>
              <w:rPr>
                <w:szCs w:val="22"/>
              </w:rPr>
            </w:pPr>
            <w:r w:rsidRPr="00864FA8">
              <w:rPr>
                <w:szCs w:val="22"/>
              </w:rPr>
              <w:t>16 September 2019</w:t>
            </w:r>
          </w:p>
        </w:tc>
        <w:tc>
          <w:tcPr>
            <w:tcW w:w="2551" w:type="dxa"/>
          </w:tcPr>
          <w:p w:rsidR="00622381" w:rsidRPr="00807DAF" w:rsidRDefault="00622381" w:rsidP="00F15864">
            <w:pPr>
              <w:spacing w:before="120"/>
              <w:jc w:val="center"/>
              <w:rPr>
                <w:szCs w:val="22"/>
              </w:rPr>
            </w:pPr>
            <w:r w:rsidRPr="00807DAF">
              <w:rPr>
                <w:szCs w:val="22"/>
              </w:rPr>
              <w:t>-</w:t>
            </w:r>
          </w:p>
        </w:tc>
      </w:tr>
      <w:tr w:rsidR="0013435B" w:rsidRPr="00807DAF" w:rsidTr="00864FA8">
        <w:tc>
          <w:tcPr>
            <w:tcW w:w="4678" w:type="dxa"/>
            <w:shd w:val="pct10" w:color="auto" w:fill="FFFFFF"/>
          </w:tcPr>
          <w:p w:rsidR="0013435B" w:rsidRPr="003074A8" w:rsidRDefault="00273299" w:rsidP="00F65B55">
            <w:pPr>
              <w:spacing w:before="120"/>
              <w:jc w:val="left"/>
              <w:rPr>
                <w:b/>
                <w:szCs w:val="22"/>
              </w:rPr>
            </w:pPr>
            <w:r w:rsidRPr="003074A8">
              <w:rPr>
                <w:b/>
                <w:szCs w:val="22"/>
              </w:rPr>
              <w:t xml:space="preserve">6. </w:t>
            </w:r>
            <w:r w:rsidR="00622381" w:rsidRPr="003074A8">
              <w:rPr>
                <w:b/>
                <w:szCs w:val="22"/>
              </w:rPr>
              <w:t>Invitations</w:t>
            </w:r>
            <w:r w:rsidR="0013435B" w:rsidRPr="003074A8">
              <w:rPr>
                <w:b/>
                <w:szCs w:val="22"/>
              </w:rPr>
              <w:t xml:space="preserve"> </w:t>
            </w:r>
            <w:r w:rsidR="009B7BB7" w:rsidRPr="003074A8">
              <w:rPr>
                <w:b/>
                <w:szCs w:val="22"/>
              </w:rPr>
              <w:t xml:space="preserve">to </w:t>
            </w:r>
            <w:r w:rsidR="0013435B" w:rsidRPr="003074A8">
              <w:rPr>
                <w:b/>
                <w:szCs w:val="22"/>
              </w:rPr>
              <w:t>submi</w:t>
            </w:r>
            <w:r w:rsidR="009B7BB7" w:rsidRPr="003074A8">
              <w:rPr>
                <w:b/>
                <w:szCs w:val="22"/>
              </w:rPr>
              <w:t>t</w:t>
            </w:r>
            <w:r w:rsidR="0013435B" w:rsidRPr="003074A8">
              <w:rPr>
                <w:b/>
                <w:szCs w:val="22"/>
              </w:rPr>
              <w:t xml:space="preserve"> </w:t>
            </w:r>
            <w:r w:rsidR="00F65B55" w:rsidRPr="003074A8">
              <w:rPr>
                <w:b/>
                <w:szCs w:val="22"/>
              </w:rPr>
              <w:t>f</w:t>
            </w:r>
            <w:r w:rsidR="0013435B" w:rsidRPr="003074A8">
              <w:rPr>
                <w:b/>
                <w:szCs w:val="22"/>
              </w:rPr>
              <w:t xml:space="preserve">ull </w:t>
            </w:r>
            <w:r w:rsidR="00F65B55" w:rsidRPr="003074A8">
              <w:rPr>
                <w:b/>
                <w:szCs w:val="22"/>
              </w:rPr>
              <w:t>a</w:t>
            </w:r>
            <w:r w:rsidR="00622381" w:rsidRPr="003074A8">
              <w:rPr>
                <w:b/>
                <w:szCs w:val="22"/>
              </w:rPr>
              <w:t>pplication</w:t>
            </w:r>
            <w:r w:rsidR="00F65B55" w:rsidRPr="003074A8">
              <w:rPr>
                <w:b/>
                <w:szCs w:val="22"/>
              </w:rPr>
              <w:t>s</w:t>
            </w:r>
          </w:p>
        </w:tc>
        <w:tc>
          <w:tcPr>
            <w:tcW w:w="2552" w:type="dxa"/>
            <w:shd w:val="clear" w:color="auto" w:fill="auto"/>
          </w:tcPr>
          <w:p w:rsidR="0013435B" w:rsidRPr="00864FA8" w:rsidRDefault="0092781E" w:rsidP="0092781E">
            <w:pPr>
              <w:spacing w:before="120"/>
              <w:jc w:val="center"/>
              <w:rPr>
                <w:szCs w:val="22"/>
              </w:rPr>
            </w:pPr>
            <w:r w:rsidRPr="00864FA8">
              <w:rPr>
                <w:szCs w:val="22"/>
              </w:rPr>
              <w:t>16 September 2019</w:t>
            </w:r>
          </w:p>
        </w:tc>
        <w:tc>
          <w:tcPr>
            <w:tcW w:w="2551" w:type="dxa"/>
          </w:tcPr>
          <w:p w:rsidR="0013435B" w:rsidRPr="00807DAF" w:rsidRDefault="0013435B" w:rsidP="00F15864">
            <w:pPr>
              <w:spacing w:before="120"/>
              <w:jc w:val="center"/>
              <w:rPr>
                <w:szCs w:val="22"/>
              </w:rPr>
            </w:pPr>
            <w:r w:rsidRPr="00807DAF">
              <w:rPr>
                <w:szCs w:val="22"/>
              </w:rPr>
              <w:t>-</w:t>
            </w:r>
          </w:p>
        </w:tc>
      </w:tr>
      <w:tr w:rsidR="00622381" w:rsidRPr="00807DAF" w:rsidTr="00864FA8">
        <w:tc>
          <w:tcPr>
            <w:tcW w:w="4678" w:type="dxa"/>
            <w:shd w:val="pct10" w:color="auto" w:fill="FFFFFF"/>
          </w:tcPr>
          <w:p w:rsidR="00622381" w:rsidRPr="00807DAF" w:rsidRDefault="003074A8" w:rsidP="00F65B55">
            <w:pPr>
              <w:spacing w:before="120"/>
              <w:jc w:val="left"/>
              <w:rPr>
                <w:b/>
                <w:szCs w:val="22"/>
              </w:rPr>
            </w:pPr>
            <w:r>
              <w:rPr>
                <w:b/>
                <w:szCs w:val="22"/>
              </w:rPr>
              <w:t>7</w:t>
            </w:r>
            <w:r w:rsidR="00273299" w:rsidRPr="003074A8">
              <w:rPr>
                <w:b/>
                <w:szCs w:val="22"/>
              </w:rPr>
              <w:t xml:space="preserve">. </w:t>
            </w:r>
            <w:r w:rsidR="00622381" w:rsidRPr="003074A8">
              <w:rPr>
                <w:b/>
                <w:szCs w:val="22"/>
              </w:rPr>
              <w:t xml:space="preserve">Deadline for submission of </w:t>
            </w:r>
            <w:r w:rsidR="00F65B55" w:rsidRPr="003074A8">
              <w:rPr>
                <w:b/>
                <w:szCs w:val="22"/>
              </w:rPr>
              <w:t>f</w:t>
            </w:r>
            <w:r w:rsidR="00622381" w:rsidRPr="003074A8">
              <w:rPr>
                <w:b/>
                <w:szCs w:val="22"/>
              </w:rPr>
              <w:t xml:space="preserve">ull </w:t>
            </w:r>
            <w:r w:rsidR="00F65B55" w:rsidRPr="003074A8">
              <w:rPr>
                <w:b/>
                <w:szCs w:val="22"/>
              </w:rPr>
              <w:t>a</w:t>
            </w:r>
            <w:r w:rsidR="00622381" w:rsidRPr="003074A8">
              <w:rPr>
                <w:b/>
                <w:szCs w:val="22"/>
              </w:rPr>
              <w:t>pplication</w:t>
            </w:r>
            <w:r w:rsidR="00F65B55" w:rsidRPr="003074A8">
              <w:rPr>
                <w:b/>
                <w:szCs w:val="22"/>
              </w:rPr>
              <w:t>s</w:t>
            </w:r>
          </w:p>
        </w:tc>
        <w:tc>
          <w:tcPr>
            <w:tcW w:w="2552" w:type="dxa"/>
            <w:shd w:val="clear" w:color="auto" w:fill="auto"/>
          </w:tcPr>
          <w:p w:rsidR="00622381" w:rsidRPr="00864FA8" w:rsidRDefault="00864FA8" w:rsidP="00864FA8">
            <w:pPr>
              <w:spacing w:before="120"/>
              <w:jc w:val="center"/>
              <w:rPr>
                <w:szCs w:val="22"/>
              </w:rPr>
            </w:pPr>
            <w:r w:rsidRPr="00864FA8">
              <w:rPr>
                <w:szCs w:val="22"/>
              </w:rPr>
              <w:t>15 November 2019</w:t>
            </w:r>
          </w:p>
        </w:tc>
        <w:tc>
          <w:tcPr>
            <w:tcW w:w="2551" w:type="dxa"/>
          </w:tcPr>
          <w:p w:rsidR="00622381" w:rsidRPr="00807DAF" w:rsidRDefault="00622381" w:rsidP="00F15864">
            <w:pPr>
              <w:spacing w:before="120"/>
              <w:jc w:val="center"/>
              <w:rPr>
                <w:szCs w:val="22"/>
              </w:rPr>
            </w:pPr>
            <w:r w:rsidRPr="00807DAF">
              <w:rPr>
                <w:szCs w:val="22"/>
              </w:rPr>
              <w:t>-</w:t>
            </w:r>
          </w:p>
        </w:tc>
      </w:tr>
      <w:tr w:rsidR="00622381" w:rsidRPr="00807DAF" w:rsidTr="00864FA8">
        <w:tc>
          <w:tcPr>
            <w:tcW w:w="4678" w:type="dxa"/>
            <w:shd w:val="pct10" w:color="auto" w:fill="FFFFFF"/>
          </w:tcPr>
          <w:p w:rsidR="00622381" w:rsidRPr="00807DAF" w:rsidRDefault="003074A8" w:rsidP="001C4D3A">
            <w:pPr>
              <w:spacing w:before="120"/>
              <w:ind w:left="318" w:hanging="284"/>
              <w:jc w:val="left"/>
              <w:rPr>
                <w:b/>
                <w:szCs w:val="22"/>
              </w:rPr>
            </w:pPr>
            <w:r>
              <w:rPr>
                <w:b/>
                <w:szCs w:val="22"/>
              </w:rPr>
              <w:t>8</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622381" w:rsidRPr="00807DAF">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shd w:val="clear" w:color="auto" w:fill="auto"/>
          </w:tcPr>
          <w:p w:rsidR="00622381" w:rsidRPr="00864FA8" w:rsidRDefault="00864FA8" w:rsidP="00864FA8">
            <w:pPr>
              <w:spacing w:before="120"/>
              <w:jc w:val="center"/>
              <w:rPr>
                <w:szCs w:val="22"/>
              </w:rPr>
            </w:pPr>
            <w:r w:rsidRPr="00864FA8">
              <w:rPr>
                <w:szCs w:val="22"/>
              </w:rPr>
              <w:t>8 February 2020</w:t>
            </w:r>
          </w:p>
        </w:tc>
        <w:tc>
          <w:tcPr>
            <w:tcW w:w="2551" w:type="dxa"/>
          </w:tcPr>
          <w:p w:rsidR="00622381" w:rsidRPr="00807DAF" w:rsidRDefault="00622381" w:rsidP="00F15864">
            <w:pPr>
              <w:spacing w:before="120"/>
              <w:jc w:val="center"/>
              <w:rPr>
                <w:szCs w:val="22"/>
              </w:rPr>
            </w:pPr>
            <w:r w:rsidRPr="00807DAF">
              <w:rPr>
                <w:szCs w:val="22"/>
              </w:rPr>
              <w:t>-</w:t>
            </w:r>
          </w:p>
        </w:tc>
      </w:tr>
      <w:tr w:rsidR="00415248" w:rsidRPr="00807DAF" w:rsidTr="00864FA8">
        <w:tc>
          <w:tcPr>
            <w:tcW w:w="4678" w:type="dxa"/>
            <w:shd w:val="pct10" w:color="auto" w:fill="FFFFFF"/>
          </w:tcPr>
          <w:p w:rsidR="00415248" w:rsidRPr="00807DAF" w:rsidRDefault="003074A8" w:rsidP="001C4D3A">
            <w:pPr>
              <w:spacing w:before="120"/>
              <w:ind w:left="318" w:hanging="284"/>
              <w:jc w:val="left"/>
              <w:rPr>
                <w:b/>
                <w:szCs w:val="22"/>
              </w:rPr>
            </w:pPr>
            <w:r>
              <w:rPr>
                <w:b/>
                <w:szCs w:val="22"/>
              </w:rPr>
              <w:t>9</w:t>
            </w:r>
            <w:r w:rsidR="001C4D3A">
              <w:rPr>
                <w:b/>
                <w:szCs w:val="22"/>
              </w:rPr>
              <w:t>.</w:t>
            </w:r>
            <w:r w:rsidR="001C4D3A">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shd w:val="clear" w:color="auto" w:fill="auto"/>
          </w:tcPr>
          <w:p w:rsidR="00415248" w:rsidRPr="00864FA8" w:rsidRDefault="003074A8" w:rsidP="00864FA8">
            <w:pPr>
              <w:spacing w:before="120"/>
              <w:jc w:val="center"/>
              <w:rPr>
                <w:szCs w:val="22"/>
              </w:rPr>
            </w:pPr>
            <w:r w:rsidRPr="00864FA8">
              <w:rPr>
                <w:szCs w:val="22"/>
              </w:rPr>
              <w:t xml:space="preserve">15 </w:t>
            </w:r>
            <w:r w:rsidR="00864FA8" w:rsidRPr="00864FA8">
              <w:rPr>
                <w:szCs w:val="22"/>
              </w:rPr>
              <w:t>February 2020</w:t>
            </w:r>
          </w:p>
        </w:tc>
        <w:tc>
          <w:tcPr>
            <w:tcW w:w="2551" w:type="dxa"/>
          </w:tcPr>
          <w:p w:rsidR="00415248" w:rsidRPr="00807DAF" w:rsidRDefault="00415248" w:rsidP="00F15864">
            <w:pPr>
              <w:spacing w:before="120"/>
              <w:jc w:val="center"/>
              <w:rPr>
                <w:szCs w:val="22"/>
              </w:rPr>
            </w:pPr>
            <w:r w:rsidRPr="00807DAF">
              <w:rPr>
                <w:szCs w:val="22"/>
              </w:rPr>
              <w:t>-</w:t>
            </w:r>
          </w:p>
        </w:tc>
      </w:tr>
      <w:tr w:rsidR="00415248" w:rsidRPr="00807DAF" w:rsidTr="00864FA8">
        <w:tc>
          <w:tcPr>
            <w:tcW w:w="4678" w:type="dxa"/>
            <w:shd w:val="pct10" w:color="auto" w:fill="FFFFFF"/>
          </w:tcPr>
          <w:p w:rsidR="00415248" w:rsidRPr="00807DAF" w:rsidRDefault="003074A8" w:rsidP="001C4D3A">
            <w:pPr>
              <w:spacing w:before="120"/>
              <w:ind w:left="318" w:hanging="284"/>
              <w:jc w:val="left"/>
              <w:rPr>
                <w:b/>
                <w:szCs w:val="22"/>
              </w:rPr>
            </w:pPr>
            <w:r>
              <w:rPr>
                <w:b/>
                <w:szCs w:val="22"/>
              </w:rPr>
              <w:t>10</w:t>
            </w:r>
            <w:r w:rsidR="001C4D3A">
              <w:rPr>
                <w:b/>
                <w:szCs w:val="22"/>
              </w:rPr>
              <w:t>.</w:t>
            </w:r>
            <w:r w:rsidR="001C4D3A">
              <w:rPr>
                <w:b/>
                <w:szCs w:val="22"/>
              </w:rPr>
              <w:tab/>
            </w:r>
            <w:r w:rsidR="00415248" w:rsidRPr="00807DAF">
              <w:rPr>
                <w:b/>
                <w:szCs w:val="22"/>
              </w:rPr>
              <w:t>Contract signature</w:t>
            </w:r>
          </w:p>
        </w:tc>
        <w:tc>
          <w:tcPr>
            <w:tcW w:w="2552" w:type="dxa"/>
            <w:shd w:val="clear" w:color="auto" w:fill="auto"/>
          </w:tcPr>
          <w:p w:rsidR="00415248" w:rsidRPr="00864FA8" w:rsidRDefault="00864FA8" w:rsidP="00864FA8">
            <w:pPr>
              <w:spacing w:before="120"/>
              <w:jc w:val="center"/>
              <w:rPr>
                <w:szCs w:val="22"/>
              </w:rPr>
            </w:pPr>
            <w:r w:rsidRPr="00864FA8">
              <w:rPr>
                <w:szCs w:val="22"/>
              </w:rPr>
              <w:t>15 March 2020</w:t>
            </w:r>
          </w:p>
        </w:tc>
        <w:tc>
          <w:tcPr>
            <w:tcW w:w="2551" w:type="dxa"/>
          </w:tcPr>
          <w:p w:rsidR="00415248" w:rsidRPr="00807DAF" w:rsidRDefault="00415248" w:rsidP="00F15864">
            <w:pPr>
              <w:spacing w:before="120"/>
              <w:jc w:val="center"/>
              <w:rPr>
                <w:szCs w:val="22"/>
              </w:rPr>
            </w:pPr>
            <w:r w:rsidRPr="00807DAF">
              <w:rPr>
                <w:szCs w:val="22"/>
              </w:rPr>
              <w:t>-</w:t>
            </w:r>
          </w:p>
        </w:tc>
      </w:tr>
    </w:tbl>
    <w:p w:rsidR="00E939EC" w:rsidRPr="00807DAF" w:rsidRDefault="00415248" w:rsidP="001C4D3A">
      <w:pPr>
        <w:spacing w:before="120"/>
      </w:pPr>
      <w:r w:rsidRPr="00807DAF">
        <w:t xml:space="preserve">All times are in the time zone of the country of the </w:t>
      </w:r>
      <w:r w:rsidR="00A33874">
        <w:t>c</w:t>
      </w:r>
      <w:r w:rsidRPr="00807DAF">
        <w:t xml:space="preserve">ontracting </w:t>
      </w:r>
      <w:r w:rsidR="00A33874">
        <w:t>a</w:t>
      </w:r>
      <w:r w:rsidRPr="00807DAF">
        <w:t>uthority</w:t>
      </w:r>
      <w:r w:rsidR="009B7BB7" w:rsidRPr="00807DAF">
        <w:t>.</w:t>
      </w:r>
    </w:p>
    <w:p w:rsidR="0013435B" w:rsidRPr="00807DAF"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w:t>
      </w:r>
      <w:r w:rsidR="00A33874">
        <w:t>c</w:t>
      </w:r>
      <w:r w:rsidRPr="00807DAF">
        <w:t xml:space="preserve">ontracting </w:t>
      </w:r>
      <w:r w:rsidR="00A33874">
        <w:t>a</w:t>
      </w:r>
      <w:r w:rsidRPr="00807DAF">
        <w:t xml:space="preserve">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 web site</w:t>
      </w:r>
      <w:r w:rsidR="00AD1CBB">
        <w:t xml:space="preserve"> of DG International Cooperation and Development:</w:t>
      </w:r>
      <w:r w:rsidR="009B7BB7" w:rsidRPr="00807DAF">
        <w:tab/>
      </w:r>
      <w:r w:rsidRPr="00807DAF">
        <w:t xml:space="preserve"> </w:t>
      </w:r>
      <w:hyperlink r:id="rId25" w:history="1">
        <w:r w:rsidR="00D0109C" w:rsidRPr="00807DAF">
          <w:rPr>
            <w:rStyle w:val="Hyperlink"/>
            <w:szCs w:val="22"/>
          </w:rPr>
          <w:t>https://webgate.ec.europa.eu/europeaid/online-services/index.cfm?do=publi.welcome</w:t>
        </w:r>
      </w:hyperlink>
      <w:r w:rsidRPr="00807DAF">
        <w:t xml:space="preserve"> .</w:t>
      </w:r>
    </w:p>
    <w:p w:rsidR="0007408E" w:rsidRPr="00807DAF" w:rsidRDefault="0007408E" w:rsidP="004741A1">
      <w:pPr>
        <w:pStyle w:val="Guidelines2"/>
      </w:pPr>
      <w:bookmarkStart w:id="44" w:name="_Toc40507655"/>
      <w:bookmarkStart w:id="45" w:name="_Toc1059748"/>
      <w:r w:rsidRPr="00807DAF">
        <w:t xml:space="preserve">Conditions </w:t>
      </w:r>
      <w:r w:rsidR="009B7BB7" w:rsidRPr="00807DAF">
        <w:t>for</w:t>
      </w:r>
      <w:r w:rsidRPr="00807DAF">
        <w:t xml:space="preserve"> implementation </w:t>
      </w:r>
      <w:r w:rsidR="009B7BB7" w:rsidRPr="00807DAF">
        <w:t>after</w:t>
      </w:r>
      <w:r w:rsidRPr="00807DAF">
        <w:t xml:space="preserve"> the </w:t>
      </w:r>
      <w:r w:rsidR="00A33874">
        <w:t>c</w:t>
      </w:r>
      <w:r w:rsidRPr="00807DAF">
        <w:t xml:space="preserve">ontracting </w:t>
      </w:r>
      <w:r w:rsidR="00A33874">
        <w:t>a</w:t>
      </w:r>
      <w:r w:rsidRPr="00807DAF">
        <w:t>uthority</w:t>
      </w:r>
      <w:r w:rsidR="00A016F9" w:rsidRPr="00807DAF">
        <w:t>’</w:t>
      </w:r>
      <w:r w:rsidRPr="00807DAF">
        <w:t>s decision to award a grant</w:t>
      </w:r>
      <w:bookmarkEnd w:id="44"/>
      <w:bookmarkEnd w:id="45"/>
    </w:p>
    <w:p w:rsidR="00511FEE" w:rsidRPr="00807DAF" w:rsidRDefault="00511FEE" w:rsidP="002D4ACD">
      <w:pPr>
        <w:spacing w:after="120"/>
      </w:pPr>
      <w:r w:rsidRPr="00807DAF">
        <w:t xml:space="preserve">Following the decision to award a grant, the </w:t>
      </w:r>
      <w:r w:rsidR="00F65B55">
        <w:t>b</w:t>
      </w:r>
      <w:r w:rsidRPr="00807DAF">
        <w:t>eneficiary</w:t>
      </w:r>
      <w:r w:rsidR="00FA2479" w:rsidRPr="00807DAF">
        <w:t>(ies)</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oordinator is an organisation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xml:space="preserve">. In this case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A94D65">
        <w:t>n agreement.</w:t>
      </w:r>
    </w:p>
    <w:p w:rsidR="0007408E" w:rsidRPr="00807DAF" w:rsidRDefault="00FD5A29" w:rsidP="00FD5A29">
      <w:pPr>
        <w:spacing w:before="240"/>
        <w:rPr>
          <w:u w:val="single"/>
        </w:rPr>
      </w:pPr>
      <w:r>
        <w:rPr>
          <w:u w:val="single"/>
        </w:rPr>
        <w:t xml:space="preserve">Implementation </w:t>
      </w:r>
      <w:r w:rsidR="00D427C7">
        <w:rPr>
          <w:u w:val="single"/>
        </w:rPr>
        <w:t>contracts</w:t>
      </w:r>
    </w:p>
    <w:p w:rsidR="0007408E" w:rsidRDefault="0007408E" w:rsidP="00984331">
      <w:r w:rsidRPr="00807DAF">
        <w:t xml:space="preserve">Where implementation of the action requires the </w:t>
      </w:r>
      <w:r w:rsidR="00F65B55">
        <w:t>b</w:t>
      </w:r>
      <w:r w:rsidRPr="00807DAF">
        <w:t>eneficiar</w:t>
      </w:r>
      <w:r w:rsidR="00544E5D" w:rsidRPr="00807DAF">
        <w:t>y(ies)</w:t>
      </w:r>
      <w:r w:rsidRPr="00807DAF">
        <w:t xml:space="preserve"> </w:t>
      </w:r>
      <w:r w:rsidR="00544E5D" w:rsidRPr="00807DAF">
        <w:t>and its affiliated entity(ies) (if any)</w:t>
      </w:r>
      <w:r w:rsidR="008A7A99" w:rsidRPr="00807DAF">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rsidR="00FD5A29" w:rsidRDefault="00FD5A29" w:rsidP="00FD5A29">
      <w:r>
        <w:t xml:space="preserve">In this context, a distinction should be made between awarding implementation contracts and subcontracting parts of the action described in the proposal, </w:t>
      </w:r>
      <w:r w:rsidR="00425F69">
        <w:t xml:space="preserve">i.e. </w:t>
      </w:r>
      <w:r>
        <w:t xml:space="preserve">the description of the action annexed to the grant </w:t>
      </w:r>
      <w:r w:rsidR="00AE7584">
        <w:t xml:space="preserve">contract, </w:t>
      </w:r>
      <w:r>
        <w:lastRenderedPageBreak/>
        <w:t xml:space="preserve">such subcontracting being subject to additional restrictions (see the general terms and conditions in the model grant </w:t>
      </w:r>
      <w:r w:rsidR="00AE7584">
        <w:t>contract</w:t>
      </w:r>
      <w:r>
        <w:t xml:space="preserve">).  </w:t>
      </w:r>
    </w:p>
    <w:p w:rsidR="00FD5A29" w:rsidRDefault="00FD5A29" w:rsidP="00FD5A29">
      <w:r>
        <w:t xml:space="preserve">Awarding implementation contracts: </w:t>
      </w:r>
      <w:r w:rsidR="00425F69">
        <w:t>i</w:t>
      </w:r>
      <w:r>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t xml:space="preserve">contract </w:t>
      </w:r>
      <w:r>
        <w:t xml:space="preserve">. </w:t>
      </w:r>
    </w:p>
    <w:p w:rsidR="00FD5A29" w:rsidRDefault="00FD5A29" w:rsidP="00FD5A29">
      <w:r>
        <w:t xml:space="preserve">Subcontracting: Subcontracting is the implementation, by a third party with which one or more beneficiaries have concluded a procurement contract, of specific tasks forming part of the action as described in </w:t>
      </w:r>
      <w:r w:rsidR="00E73F33">
        <w:t>a</w:t>
      </w:r>
      <w:r>
        <w:t xml:space="preserve">nnex to the </w:t>
      </w:r>
      <w:r w:rsidR="00E73F33">
        <w:t xml:space="preserve">grant </w:t>
      </w:r>
      <w:r w:rsidR="00425F69">
        <w:t>contrac</w:t>
      </w:r>
      <w:r>
        <w:t xml:space="preserve">t (see also the general terms and conditions in the model grant </w:t>
      </w:r>
      <w:r w:rsidR="00425F69">
        <w:t xml:space="preserve">contract </w:t>
      </w:r>
      <w:r>
        <w:t xml:space="preserve">). </w:t>
      </w:r>
    </w:p>
    <w:p w:rsidR="00FD5A29" w:rsidRPr="00807DAF" w:rsidRDefault="00FD5A29" w:rsidP="00984331"/>
    <w:p w:rsidR="0007408E" w:rsidRPr="00807DAF" w:rsidRDefault="00267E4F" w:rsidP="00D97BE7">
      <w:pPr>
        <w:pStyle w:val="Guidelines1"/>
        <w:rPr>
          <w:rFonts w:ascii="Times New Roman" w:hAnsi="Times New Roman"/>
        </w:rPr>
      </w:pPr>
      <w:bookmarkStart w:id="46" w:name="_Toc40507656"/>
      <w:r w:rsidRPr="00807DAF">
        <w:rPr>
          <w:rFonts w:ascii="Times New Roman" w:hAnsi="Times New Roman"/>
        </w:rPr>
        <w:br w:type="page"/>
      </w:r>
      <w:bookmarkStart w:id="47" w:name="_Toc1059749"/>
      <w:r w:rsidR="0007408E" w:rsidRPr="00807DAF">
        <w:rPr>
          <w:rFonts w:ascii="Times New Roman" w:hAnsi="Times New Roman"/>
        </w:rPr>
        <w:lastRenderedPageBreak/>
        <w:t>LIST OF annexes</w:t>
      </w:r>
      <w:bookmarkEnd w:id="46"/>
      <w:bookmarkEnd w:id="47"/>
    </w:p>
    <w:p w:rsidR="00112E4F" w:rsidRPr="00807DAF" w:rsidRDefault="00112E4F" w:rsidP="00600738">
      <w:pPr>
        <w:rPr>
          <w:b/>
          <w:smallCaps/>
        </w:rPr>
      </w:pPr>
      <w:bookmarkStart w:id="48"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p w:rsidR="0007408E" w:rsidRPr="00807DAF" w:rsidRDefault="0007408E" w:rsidP="001C4D3A">
      <w:pPr>
        <w:spacing w:after="80"/>
        <w:ind w:left="1134" w:hanging="1134"/>
      </w:pPr>
      <w:r w:rsidRPr="00807DAF">
        <w:t>Annex A:</w:t>
      </w:r>
      <w:r w:rsidR="00600738" w:rsidRPr="00807DAF">
        <w:tab/>
      </w:r>
      <w:r w:rsidRPr="00807DAF">
        <w:t xml:space="preserve">Grant </w:t>
      </w:r>
      <w:r w:rsidR="00A33874">
        <w:t>a</w:t>
      </w:r>
      <w:r w:rsidRPr="00807DAF">
        <w:t xml:space="preserve">pplication </w:t>
      </w:r>
      <w:r w:rsidR="00A33874">
        <w:t>f</w:t>
      </w:r>
      <w:r w:rsidRPr="00807DAF">
        <w:t>orm (Word format)</w:t>
      </w:r>
      <w:bookmarkEnd w:id="48"/>
    </w:p>
    <w:p w:rsidR="008D553A" w:rsidRPr="00807DAF" w:rsidRDefault="00600738" w:rsidP="001C4D3A">
      <w:pPr>
        <w:spacing w:after="80"/>
        <w:ind w:left="1134" w:hanging="1134"/>
      </w:pPr>
      <w:bookmarkStart w:id="49" w:name="_Toc40507658"/>
      <w:r w:rsidRPr="00807DAF">
        <w:t>Annex B:</w:t>
      </w:r>
      <w:r w:rsidRPr="00807DAF">
        <w:tab/>
      </w:r>
      <w:r w:rsidR="0007408E" w:rsidRPr="00807DAF">
        <w:t>Budget (Excel format)</w:t>
      </w:r>
      <w:bookmarkEnd w:id="49"/>
    </w:p>
    <w:p w:rsidR="0007408E" w:rsidRPr="00807DAF" w:rsidRDefault="0007408E" w:rsidP="001C4D3A">
      <w:pPr>
        <w:spacing w:after="80"/>
        <w:ind w:left="1134" w:hanging="1134"/>
      </w:pPr>
      <w:bookmarkStart w:id="50" w:name="_Toc40507659"/>
      <w:r w:rsidRPr="00BF158E">
        <w:t>Annex C:</w:t>
      </w:r>
      <w:r w:rsidR="00600738" w:rsidRPr="00BF158E">
        <w:tab/>
      </w:r>
      <w:r w:rsidRPr="00BF158E">
        <w:t xml:space="preserve">Logical </w:t>
      </w:r>
      <w:r w:rsidR="00A33874">
        <w:t>f</w:t>
      </w:r>
      <w:r w:rsidRPr="00BF158E">
        <w:t>ramework (Excel format)</w:t>
      </w:r>
      <w:bookmarkEnd w:id="50"/>
    </w:p>
    <w:p w:rsidR="0079640D" w:rsidRPr="003074A8" w:rsidRDefault="0007408E" w:rsidP="001C4D3A">
      <w:pPr>
        <w:spacing w:after="80"/>
        <w:ind w:left="1134" w:hanging="1134"/>
      </w:pPr>
      <w:bookmarkStart w:id="51" w:name="_Toc40507660"/>
      <w:r w:rsidRPr="003074A8">
        <w:t>Annex D:</w:t>
      </w:r>
      <w:bookmarkEnd w:id="51"/>
      <w:r w:rsidR="00600738" w:rsidRPr="003074A8">
        <w:tab/>
      </w:r>
      <w:r w:rsidR="00DB227A" w:rsidRPr="003074A8">
        <w:t xml:space="preserve">Legal </w:t>
      </w:r>
      <w:r w:rsidR="00A33874" w:rsidRPr="003074A8">
        <w:t>e</w:t>
      </w:r>
      <w:r w:rsidR="00DB227A" w:rsidRPr="003074A8">
        <w:t xml:space="preserve">ntity </w:t>
      </w:r>
      <w:r w:rsidR="00A33874" w:rsidRPr="003074A8">
        <w:t>s</w:t>
      </w:r>
      <w:r w:rsidR="00FA2043" w:rsidRPr="003074A8">
        <w:t>heet</w:t>
      </w:r>
      <w:r w:rsidR="00B54C9C" w:rsidRPr="003074A8">
        <w:rPr>
          <w:rStyle w:val="af6"/>
        </w:rPr>
        <w:footnoteReference w:id="30"/>
      </w:r>
      <w:bookmarkStart w:id="52" w:name="_Toc40507661"/>
    </w:p>
    <w:p w:rsidR="00872E67" w:rsidRDefault="00872E67" w:rsidP="001C4D3A">
      <w:pPr>
        <w:spacing w:after="80"/>
        <w:ind w:left="1134" w:hanging="1134"/>
      </w:pPr>
      <w:r w:rsidRPr="003074A8">
        <w:t>Annex E:</w:t>
      </w:r>
      <w:r w:rsidR="00600738" w:rsidRPr="003074A8">
        <w:tab/>
      </w:r>
      <w:r w:rsidRPr="003074A8">
        <w:t>Financial identification form</w:t>
      </w:r>
    </w:p>
    <w:p w:rsidR="00C64EA0" w:rsidRPr="00B1781C" w:rsidRDefault="00C64EA0" w:rsidP="00B1781C">
      <w:pPr>
        <w:spacing w:after="80"/>
        <w:ind w:left="1134" w:hanging="1134"/>
      </w:pPr>
      <w:r>
        <w:t xml:space="preserve">Annex F: </w:t>
      </w:r>
      <w:r>
        <w:tab/>
      </w:r>
      <w:r w:rsidR="00B1781C" w:rsidRPr="00B1781C">
        <w:t xml:space="preserve">EuropeAid offline registration form </w:t>
      </w:r>
      <w:r w:rsidR="00B1781C" w:rsidRPr="00B1781C">
        <w:rPr>
          <w:b/>
          <w:i/>
        </w:rPr>
        <w:t>(ONLY IF IMPOSSIBLE TO REGISTER IN PADOR)</w:t>
      </w:r>
    </w:p>
    <w:p w:rsidR="00112E4F" w:rsidRPr="00103811" w:rsidRDefault="00112E4F" w:rsidP="00600738">
      <w:pPr>
        <w:spacing w:before="240"/>
        <w:rPr>
          <w:b/>
          <w:smallCaps/>
        </w:rPr>
      </w:pPr>
      <w:r w:rsidRPr="00103811">
        <w:rPr>
          <w:b/>
          <w:smallCaps/>
        </w:rPr>
        <w:t>DOCUMENTS FOR INFORMATION</w:t>
      </w:r>
      <w:r w:rsidR="0025435C">
        <w:rPr>
          <w:rStyle w:val="af6"/>
          <w:b/>
          <w:smallCaps/>
          <w:lang w:val="fr-FR"/>
        </w:rPr>
        <w:footnoteReference w:id="31"/>
      </w:r>
    </w:p>
    <w:p w:rsidR="00293A81" w:rsidRPr="004B2899" w:rsidRDefault="0007408E" w:rsidP="00293A81">
      <w:pPr>
        <w:spacing w:after="120"/>
        <w:ind w:left="1134" w:hanging="1134"/>
      </w:pPr>
      <w:r w:rsidRPr="00103811">
        <w:t xml:space="preserve">Annex </w:t>
      </w:r>
      <w:r w:rsidR="00C067EC" w:rsidRPr="00103811">
        <w:t>G</w:t>
      </w:r>
      <w:r w:rsidR="00600738" w:rsidRPr="00103811">
        <w:t>:</w:t>
      </w:r>
      <w:r w:rsidR="00600738" w:rsidRPr="00103811">
        <w:tab/>
      </w:r>
      <w:r w:rsidRPr="00103811">
        <w:t xml:space="preserve">Standard </w:t>
      </w:r>
      <w:r w:rsidR="00A33874" w:rsidRPr="00103811">
        <w:t>g</w:t>
      </w:r>
      <w:r w:rsidR="00450369" w:rsidRPr="00103811">
        <w:t xml:space="preserve">rant </w:t>
      </w:r>
      <w:r w:rsidR="00293A81" w:rsidRPr="004B2899">
        <w:t>contract</w:t>
      </w:r>
    </w:p>
    <w:bookmarkEnd w:id="52"/>
    <w:p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r w:rsidR="00264D82">
        <w:t xml:space="preserve">    </w:t>
      </w:r>
    </w:p>
    <w:p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rsidR="00946471" w:rsidRPr="003074A8" w:rsidRDefault="00600738" w:rsidP="00BC0D86">
      <w:pPr>
        <w:tabs>
          <w:tab w:val="left" w:pos="567"/>
          <w:tab w:val="left" w:pos="1701"/>
        </w:tabs>
        <w:spacing w:after="0"/>
        <w:ind w:left="1701" w:hanging="1276"/>
      </w:pPr>
      <w:r w:rsidRPr="003074A8">
        <w:t>-</w:t>
      </w:r>
      <w:r w:rsidR="00035C57">
        <w:t xml:space="preserve"> </w:t>
      </w:r>
      <w:r w:rsidRPr="003074A8">
        <w:t>A</w:t>
      </w:r>
      <w:r w:rsidR="005677E7" w:rsidRPr="003074A8">
        <w:t xml:space="preserve">nnex </w:t>
      </w:r>
      <w:r w:rsidRPr="003074A8">
        <w:t>VII</w:t>
      </w:r>
      <w:r w:rsidR="005677E7" w:rsidRPr="003074A8">
        <w:t>:</w:t>
      </w:r>
      <w:r w:rsidR="00946471" w:rsidRPr="003074A8">
        <w:tab/>
      </w:r>
      <w:r w:rsidR="005677E7" w:rsidRPr="003074A8">
        <w:t xml:space="preserve">model report of factual findings and terms of reference for an expenditure verification of an </w:t>
      </w:r>
      <w:r w:rsidR="00D23749" w:rsidRPr="003074A8">
        <w:t xml:space="preserve">EU </w:t>
      </w:r>
      <w:r w:rsidR="005677E7" w:rsidRPr="003074A8">
        <w:t>financed grant contract for external action</w:t>
      </w:r>
    </w:p>
    <w:p w:rsidR="005677E7" w:rsidRDefault="005677E7" w:rsidP="00BC0D86">
      <w:pPr>
        <w:tabs>
          <w:tab w:val="left" w:pos="567"/>
          <w:tab w:val="left" w:pos="1701"/>
        </w:tabs>
        <w:spacing w:after="0"/>
        <w:ind w:left="1701" w:hanging="1276"/>
      </w:pPr>
      <w:r w:rsidRPr="00B1781C">
        <w:t>-</w:t>
      </w:r>
      <w:r w:rsidR="00035C57">
        <w:t xml:space="preserve"> </w:t>
      </w:r>
      <w:r w:rsidR="00600738" w:rsidRPr="00B1781C">
        <w:t>A</w:t>
      </w:r>
      <w:r w:rsidR="00946471" w:rsidRPr="00B1781C">
        <w:t>nnex</w:t>
      </w:r>
      <w:r w:rsidRPr="00B1781C">
        <w:t xml:space="preserve"> </w:t>
      </w:r>
      <w:r w:rsidR="00600738" w:rsidRPr="00B1781C">
        <w:t>VIII</w:t>
      </w:r>
      <w:r w:rsidRPr="00B1781C">
        <w:t>:</w:t>
      </w:r>
      <w:r w:rsidR="00946471" w:rsidRPr="00B1781C">
        <w:tab/>
        <w:t>model financial guarantee</w:t>
      </w:r>
    </w:p>
    <w:p w:rsidR="00B1781C" w:rsidRPr="00B1781C" w:rsidRDefault="00B1781C" w:rsidP="00BC0D86">
      <w:pPr>
        <w:tabs>
          <w:tab w:val="left" w:pos="567"/>
          <w:tab w:val="left" w:pos="1701"/>
        </w:tabs>
        <w:spacing w:after="0"/>
        <w:ind w:left="1701" w:hanging="1276"/>
      </w:pPr>
      <w:r w:rsidRPr="00B1781C">
        <w:t>-</w:t>
      </w:r>
      <w:r w:rsidR="00035C57">
        <w:t xml:space="preserve"> </w:t>
      </w:r>
      <w:r w:rsidRPr="00B1781C">
        <w:t>Annex IX:</w:t>
      </w:r>
      <w:r w:rsidRPr="00B1781C">
        <w:tab/>
        <w:t>standard template for transfer of ownership of assets</w:t>
      </w:r>
    </w:p>
    <w:p w:rsidR="0048369D" w:rsidRPr="00B1781C" w:rsidRDefault="0048369D" w:rsidP="001C4D3A">
      <w:pPr>
        <w:tabs>
          <w:tab w:val="left" w:pos="567"/>
          <w:tab w:val="left" w:pos="1701"/>
        </w:tabs>
        <w:spacing w:after="0"/>
      </w:pPr>
    </w:p>
    <w:p w:rsidR="00112E4F" w:rsidRPr="00B1781C" w:rsidRDefault="00112E4F" w:rsidP="001C4D3A">
      <w:pPr>
        <w:tabs>
          <w:tab w:val="left" w:pos="1134"/>
        </w:tabs>
        <w:spacing w:after="120"/>
        <w:ind w:left="1134" w:hanging="1134"/>
        <w:jc w:val="left"/>
        <w:rPr>
          <w:szCs w:val="22"/>
        </w:rPr>
      </w:pPr>
      <w:r w:rsidRPr="00B1781C">
        <w:rPr>
          <w:szCs w:val="22"/>
        </w:rPr>
        <w:t>A</w:t>
      </w:r>
      <w:r w:rsidR="00600738" w:rsidRPr="00B1781C">
        <w:rPr>
          <w:szCs w:val="22"/>
        </w:rPr>
        <w:t>nnex H:</w:t>
      </w:r>
      <w:r w:rsidR="00600738" w:rsidRPr="00B1781C">
        <w:rPr>
          <w:szCs w:val="22"/>
        </w:rPr>
        <w:tab/>
      </w:r>
      <w:r w:rsidR="00AA4FE0" w:rsidRPr="00B1781C">
        <w:rPr>
          <w:szCs w:val="22"/>
        </w:rPr>
        <w:t>Daily allowance rates (</w:t>
      </w:r>
      <w:r w:rsidR="00A33874" w:rsidRPr="00B1781C">
        <w:rPr>
          <w:szCs w:val="22"/>
        </w:rPr>
        <w:t>p</w:t>
      </w:r>
      <w:r w:rsidRPr="00B1781C">
        <w:rPr>
          <w:szCs w:val="22"/>
        </w:rPr>
        <w:t>er diem</w:t>
      </w:r>
      <w:r w:rsidR="00AA4FE0" w:rsidRPr="00B1781C">
        <w:rPr>
          <w:szCs w:val="22"/>
        </w:rPr>
        <w:t>)</w:t>
      </w:r>
      <w:r w:rsidRPr="00B1781C">
        <w:rPr>
          <w:szCs w:val="22"/>
        </w:rPr>
        <w:t xml:space="preserve">, available at the following address: </w:t>
      </w:r>
      <w:hyperlink r:id="rId26" w:history="1">
        <w:r w:rsidR="004B7BC2" w:rsidRPr="00B1781C">
          <w:rPr>
            <w:rStyle w:val="Hyperlink"/>
            <w:szCs w:val="22"/>
          </w:rPr>
          <w:t>http://ec.europa.eu/europeaid/funding/about-procurement-contracts/procedures-and-practical-guide-prag/diems_en</w:t>
        </w:r>
      </w:hyperlink>
      <w:r w:rsidR="004B7BC2" w:rsidRPr="00B1781C">
        <w:rPr>
          <w:szCs w:val="22"/>
        </w:rPr>
        <w:t xml:space="preserve"> </w:t>
      </w:r>
    </w:p>
    <w:p w:rsidR="00151EDE" w:rsidRPr="00807DAF" w:rsidRDefault="00151EDE" w:rsidP="001C4D3A">
      <w:pPr>
        <w:tabs>
          <w:tab w:val="left" w:pos="1134"/>
        </w:tabs>
        <w:spacing w:after="120"/>
        <w:ind w:left="1134" w:hanging="1134"/>
        <w:jc w:val="left"/>
        <w:rPr>
          <w:szCs w:val="22"/>
        </w:rPr>
      </w:pPr>
      <w:bookmarkStart w:id="53" w:name="_Toc216513983"/>
      <w:r w:rsidRPr="00B1781C">
        <w:rPr>
          <w:szCs w:val="22"/>
        </w:rPr>
        <w:t>Annex J:</w:t>
      </w:r>
      <w:r w:rsidRPr="00B1781C">
        <w:rPr>
          <w:szCs w:val="22"/>
        </w:rPr>
        <w:tab/>
        <w:t>Information on the tax regime applicable to grant contracts signed</w:t>
      </w:r>
      <w:r w:rsidRPr="00807DAF">
        <w:rPr>
          <w:szCs w:val="22"/>
        </w:rPr>
        <w:t xml:space="preserve"> under the call.</w:t>
      </w:r>
    </w:p>
    <w:p w:rsidR="00211B8D" w:rsidRDefault="00600738" w:rsidP="001C4D3A">
      <w:pPr>
        <w:tabs>
          <w:tab w:val="left" w:pos="1134"/>
        </w:tabs>
        <w:spacing w:after="0"/>
        <w:ind w:left="1134" w:hanging="1134"/>
        <w:jc w:val="left"/>
        <w:rPr>
          <w:szCs w:val="22"/>
        </w:rPr>
      </w:pPr>
      <w:r w:rsidRPr="008503BC">
        <w:rPr>
          <w:szCs w:val="22"/>
        </w:rPr>
        <w:t xml:space="preserve">Annex </w:t>
      </w:r>
      <w:r w:rsidR="00151EDE">
        <w:rPr>
          <w:szCs w:val="22"/>
        </w:rPr>
        <w:t>K</w:t>
      </w:r>
      <w:r w:rsidRPr="008503BC">
        <w:rPr>
          <w:szCs w:val="22"/>
        </w:rPr>
        <w:t>:</w:t>
      </w:r>
      <w:r w:rsidRPr="008503BC">
        <w:rPr>
          <w:szCs w:val="22"/>
        </w:rPr>
        <w:tab/>
      </w:r>
      <w:r w:rsidR="00211B8D" w:rsidRPr="008503BC">
        <w:rPr>
          <w:szCs w:val="22"/>
        </w:rPr>
        <w:t>G</w:t>
      </w:r>
      <w:r w:rsidRPr="008503BC">
        <w:rPr>
          <w:szCs w:val="22"/>
        </w:rPr>
        <w:t>uidelines for assessing</w:t>
      </w:r>
      <w:r w:rsidR="00211B8D" w:rsidRPr="008503BC">
        <w:rPr>
          <w:szCs w:val="22"/>
        </w:rPr>
        <w:t xml:space="preserve"> </w:t>
      </w:r>
      <w:r w:rsidR="00A33874">
        <w:rPr>
          <w:szCs w:val="22"/>
        </w:rPr>
        <w:t>s</w:t>
      </w:r>
      <w:r w:rsidRPr="008503BC">
        <w:rPr>
          <w:szCs w:val="22"/>
        </w:rPr>
        <w:t>implified cost options</w:t>
      </w:r>
      <w:r w:rsidR="00211B8D" w:rsidRPr="008503BC">
        <w:rPr>
          <w:szCs w:val="22"/>
        </w:rPr>
        <w:t>.</w:t>
      </w:r>
    </w:p>
    <w:p w:rsidR="00DA0F6C" w:rsidRDefault="00DA0F6C" w:rsidP="001C4D3A">
      <w:pPr>
        <w:tabs>
          <w:tab w:val="left" w:pos="1134"/>
        </w:tabs>
        <w:spacing w:after="0"/>
        <w:ind w:left="1134" w:hanging="1134"/>
        <w:jc w:val="left"/>
        <w:rPr>
          <w:szCs w:val="22"/>
        </w:rPr>
      </w:pPr>
    </w:p>
    <w:p w:rsidR="006F4ACD" w:rsidRPr="00807DAF" w:rsidRDefault="006F4ACD" w:rsidP="002D4ACD">
      <w:pPr>
        <w:spacing w:before="240"/>
        <w:jc w:val="left"/>
        <w:rPr>
          <w:b/>
          <w:szCs w:val="22"/>
        </w:rPr>
      </w:pPr>
      <w:bookmarkStart w:id="54" w:name="_Toc216513984"/>
      <w:bookmarkEnd w:id="53"/>
      <w:r w:rsidRPr="00807DAF">
        <w:rPr>
          <w:b/>
          <w:szCs w:val="22"/>
        </w:rPr>
        <w:t>Useful links:</w:t>
      </w:r>
    </w:p>
    <w:p w:rsidR="00345514" w:rsidRPr="00807DAF" w:rsidRDefault="00345514" w:rsidP="001C4D3A">
      <w:pPr>
        <w:spacing w:after="0"/>
        <w:jc w:val="left"/>
        <w:rPr>
          <w:b/>
          <w:szCs w:val="22"/>
        </w:rPr>
      </w:pPr>
      <w:r w:rsidRPr="00807DAF">
        <w:rPr>
          <w:b/>
          <w:szCs w:val="22"/>
        </w:rPr>
        <w:t>Project Cycle Management Guidelines</w:t>
      </w:r>
      <w:bookmarkEnd w:id="54"/>
      <w:r w:rsidRPr="00807DAF">
        <w:rPr>
          <w:b/>
          <w:szCs w:val="22"/>
        </w:rPr>
        <w:t xml:space="preserve"> </w:t>
      </w:r>
    </w:p>
    <w:p w:rsidR="00176C61" w:rsidRDefault="003143CD" w:rsidP="001C4D3A">
      <w:pPr>
        <w:spacing w:after="120"/>
        <w:jc w:val="left"/>
        <w:rPr>
          <w:rStyle w:val="Hyperlink"/>
          <w:szCs w:val="22"/>
        </w:rPr>
      </w:pPr>
      <w:hyperlink r:id="rId27" w:history="1">
        <w:r w:rsidR="009C7178" w:rsidRPr="009D136D">
          <w:rPr>
            <w:rStyle w:val="Hyperlink"/>
            <w:szCs w:val="22"/>
          </w:rPr>
          <w:t>http://ec.europa.eu/europeaid/aid-delivery-methods-project-cycle-management-guidelines-vol-1_en</w:t>
        </w:r>
      </w:hyperlink>
    </w:p>
    <w:p w:rsidR="00034524" w:rsidRDefault="00BB518F" w:rsidP="001C4D3A">
      <w:pPr>
        <w:spacing w:before="120" w:after="120"/>
        <w:jc w:val="left"/>
        <w:rPr>
          <w:b/>
          <w:szCs w:val="22"/>
        </w:rPr>
      </w:pPr>
      <w:r w:rsidRPr="00807DAF">
        <w:rPr>
          <w:b/>
          <w:szCs w:val="22"/>
        </w:rPr>
        <w:t>The implementation of grant contracts</w:t>
      </w:r>
    </w:p>
    <w:p w:rsidR="00BB518F" w:rsidRPr="00807DAF" w:rsidRDefault="00BB518F" w:rsidP="001C4D3A">
      <w:pPr>
        <w:spacing w:after="0"/>
        <w:jc w:val="left"/>
        <w:rPr>
          <w:b/>
          <w:szCs w:val="22"/>
        </w:rPr>
      </w:pPr>
      <w:r w:rsidRPr="00807DAF">
        <w:rPr>
          <w:b/>
          <w:szCs w:val="22"/>
        </w:rPr>
        <w:t>A Users' Guide</w:t>
      </w:r>
    </w:p>
    <w:p w:rsidR="002573AC" w:rsidRPr="00807DAF" w:rsidRDefault="003143CD" w:rsidP="001C4D3A">
      <w:pPr>
        <w:spacing w:after="120"/>
        <w:jc w:val="left"/>
        <w:rPr>
          <w:b/>
          <w:szCs w:val="22"/>
        </w:rPr>
      </w:pPr>
      <w:hyperlink r:id="rId28" w:history="1">
        <w:r w:rsidR="00034524" w:rsidRPr="00FE3AC1">
          <w:rPr>
            <w:rStyle w:val="Hyperlink"/>
            <w:szCs w:val="22"/>
          </w:rPr>
          <w:t>http://ec.europa.eu/europeaid/companion/document.do?nodeNumber=19&amp;locale=en</w:t>
        </w:r>
      </w:hyperlink>
    </w:p>
    <w:p w:rsidR="001E10DA" w:rsidRPr="008503BC" w:rsidRDefault="001E10DA" w:rsidP="001C4D3A">
      <w:pPr>
        <w:spacing w:before="120" w:after="0"/>
        <w:jc w:val="left"/>
        <w:rPr>
          <w:b/>
          <w:szCs w:val="22"/>
        </w:rPr>
      </w:pPr>
      <w:r w:rsidRPr="008503BC">
        <w:rPr>
          <w:b/>
          <w:szCs w:val="22"/>
        </w:rPr>
        <w:t>Financial Toolkit</w:t>
      </w:r>
      <w:r w:rsidR="0061182F" w:rsidRPr="008503BC">
        <w:rPr>
          <w:b/>
          <w:szCs w:val="22"/>
        </w:rPr>
        <w:tab/>
      </w:r>
    </w:p>
    <w:p w:rsidR="00197634" w:rsidRPr="008503BC" w:rsidRDefault="003143CD" w:rsidP="001C4D3A">
      <w:pPr>
        <w:spacing w:after="120"/>
        <w:rPr>
          <w:szCs w:val="22"/>
        </w:rPr>
      </w:pPr>
      <w:hyperlink r:id="rId29" w:history="1">
        <w:r w:rsidR="00034524" w:rsidRPr="008503BC">
          <w:rPr>
            <w:rStyle w:val="Hyperlink"/>
            <w:szCs w:val="22"/>
          </w:rPr>
          <w:t>http://ec.europa.eu/europeaid/funding/procedures-beneficiary-countries-and-partners/financial-management-toolkit_en</w:t>
        </w:r>
      </w:hyperlink>
      <w:r w:rsidR="00034524" w:rsidRPr="008503BC">
        <w:rPr>
          <w:szCs w:val="22"/>
        </w:rPr>
        <w:t xml:space="preserve"> </w:t>
      </w:r>
    </w:p>
    <w:p w:rsidR="001C4D3A" w:rsidRPr="00712ADB" w:rsidRDefault="00197634" w:rsidP="001C4D3A">
      <w:pPr>
        <w:spacing w:after="0"/>
        <w:rPr>
          <w:iCs/>
          <w:color w:val="000000"/>
        </w:rPr>
      </w:pPr>
      <w:r w:rsidRPr="00712ADB">
        <w:rPr>
          <w:iCs/>
          <w:color w:val="000000"/>
        </w:rPr>
        <w:t xml:space="preserve">Please note: The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CD" w:rsidRDefault="003143CD">
      <w:r>
        <w:separator/>
      </w:r>
    </w:p>
    <w:p w:rsidR="003143CD" w:rsidRDefault="003143CD"/>
  </w:endnote>
  <w:endnote w:type="continuationSeparator" w:id="0">
    <w:p w:rsidR="003143CD" w:rsidRDefault="003143CD">
      <w:r>
        <w:continuationSeparator/>
      </w:r>
    </w:p>
    <w:p w:rsidR="003143CD" w:rsidRDefault="00314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82" w:rsidRPr="00A016F9" w:rsidRDefault="008C0382" w:rsidP="00BF158E">
    <w:pPr>
      <w:pStyle w:val="a9"/>
      <w:tabs>
        <w:tab w:val="right" w:pos="9639"/>
      </w:tabs>
      <w:spacing w:before="120" w:after="0"/>
      <w:rPr>
        <w:rFonts w:ascii="Times New Roman" w:hAnsi="Times New Roman"/>
        <w:sz w:val="18"/>
        <w:szCs w:val="18"/>
      </w:rPr>
    </w:pPr>
    <w:r>
      <w:rPr>
        <w:rFonts w:ascii="Times New Roman" w:hAnsi="Times New Roman"/>
        <w:b/>
        <w:sz w:val="20"/>
      </w:rPr>
      <w:t>EuropeAid/</w:t>
    </w:r>
    <w:r>
      <w:rPr>
        <w:rFonts w:ascii="Times New Roman" w:hAnsi="Times New Roman"/>
        <w:b/>
        <w:noProof/>
        <w:sz w:val="18"/>
        <w:szCs w:val="18"/>
      </w:rPr>
      <w:t>163941</w:t>
    </w:r>
    <w:r w:rsidRPr="009A7E42">
      <w:rPr>
        <w:rFonts w:ascii="Times New Roman" w:hAnsi="Times New Roman"/>
        <w:b/>
        <w:sz w:val="18"/>
        <w:szCs w:val="18"/>
      </w:rPr>
      <w:t>/</w:t>
    </w:r>
    <w:r>
      <w:rPr>
        <w:rFonts w:ascii="Times New Roman" w:hAnsi="Times New Roman"/>
        <w:b/>
        <w:noProof/>
        <w:sz w:val="18"/>
        <w:szCs w:val="18"/>
      </w:rPr>
      <w:t>DH</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072029">
      <w:rPr>
        <w:rFonts w:ascii="Times New Roman" w:hAnsi="Times New Roman"/>
        <w:noProof/>
        <w:sz w:val="18"/>
        <w:szCs w:val="18"/>
      </w:rPr>
      <w:t>20</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072029">
      <w:rPr>
        <w:rFonts w:ascii="Times New Roman" w:hAnsi="Times New Roman"/>
        <w:noProof/>
        <w:sz w:val="18"/>
        <w:szCs w:val="18"/>
      </w:rPr>
      <w:t>34</w:t>
    </w:r>
    <w:r>
      <w:rPr>
        <w:rFonts w:ascii="Times New Roman" w:hAnsi="Times New Roman"/>
        <w:sz w:val="18"/>
        <w:szCs w:val="18"/>
      </w:rPr>
      <w:fldChar w:fldCharType="end"/>
    </w:r>
  </w:p>
  <w:p w:rsidR="008C0382" w:rsidRPr="00491F8A" w:rsidRDefault="008C0382" w:rsidP="000973DB">
    <w:pPr>
      <w:pStyle w:val="a9"/>
      <w:tabs>
        <w:tab w:val="right" w:pos="9639"/>
      </w:tabs>
      <w:spacing w:after="0"/>
      <w:rPr>
        <w:rFonts w:ascii="Times New Roman" w:hAnsi="Times New Roman"/>
        <w:sz w:val="18"/>
        <w:szCs w:val="18"/>
      </w:rPr>
    </w:pPr>
    <w:r>
      <w:rPr>
        <w:rFonts w:ascii="Times New Roman" w:hAnsi="Times New Roman"/>
        <w:b/>
        <w:sz w:val="20"/>
      </w:rPr>
      <w:t xml:space="preserve">2 August 2018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restricted.rtf</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82" w:rsidRDefault="008C0382" w:rsidP="00BF158E">
    <w:pPr>
      <w:pStyle w:val="a9"/>
      <w:tabs>
        <w:tab w:val="right" w:pos="9639"/>
      </w:tabs>
      <w:spacing w:before="120" w:after="0"/>
      <w:rPr>
        <w:rFonts w:ascii="Times New Roman" w:hAnsi="Times New Roman"/>
        <w:sz w:val="18"/>
        <w:szCs w:val="18"/>
      </w:rPr>
    </w:pPr>
    <w:r>
      <w:rPr>
        <w:rFonts w:ascii="Times New Roman" w:hAnsi="Times New Roman"/>
        <w:b/>
        <w:sz w:val="20"/>
      </w:rPr>
      <w:t>EuropeAid/</w:t>
    </w:r>
    <w:r>
      <w:rPr>
        <w:rFonts w:ascii="Times New Roman" w:hAnsi="Times New Roman"/>
        <w:b/>
        <w:noProof/>
        <w:sz w:val="18"/>
        <w:szCs w:val="18"/>
      </w:rPr>
      <w:t>163941</w:t>
    </w:r>
    <w:r w:rsidRPr="009A7E42">
      <w:rPr>
        <w:rFonts w:ascii="Times New Roman" w:hAnsi="Times New Roman"/>
        <w:b/>
        <w:sz w:val="18"/>
        <w:szCs w:val="18"/>
      </w:rPr>
      <w:t>/</w:t>
    </w:r>
    <w:r>
      <w:rPr>
        <w:rFonts w:ascii="Times New Roman" w:hAnsi="Times New Roman"/>
        <w:b/>
        <w:noProof/>
        <w:sz w:val="18"/>
        <w:szCs w:val="18"/>
      </w:rPr>
      <w:t>DH</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A016F9">
      <w:rPr>
        <w:rFonts w:ascii="Times New Roman" w:hAnsi="Times New Roman"/>
        <w:sz w:val="18"/>
        <w:szCs w:val="18"/>
      </w:rPr>
      <w:tab/>
    </w:r>
  </w:p>
  <w:p w:rsidR="008C0382" w:rsidRPr="00491F8A" w:rsidRDefault="008C0382" w:rsidP="000973DB">
    <w:pPr>
      <w:pStyle w:val="a9"/>
      <w:tabs>
        <w:tab w:val="right" w:pos="9639"/>
      </w:tabs>
      <w:spacing w:after="0"/>
      <w:rPr>
        <w:rFonts w:ascii="Times New Roman" w:hAnsi="Times New Roman"/>
        <w:sz w:val="18"/>
        <w:szCs w:val="18"/>
      </w:rPr>
    </w:pPr>
    <w:r>
      <w:rPr>
        <w:rFonts w:ascii="Times New Roman" w:hAnsi="Times New Roman"/>
        <w:b/>
        <w:sz w:val="20"/>
      </w:rPr>
      <w:t xml:space="preserve">2 August 2018 </w:t>
    </w:r>
    <w:r w:rsidRPr="00946B25">
      <w:rPr>
        <w:rFonts w:ascii="Times New Roman" w:hAnsi="Times New Roman"/>
        <w:bCs/>
        <w:sz w:val="18"/>
        <w:szCs w:val="18"/>
      </w:rPr>
      <w:fldChar w:fldCharType="begin"/>
    </w:r>
    <w:r w:rsidRPr="00946B25">
      <w:rPr>
        <w:rFonts w:ascii="Times New Roman" w:hAnsi="Times New Roman"/>
        <w:bCs/>
        <w:sz w:val="18"/>
        <w:szCs w:val="18"/>
      </w:rPr>
      <w:instrText xml:space="preserve"> FILENAME </w:instrText>
    </w:r>
    <w:r w:rsidRPr="00946B25">
      <w:rPr>
        <w:rFonts w:ascii="Times New Roman" w:hAnsi="Times New Roman"/>
        <w:bCs/>
        <w:sz w:val="18"/>
        <w:szCs w:val="18"/>
      </w:rPr>
      <w:fldChar w:fldCharType="separate"/>
    </w:r>
    <w:r>
      <w:rPr>
        <w:rFonts w:ascii="Times New Roman" w:hAnsi="Times New Roman"/>
        <w:bCs/>
        <w:noProof/>
        <w:sz w:val="18"/>
        <w:szCs w:val="18"/>
      </w:rPr>
      <w:t>Guidelines for grant applicant restricted.rtf</w:t>
    </w:r>
    <w:r w:rsidRPr="00946B25">
      <w:rPr>
        <w:rFonts w:ascii="Times New Roman" w:hAnsi="Times New Roman"/>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82" w:rsidRPr="0096166C" w:rsidRDefault="008C0382" w:rsidP="00491F8A">
    <w:pPr>
      <w:pStyle w:val="a9"/>
      <w:tabs>
        <w:tab w:val="right" w:pos="9639"/>
      </w:tabs>
      <w:spacing w:after="0"/>
      <w:rPr>
        <w:rFonts w:ascii="Times New Roman" w:hAnsi="Times New Roman"/>
        <w:b/>
        <w:sz w:val="20"/>
      </w:rPr>
    </w:pPr>
    <w:r>
      <w:rPr>
        <w:rFonts w:ascii="Times New Roman" w:hAnsi="Times New Roman"/>
        <w:b/>
        <w:sz w:val="20"/>
      </w:rPr>
      <w:t>EuropeAid/</w:t>
    </w:r>
    <w:r>
      <w:rPr>
        <w:rFonts w:ascii="Times New Roman" w:hAnsi="Times New Roman"/>
        <w:b/>
        <w:noProof/>
        <w:sz w:val="18"/>
        <w:szCs w:val="18"/>
      </w:rPr>
      <w:t>163941</w:t>
    </w:r>
    <w:r w:rsidRPr="009A7E42">
      <w:rPr>
        <w:rFonts w:ascii="Times New Roman" w:hAnsi="Times New Roman"/>
        <w:b/>
        <w:sz w:val="18"/>
        <w:szCs w:val="18"/>
      </w:rPr>
      <w:t>/</w:t>
    </w:r>
    <w:r>
      <w:rPr>
        <w:rFonts w:ascii="Times New Roman" w:hAnsi="Times New Roman"/>
        <w:b/>
        <w:noProof/>
        <w:sz w:val="18"/>
        <w:szCs w:val="18"/>
      </w:rPr>
      <w:t>DH</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072029">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072029">
      <w:rPr>
        <w:rFonts w:ascii="Times New Roman" w:hAnsi="Times New Roman"/>
        <w:noProof/>
        <w:sz w:val="18"/>
        <w:szCs w:val="18"/>
      </w:rPr>
      <w:t>34</w:t>
    </w:r>
    <w:r>
      <w:rPr>
        <w:rFonts w:ascii="Times New Roman" w:hAnsi="Times New Roman"/>
        <w:sz w:val="18"/>
        <w:szCs w:val="18"/>
      </w:rPr>
      <w:fldChar w:fldCharType="end"/>
    </w:r>
  </w:p>
  <w:p w:rsidR="008C0382" w:rsidRPr="0096166C" w:rsidRDefault="008C0382" w:rsidP="00491F8A">
    <w:pPr>
      <w:pStyle w:val="a9"/>
      <w:tabs>
        <w:tab w:val="right" w:pos="9639"/>
      </w:tabs>
      <w:spacing w:after="0"/>
      <w:rPr>
        <w:rFonts w:ascii="Times New Roman" w:hAnsi="Times New Roman"/>
        <w:b/>
        <w:sz w:val="20"/>
      </w:rPr>
    </w:pPr>
    <w:r>
      <w:rPr>
        <w:rFonts w:ascii="Times New Roman" w:hAnsi="Times New Roman"/>
        <w:b/>
        <w:sz w:val="20"/>
      </w:rPr>
      <w:t xml:space="preserve">2 August 2018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restricted.rtf</w:t>
    </w:r>
    <w:r w:rsidRPr="00946B25">
      <w:rPr>
        <w:rFonts w:ascii="Times New Roman" w:hAnsi="Times New Roman"/>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CD" w:rsidRDefault="003143CD" w:rsidP="00BF158E">
      <w:pPr>
        <w:spacing w:before="120" w:after="0"/>
      </w:pPr>
      <w:r>
        <w:separator/>
      </w:r>
    </w:p>
  </w:footnote>
  <w:footnote w:type="continuationSeparator" w:id="0">
    <w:p w:rsidR="003143CD" w:rsidRDefault="003143CD">
      <w:r>
        <w:continuationSeparator/>
      </w:r>
    </w:p>
  </w:footnote>
  <w:footnote w:type="continuationNotice" w:id="1">
    <w:p w:rsidR="003143CD" w:rsidRPr="004D357E" w:rsidRDefault="003143CD" w:rsidP="004D357E">
      <w:pPr>
        <w:pStyle w:val="a9"/>
      </w:pPr>
    </w:p>
  </w:footnote>
  <w:footnote w:id="2">
    <w:p w:rsidR="008C0382" w:rsidRPr="00350F1E" w:rsidRDefault="008C0382" w:rsidP="00350F1E">
      <w:pPr>
        <w:pStyle w:val="a5"/>
      </w:pPr>
      <w:r>
        <w:rPr>
          <w:rStyle w:val="af6"/>
        </w:rPr>
        <w:footnoteRef/>
      </w:r>
      <w:r>
        <w:t xml:space="preserve"> </w:t>
      </w:r>
      <w:r w:rsidRPr="00350F1E">
        <w:t>Online submission via PROSPECT is mandatory for this call for proposals (see Section 2.2.2). In PROSPECT all dates and times are expressed in Brussels time. Applicants should note that the IT support is open Monday to Friday from 08:30 to 18:30 Brussels time (except for public holidays). Applicants should take note of the weekly maintenance hours mentioned in the PROSPECT user manual.</w:t>
      </w:r>
    </w:p>
  </w:footnote>
  <w:footnote w:id="3">
    <w:p w:rsidR="008C0382" w:rsidRDefault="008C0382" w:rsidP="00AD6B43">
      <w:pPr>
        <w:pStyle w:val="a5"/>
      </w:pPr>
      <w:r>
        <w:rPr>
          <w:rStyle w:val="af6"/>
        </w:rPr>
        <w:footnoteRef/>
      </w:r>
      <w:r>
        <w:t xml:space="preserve"> An example of a </w:t>
      </w:r>
      <w:r>
        <w:rPr>
          <w:lang w:val="en-US"/>
        </w:rPr>
        <w:t xml:space="preserve">time converter tool available online: </w:t>
      </w:r>
      <w:hyperlink r:id="rId1" w:history="1">
        <w:r w:rsidRPr="004A50C0">
          <w:rPr>
            <w:rStyle w:val="Hyperlink"/>
            <w:lang w:val="en-US"/>
          </w:rPr>
          <w:t>http://www.timeanddate.com/worldclock/converter.html</w:t>
        </w:r>
      </w:hyperlink>
    </w:p>
  </w:footnote>
  <w:footnote w:id="4">
    <w:p w:rsidR="008C0382" w:rsidRDefault="008C0382" w:rsidP="00350F1E">
      <w:pPr>
        <w:pStyle w:val="a5"/>
      </w:pPr>
      <w:r>
        <w:rPr>
          <w:rStyle w:val="af6"/>
        </w:rPr>
        <w:footnoteRef/>
      </w:r>
      <w:r>
        <w:t xml:space="preserve"> If PROSPECT is unavailable, the IT support can also be reached via email: </w:t>
      </w:r>
      <w:hyperlink r:id="rId2" w:history="1">
        <w:r w:rsidRPr="00C96A32">
          <w:rPr>
            <w:rStyle w:val="Hyperlink"/>
          </w:rPr>
          <w:t>EuropeAid-IT-support@ec.europa.eu</w:t>
        </w:r>
      </w:hyperlink>
      <w:r>
        <w:t xml:space="preserve"> </w:t>
      </w:r>
    </w:p>
  </w:footnote>
  <w:footnote w:id="5">
    <w:p w:rsidR="008C0382" w:rsidRDefault="008C0382" w:rsidP="00864FA8">
      <w:pPr>
        <w:jc w:val="left"/>
        <w:rPr>
          <w:snapToGrid/>
        </w:rPr>
      </w:pPr>
      <w:r>
        <w:rPr>
          <w:rStyle w:val="af6"/>
        </w:rPr>
        <w:footnoteRef/>
      </w:r>
      <w:r>
        <w:t xml:space="preserve"> </w:t>
      </w:r>
      <w:r w:rsidRPr="00864FA8">
        <w:t>Water Diplomacy – Council conclusions, 19 November 2018</w:t>
      </w:r>
      <w:r>
        <w:t xml:space="preserve">: </w:t>
      </w:r>
      <w:hyperlink r:id="rId3" w:history="1">
        <w:r>
          <w:rPr>
            <w:rStyle w:val="Hyperlink"/>
            <w:color w:val="000000"/>
          </w:rPr>
          <w:t>http://data.consilium.europa.eu/doc/document/ST-13991-2018-INIT/en/pdf</w:t>
        </w:r>
      </w:hyperlink>
      <w:r>
        <w:t xml:space="preserve">  </w:t>
      </w:r>
    </w:p>
    <w:p w:rsidR="008C0382" w:rsidRDefault="008C0382">
      <w:pPr>
        <w:pStyle w:val="a5"/>
      </w:pPr>
      <w:r>
        <w:t xml:space="preserve"> </w:t>
      </w:r>
    </w:p>
  </w:footnote>
  <w:footnote w:id="6">
    <w:p w:rsidR="008C0382" w:rsidRDefault="008C0382" w:rsidP="00712449">
      <w:pPr>
        <w:pStyle w:val="a5"/>
      </w:pPr>
      <w:r>
        <w:rPr>
          <w:rStyle w:val="af6"/>
        </w:rPr>
        <w:footnoteRef/>
      </w:r>
      <w:r>
        <w:t xml:space="preserve"> It is obligatory that throughout the duration of the project, the beneficiaries consider how the investments will be secured, maintained, developed after the end of the project. This should be built into the proposal.</w:t>
      </w:r>
    </w:p>
  </w:footnote>
  <w:footnote w:id="7">
    <w:p w:rsidR="008C0382" w:rsidRPr="00402208" w:rsidRDefault="008C0382" w:rsidP="00D34B88">
      <w:pPr>
        <w:pStyle w:val="a5"/>
      </w:pPr>
      <w:r w:rsidRPr="00BF158E">
        <w:rPr>
          <w:vertAlign w:val="superscript"/>
        </w:rPr>
        <w:footnoteRef/>
      </w:r>
      <w:r>
        <w:t xml:space="preserve"> </w:t>
      </w:r>
      <w:r w:rsidRPr="00844680">
        <w:t>Where a grant is financed by the European Development Fund, any mention of European Union financing must be understood as referring to European Development Fund financin</w:t>
      </w:r>
      <w:r w:rsidRPr="00402208">
        <w:t>g.</w:t>
      </w:r>
    </w:p>
  </w:footnote>
  <w:footnote w:id="8">
    <w:p w:rsidR="008C0382" w:rsidRPr="009A17B4" w:rsidRDefault="008C0382" w:rsidP="00D34B88">
      <w:pPr>
        <w:pStyle w:val="a5"/>
      </w:pPr>
      <w:r w:rsidRPr="008E179D">
        <w:rPr>
          <w:rStyle w:val="af6"/>
          <w:sz w:val="20"/>
        </w:rPr>
        <w:footnoteRef/>
      </w:r>
      <w:r w:rsidRPr="00BC4203">
        <w:t xml:space="preserve"> </w:t>
      </w:r>
      <w:r w:rsidRPr="002346D0">
        <w:t>Note</w:t>
      </w:r>
      <w:r>
        <w:t xml:space="preserve"> that a lead applicant (i.e. a c</w:t>
      </w:r>
      <w:r w:rsidRPr="002346D0">
        <w:t>oordinator) whose pillars have been positively assessed by the European Commission and who is awarded a grant will not sign the standard grant contract publish</w:t>
      </w:r>
      <w:r>
        <w:t>ed with these guidelines but a contribution a</w:t>
      </w:r>
      <w:r w:rsidRPr="002346D0">
        <w:t>greement based o</w:t>
      </w:r>
      <w:r>
        <w:t>n the contribution a</w:t>
      </w:r>
      <w:r w:rsidRPr="002346D0">
        <w:t xml:space="preserve">greement template. All references in these guidelines and other documents related to this call to the standard grant contract shall in this case be understood as referring to </w:t>
      </w:r>
      <w:r>
        <w:t>the relevant provisions of the c</w:t>
      </w:r>
      <w:r w:rsidRPr="002346D0">
        <w:t xml:space="preserve">ontribution </w:t>
      </w:r>
      <w:r>
        <w:t>a</w:t>
      </w:r>
      <w:r w:rsidRPr="002346D0">
        <w:t>greement template</w:t>
      </w:r>
      <w:r>
        <w:t>.</w:t>
      </w:r>
    </w:p>
  </w:footnote>
  <w:footnote w:id="9">
    <w:p w:rsidR="008C0382" w:rsidRPr="001807CB" w:rsidRDefault="008C0382" w:rsidP="00D34B88">
      <w:pPr>
        <w:pStyle w:val="a5"/>
        <w:rPr>
          <w:i/>
        </w:rPr>
      </w:pPr>
      <w:r w:rsidRPr="005124D7">
        <w:rPr>
          <w:vertAlign w:val="superscript"/>
        </w:rPr>
        <w:footnoteRef/>
      </w:r>
      <w:r w:rsidRPr="005124D7">
        <w:t xml:space="preserve"> International organisations are international public-sector organisations set up by intergovernmental agreements as well as specialised agencies set up by them; the International Committee of the Red Cross (ICRC) and the International Federation of National Red Cross and Red Crescent Societies are also recognised as international organisations.</w:t>
      </w:r>
      <w:r w:rsidRPr="00F239DE">
        <w:t xml:space="preserve"> </w:t>
      </w:r>
    </w:p>
  </w:footnote>
  <w:footnote w:id="10">
    <w:p w:rsidR="008C0382" w:rsidRDefault="008C0382" w:rsidP="008C0382">
      <w:pPr>
        <w:pStyle w:val="a5"/>
      </w:pPr>
      <w:r>
        <w:rPr>
          <w:rStyle w:val="af6"/>
        </w:rPr>
        <w:footnoteRef/>
      </w:r>
      <w:r>
        <w:t xml:space="preserve"> 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11">
    <w:p w:rsidR="008C0382" w:rsidRDefault="008C0382">
      <w:pPr>
        <w:pStyle w:val="a5"/>
      </w:pPr>
      <w:r>
        <w:rPr>
          <w:rStyle w:val="af6"/>
        </w:rPr>
        <w:footnoteRef/>
      </w:r>
      <w:r>
        <w:t xml:space="preserve"> </w:t>
      </w:r>
      <w:r>
        <w:rPr>
          <w:u w:val="single"/>
        </w:rPr>
        <w:t>For British applicants</w:t>
      </w:r>
      <w:r>
        <w:t>: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you will cease to receive EU funding (while continuing, where possible, to participate) or be required to leave the project on the basis of Article 12.2 of the General Conditions to the grant agreement (Annex E3h2).</w:t>
      </w:r>
    </w:p>
  </w:footnote>
  <w:footnote w:id="12">
    <w:p w:rsidR="008C0382" w:rsidRDefault="008C0382">
      <w:pPr>
        <w:pStyle w:val="a5"/>
      </w:pPr>
      <w:r>
        <w:rPr>
          <w:rStyle w:val="af6"/>
        </w:rPr>
        <w:footnoteRef/>
      </w:r>
      <w:r>
        <w:t xml:space="preserve"> </w:t>
      </w:r>
      <w:r w:rsidRPr="008C0382">
        <w:t>With regard to Israeli entities, please follow Guidelines on the eligibility of Israeli entities and their activities in the territories occupied by Israel since June 1967 for grants, prizes and financial instruments funded by the EU from 2014 onwards (OJ C 205, 19.7.2013, p. 9).</w:t>
      </w:r>
    </w:p>
  </w:footnote>
  <w:footnote w:id="13">
    <w:p w:rsidR="008C0382" w:rsidRDefault="008C0382">
      <w:pPr>
        <w:pStyle w:val="a5"/>
      </w:pPr>
      <w:r>
        <w:rPr>
          <w:rStyle w:val="af6"/>
        </w:rPr>
        <w:footnoteRef/>
      </w:r>
      <w:r>
        <w:t xml:space="preserve"> This designation shall not be construed as recognition of a State of Palestine and is without prejudice to the individual positions of the Member States on this issue.</w:t>
      </w:r>
    </w:p>
  </w:footnote>
  <w:footnote w:id="14">
    <w:p w:rsidR="008C0382" w:rsidRDefault="008C0382" w:rsidP="008C0382">
      <w:pPr>
        <w:pStyle w:val="a5"/>
      </w:pPr>
      <w:r>
        <w:rPr>
          <w:rStyle w:val="af6"/>
        </w:rPr>
        <w:footnoteRef/>
      </w:r>
      <w:r>
        <w:t xml:space="preserve"> At the time this document was prepared, EU cooperation with Syria (government entities) was suspended due to the political situation in the country. In the light of future decisions, the Commission shall assess the opportunity to involve Syrian authorities in the action's implementation.</w:t>
      </w:r>
    </w:p>
  </w:footnote>
  <w:footnote w:id="15">
    <w:p w:rsidR="008C0382" w:rsidRDefault="008C0382">
      <w:pPr>
        <w:pStyle w:val="a5"/>
      </w:pPr>
      <w:r>
        <w:rPr>
          <w:rStyle w:val="af6"/>
        </w:rPr>
        <w:footnoteRef/>
      </w:r>
      <w:r>
        <w:t xml:space="preserve"> </w:t>
      </w:r>
      <w:r w:rsidRPr="009D5056">
        <w:t>For instance, Article 9(1)(f) of Regulation (EU) No 236/2014 provides for eligibility of member countries of the OECD, in the case of contracts implemented in a Least Developed Country or a Highly Indebted Poor Country, as included in the list of ODA recipients.</w:t>
      </w:r>
    </w:p>
    <w:p w:rsidR="008C0382" w:rsidRPr="0067518E" w:rsidRDefault="008C0382">
      <w:pPr>
        <w:pStyle w:val="a5"/>
      </w:pPr>
    </w:p>
  </w:footnote>
  <w:footnote w:id="16">
    <w:p w:rsidR="008C0382" w:rsidRDefault="008C0382" w:rsidP="00443D35">
      <w:pPr>
        <w:pStyle w:val="a5"/>
      </w:pPr>
      <w:r>
        <w:rPr>
          <w:rStyle w:val="af6"/>
        </w:rPr>
        <w:footnoteRef/>
      </w:r>
      <w:r>
        <w:t xml:space="preserve"> </w:t>
      </w:r>
      <w:r w:rsidRPr="004C65C2">
        <w:t xml:space="preserve">The updated lists of sanctions are available at </w:t>
      </w:r>
      <w:hyperlink r:id="rId4" w:history="1">
        <w:r w:rsidRPr="00D87006">
          <w:rPr>
            <w:rStyle w:val="Hyperlink"/>
          </w:rPr>
          <w:t>www.sanctionsmap.eu</w:t>
        </w:r>
      </w:hyperlink>
      <w:r>
        <w:t>.</w:t>
      </w:r>
    </w:p>
    <w:p w:rsidR="008C0382" w:rsidRPr="00BF158E" w:rsidRDefault="008C0382" w:rsidP="00443D35">
      <w:pPr>
        <w:rPr>
          <w:snapToGrid/>
          <w:sz w:val="20"/>
        </w:rPr>
      </w:pPr>
      <w:r w:rsidRPr="00BF158E">
        <w:rPr>
          <w:sz w:val="20"/>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p w:rsidR="008C0382" w:rsidRPr="00443D35" w:rsidRDefault="008C0382">
      <w:pPr>
        <w:pStyle w:val="a5"/>
      </w:pPr>
    </w:p>
  </w:footnote>
  <w:footnote w:id="17">
    <w:p w:rsidR="008C0382" w:rsidRPr="003F097E" w:rsidRDefault="008C0382" w:rsidP="005C3A15">
      <w:pPr>
        <w:autoSpaceDE w:val="0"/>
        <w:autoSpaceDN w:val="0"/>
        <w:adjustRightInd w:val="0"/>
        <w:spacing w:after="0"/>
        <w:jc w:val="left"/>
        <w:rPr>
          <w:sz w:val="20"/>
        </w:rPr>
      </w:pPr>
      <w:r w:rsidRPr="000F6BE3">
        <w:rPr>
          <w:rStyle w:val="af6"/>
        </w:rPr>
        <w:footnoteRef/>
      </w:r>
      <w:r w:rsidRPr="000F6BE3">
        <w:t xml:space="preserve"> </w:t>
      </w:r>
      <w:r w:rsidRPr="003F097E">
        <w:rPr>
          <w:sz w:val="20"/>
        </w:rPr>
        <w:t>This designation shall not be construed as recognition of a State of Palestine and is without prejudice to</w:t>
      </w:r>
    </w:p>
    <w:p w:rsidR="008C0382" w:rsidRDefault="008C0382" w:rsidP="005C3A15">
      <w:pPr>
        <w:pStyle w:val="a5"/>
      </w:pPr>
      <w:r w:rsidRPr="003F097E">
        <w:t>the individual positions of the Member States on this issue</w:t>
      </w:r>
      <w:r>
        <w:t>.</w:t>
      </w:r>
    </w:p>
  </w:footnote>
  <w:footnote w:id="18">
    <w:p w:rsidR="008C0382" w:rsidRDefault="008C0382" w:rsidP="005C3A15">
      <w:pPr>
        <w:pStyle w:val="a5"/>
      </w:pPr>
      <w:r w:rsidRPr="000F6BE3">
        <w:rPr>
          <w:rStyle w:val="af6"/>
        </w:rPr>
        <w:footnoteRef/>
      </w:r>
      <w:r w:rsidRPr="000F6BE3">
        <w:t xml:space="preserve"> The EU has suspended direct cooperation with the Syrian authorities since</w:t>
      </w:r>
      <w:r w:rsidRPr="008123A2">
        <w:t xml:space="preserve"> 2011, until further notice</w:t>
      </w:r>
      <w:r>
        <w:t>.</w:t>
      </w:r>
    </w:p>
  </w:footnote>
  <w:footnote w:id="19">
    <w:p w:rsidR="008C0382" w:rsidRPr="00844680" w:rsidRDefault="008C0382" w:rsidP="00D34B88">
      <w:pPr>
        <w:pStyle w:val="a5"/>
      </w:pPr>
      <w:r w:rsidRPr="00BF158E">
        <w:rPr>
          <w:rStyle w:val="af6"/>
          <w:sz w:val="16"/>
          <w:szCs w:val="16"/>
        </w:rPr>
        <w:footnoteRef/>
      </w:r>
      <w:r w:rsidRPr="00844680">
        <w:t xml:space="preserve"> These third parties are neither affiliated entity(ies) nor associates nor contractors.</w:t>
      </w:r>
    </w:p>
  </w:footnote>
  <w:footnote w:id="20">
    <w:p w:rsidR="008C0382" w:rsidRPr="00844680" w:rsidRDefault="008C0382" w:rsidP="00D34B88">
      <w:pPr>
        <w:pStyle w:val="a5"/>
      </w:pPr>
      <w:r w:rsidRPr="00BF158E">
        <w:rPr>
          <w:rStyle w:val="af6"/>
          <w:sz w:val="16"/>
          <w:szCs w:val="16"/>
        </w:rPr>
        <w:footnoteRef/>
      </w:r>
      <w:r w:rsidRPr="00844680">
        <w:t xml:space="preserve"> As per OECD DAC definition, the term </w:t>
      </w:r>
      <w:r>
        <w:t>‘</w:t>
      </w:r>
      <w:r w:rsidRPr="00844680">
        <w:t>results</w:t>
      </w:r>
      <w:r>
        <w:t>’</w:t>
      </w:r>
      <w:r w:rsidRPr="00844680">
        <w:t xml:space="preserve"> includes: </w:t>
      </w:r>
      <w:r>
        <w:t>‘</w:t>
      </w:r>
      <w:r w:rsidRPr="00844680">
        <w:t>impact</w:t>
      </w:r>
      <w:r>
        <w:t>’</w:t>
      </w:r>
      <w:r w:rsidRPr="00844680">
        <w:t xml:space="preserve"> (overall objective), </w:t>
      </w:r>
      <w:r>
        <w:t>‘</w:t>
      </w:r>
      <w:r w:rsidRPr="00844680">
        <w:t>outcome(s)</w:t>
      </w:r>
      <w:r>
        <w:t>’</w:t>
      </w:r>
      <w:r w:rsidRPr="00844680">
        <w:t xml:space="preserve"> (specific objective(s) and </w:t>
      </w:r>
      <w:r>
        <w:t>‘</w:t>
      </w:r>
      <w:r w:rsidRPr="00844680">
        <w:t>output(s)</w:t>
      </w:r>
      <w:r>
        <w:t>’</w:t>
      </w:r>
      <w:r w:rsidRPr="00844680">
        <w:t>.</w:t>
      </w:r>
    </w:p>
  </w:footnote>
  <w:footnote w:id="21">
    <w:p w:rsidR="008C0382" w:rsidRPr="00BC4203" w:rsidRDefault="008C0382" w:rsidP="00D34B88">
      <w:pPr>
        <w:pStyle w:val="a5"/>
      </w:pPr>
      <w:r w:rsidRPr="00BF158E">
        <w:rPr>
          <w:vertAlign w:val="superscript"/>
        </w:rPr>
        <w:footnoteRef/>
      </w:r>
      <w:r>
        <w:t xml:space="preserve"> </w:t>
      </w:r>
      <w:r w:rsidRPr="00844680">
        <w:t>Examples</w:t>
      </w:r>
      <w:r w:rsidRPr="008E179D">
        <w:t>:- for staff costs: number of hours or days of work * hourly or daily rate pre-set according to the category of personnel concerned;- for travel expenses: distance in km * pre-set cost of transport per km; number of days * daily allowance pre-set according</w:t>
      </w:r>
      <w:r w:rsidRPr="00BC4203">
        <w:t xml:space="preserve"> to the country;- for specific costs arising from the organization of an event: number of participants at the event * pre-set total cost per participant etc.</w:t>
      </w:r>
    </w:p>
  </w:footnote>
  <w:footnote w:id="22">
    <w:p w:rsidR="008C0382" w:rsidRPr="00BA1D1D" w:rsidRDefault="008C0382" w:rsidP="005E686B">
      <w:pPr>
        <w:pStyle w:val="a5"/>
      </w:pPr>
      <w:r>
        <w:rPr>
          <w:rStyle w:val="af6"/>
        </w:rPr>
        <w:footnoteRef/>
      </w:r>
      <w:r>
        <w:t xml:space="preserve"> </w:t>
      </w:r>
      <w:r w:rsidRPr="00BA1D1D">
        <w:t>Natural persons who apply for a grant (if so allowed in the guidelines for applicants) do not have to register in PADOR. In this case, the information included in PROSPECT and the grant application form is sufficient.</w:t>
      </w:r>
    </w:p>
  </w:footnote>
  <w:footnote w:id="23">
    <w:p w:rsidR="008C0382" w:rsidRPr="00BA1D1D" w:rsidRDefault="008C0382" w:rsidP="005E686B">
      <w:pPr>
        <w:pStyle w:val="a5"/>
      </w:pPr>
      <w:r>
        <w:rPr>
          <w:rStyle w:val="af6"/>
        </w:rPr>
        <w:footnoteRef/>
      </w:r>
      <w:r>
        <w:t xml:space="preserve"> </w:t>
      </w:r>
      <w:r w:rsidRPr="00BA1D1D">
        <w:t>Which corresponds to sections 3 and 4 of the full application form – Annex A.2.</w:t>
      </w:r>
    </w:p>
  </w:footnote>
  <w:footnote w:id="24">
    <w:p w:rsidR="008C0382" w:rsidRPr="0022530F" w:rsidRDefault="008C0382" w:rsidP="0022530F">
      <w:pPr>
        <w:pStyle w:val="a5"/>
      </w:pPr>
      <w:r>
        <w:rPr>
          <w:rStyle w:val="af6"/>
        </w:rPr>
        <w:footnoteRef/>
      </w:r>
      <w:r>
        <w:t xml:space="preserve"> </w:t>
      </w:r>
      <w:r w:rsidRPr="0022530F">
        <w:t xml:space="preserve">For example: </w:t>
      </w:r>
      <w:hyperlink r:id="rId5" w:history="1">
        <w:r w:rsidRPr="002139B0">
          <w:rPr>
            <w:rStyle w:val="Hyperlink"/>
          </w:rPr>
          <w:t>http://www.timeanddate.com/worldclock/converter.html</w:t>
        </w:r>
      </w:hyperlink>
      <w:r>
        <w:t xml:space="preserve"> </w:t>
      </w:r>
    </w:p>
  </w:footnote>
  <w:footnote w:id="25">
    <w:p w:rsidR="008C0382" w:rsidRPr="00286739" w:rsidRDefault="008C0382" w:rsidP="00D34B88">
      <w:pPr>
        <w:pStyle w:val="a5"/>
      </w:pPr>
      <w:r w:rsidRPr="00BF158E">
        <w:rPr>
          <w:rStyle w:val="af6"/>
          <w:sz w:val="16"/>
          <w:szCs w:val="16"/>
        </w:rPr>
        <w:footnoteRef/>
      </w:r>
      <w:r w:rsidRPr="00844680">
        <w:t xml:space="preserve"> Natural persons who apply for a grant (if so allowed in the guidelines for applicants) do not have to provide an </w:t>
      </w:r>
      <w:r>
        <w:t>o</w:t>
      </w:r>
      <w:r w:rsidRPr="00844680">
        <w:t xml:space="preserve">rganisation </w:t>
      </w:r>
      <w:r>
        <w:t>d</w:t>
      </w:r>
      <w:r w:rsidRPr="00844680">
        <w:t xml:space="preserve">ata </w:t>
      </w:r>
      <w:r>
        <w:t>f</w:t>
      </w:r>
      <w:r w:rsidRPr="00844680">
        <w:t>orm</w:t>
      </w:r>
      <w:r w:rsidRPr="008E179D">
        <w:t>. In this case, the information included in the grant application form is sufficient.</w:t>
      </w:r>
    </w:p>
  </w:footnote>
  <w:footnote w:id="26">
    <w:p w:rsidR="008C0382" w:rsidRPr="00402208" w:rsidRDefault="008C0382" w:rsidP="00D34B88">
      <w:pPr>
        <w:pStyle w:val="a5"/>
      </w:pPr>
      <w:r w:rsidRPr="00BF158E">
        <w:rPr>
          <w:vertAlign w:val="superscript"/>
        </w:rPr>
        <w:footnoteRef/>
      </w:r>
      <w:r>
        <w:t xml:space="preserve"> </w:t>
      </w:r>
      <w:r w:rsidRPr="00844680">
        <w:t xml:space="preserve">No supporting document will be requested for applications for a grant not exceeding EUR 60 </w:t>
      </w:r>
      <w:r w:rsidRPr="00402208">
        <w:t>000.</w:t>
      </w:r>
    </w:p>
  </w:footnote>
  <w:footnote w:id="27">
    <w:p w:rsidR="008C0382" w:rsidRPr="00844680" w:rsidRDefault="008C0382" w:rsidP="00591459">
      <w:pPr>
        <w:pStyle w:val="a5"/>
      </w:pPr>
      <w:r w:rsidRPr="00BF158E">
        <w:rPr>
          <w:vertAlign w:val="superscript"/>
        </w:rPr>
        <w:footnoteRef/>
      </w:r>
      <w:r>
        <w:t xml:space="preserve"> </w:t>
      </w:r>
      <w:r w:rsidRPr="00844680">
        <w:t>Where the lead applicant and/or a co-applicant(s) and or an affiliated entity(ies) is a public body created by a law, a copy of the said law must be provided.</w:t>
      </w:r>
    </w:p>
  </w:footnote>
  <w:footnote w:id="28">
    <w:p w:rsidR="008C0382" w:rsidRPr="00844680" w:rsidRDefault="008C0382" w:rsidP="002F0168">
      <w:pPr>
        <w:pStyle w:val="a5"/>
      </w:pPr>
      <w:r w:rsidRPr="00BF158E">
        <w:rPr>
          <w:vertAlign w:val="superscript"/>
        </w:rPr>
        <w:footnoteRef/>
      </w:r>
      <w:r>
        <w:t xml:space="preserve"> </w:t>
      </w:r>
      <w:r w:rsidRPr="00844680">
        <w:t>To be inserted only where the eligibility conditions have not changed from one call for proposals to the other.</w:t>
      </w:r>
    </w:p>
  </w:footnote>
  <w:footnote w:id="29">
    <w:p w:rsidR="008C0382" w:rsidRPr="001807CB" w:rsidRDefault="008C0382" w:rsidP="0022120B">
      <w:pPr>
        <w:pStyle w:val="a5"/>
      </w:pPr>
      <w:r w:rsidRPr="00BF158E">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t>S</w:t>
      </w:r>
      <w:r w:rsidRPr="001807CB">
        <w:t xml:space="preserve">ection 2.4.2. </w:t>
      </w:r>
    </w:p>
  </w:footnote>
  <w:footnote w:id="30">
    <w:p w:rsidR="008C0382" w:rsidRPr="00844680" w:rsidRDefault="008C0382" w:rsidP="0022120B">
      <w:pPr>
        <w:pStyle w:val="a5"/>
      </w:pPr>
      <w:r w:rsidRPr="00BF158E">
        <w:rPr>
          <w:vertAlign w:val="superscript"/>
        </w:rPr>
        <w:footnoteRef/>
      </w:r>
      <w:r>
        <w:t xml:space="preserve"> </w:t>
      </w:r>
      <w:r w:rsidRPr="00844680">
        <w:t>Only applicable where the European Commission will make the payments under the contracts to be signed.</w:t>
      </w:r>
    </w:p>
  </w:footnote>
  <w:footnote w:id="31">
    <w:p w:rsidR="008C0382" w:rsidRPr="00844680" w:rsidRDefault="008C0382" w:rsidP="00F4105E">
      <w:pPr>
        <w:pStyle w:val="a5"/>
      </w:pPr>
      <w:r w:rsidRPr="00BF158E">
        <w:rPr>
          <w:vertAlign w:val="superscript"/>
        </w:rPr>
        <w:footnoteRef/>
      </w:r>
      <w:r w:rsidRPr="00D34B88">
        <w:t xml:space="preserve"> </w:t>
      </w:r>
      <w:r w:rsidRPr="00844680">
        <w:t xml:space="preserve">These documents should also be published by the </w:t>
      </w:r>
      <w:r>
        <w:t>c</w:t>
      </w:r>
      <w:r w:rsidRPr="00844680">
        <w:t xml:space="preserve">ontracting </w:t>
      </w:r>
      <w:r>
        <w:t>a</w:t>
      </w:r>
      <w:r w:rsidRPr="00844680">
        <w:t>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3AB689E"/>
    <w:multiLevelType w:val="hybridMultilevel"/>
    <w:tmpl w:val="0010D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A532B"/>
    <w:multiLevelType w:val="hybridMultilevel"/>
    <w:tmpl w:val="9ED27A5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841D5A"/>
    <w:multiLevelType w:val="hybridMultilevel"/>
    <w:tmpl w:val="6234F2B2"/>
    <w:lvl w:ilvl="0" w:tplc="8F66C52E">
      <w:start w:val="1"/>
      <w:numFmt w:val="bullet"/>
      <w:lvlText w:val="-"/>
      <w:lvlJc w:val="left"/>
      <w:pPr>
        <w:ind w:left="720" w:hanging="360"/>
      </w:pPr>
      <w:rPr>
        <w:rFonts w:ascii="Calibri" w:hAnsi="Calibri" w:hint="default"/>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40910"/>
    <w:multiLevelType w:val="hybridMultilevel"/>
    <w:tmpl w:val="03FE65F4"/>
    <w:lvl w:ilvl="0" w:tplc="54A2365C">
      <w:start w:val="1"/>
      <w:numFmt w:val="lowerRoman"/>
      <w:lvlText w:val="(%1)"/>
      <w:lvlJc w:val="left"/>
      <w:pPr>
        <w:ind w:left="1080" w:hanging="720"/>
      </w:pPr>
      <w:rPr>
        <w:rFonts w:hint="default"/>
      </w:rPr>
    </w:lvl>
    <w:lvl w:ilvl="1" w:tplc="08090019">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85F54A6"/>
    <w:multiLevelType w:val="hybridMultilevel"/>
    <w:tmpl w:val="571E8B6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0C19A2"/>
    <w:multiLevelType w:val="hybridMultilevel"/>
    <w:tmpl w:val="2F74C062"/>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20"/>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9B3BCD"/>
    <w:multiLevelType w:val="hybridMultilevel"/>
    <w:tmpl w:val="2FE015B6"/>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7" w15:restartNumberingAfterBreak="0">
    <w:nsid w:val="5164323A"/>
    <w:multiLevelType w:val="hybridMultilevel"/>
    <w:tmpl w:val="17463F76"/>
    <w:lvl w:ilvl="0" w:tplc="8990FA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29" w15:restartNumberingAfterBreak="0">
    <w:nsid w:val="561652B3"/>
    <w:multiLevelType w:val="hybridMultilevel"/>
    <w:tmpl w:val="484854C2"/>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B93210"/>
    <w:multiLevelType w:val="hybridMultilevel"/>
    <w:tmpl w:val="98602EF4"/>
    <w:lvl w:ilvl="0" w:tplc="F6442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D086415"/>
    <w:multiLevelType w:val="hybridMultilevel"/>
    <w:tmpl w:val="B0369460"/>
    <w:lvl w:ilvl="0" w:tplc="FE8267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0"/>
  </w:num>
  <w:num w:numId="4">
    <w:abstractNumId w:val="25"/>
  </w:num>
  <w:num w:numId="5">
    <w:abstractNumId w:val="2"/>
  </w:num>
  <w:num w:numId="6">
    <w:abstractNumId w:val="2"/>
  </w:num>
  <w:num w:numId="7">
    <w:abstractNumId w:val="4"/>
  </w:num>
  <w:num w:numId="8">
    <w:abstractNumId w:val="21"/>
  </w:num>
  <w:num w:numId="9">
    <w:abstractNumId w:val="28"/>
  </w:num>
  <w:num w:numId="10">
    <w:abstractNumId w:val="33"/>
  </w:num>
  <w:num w:numId="11">
    <w:abstractNumId w:val="16"/>
  </w:num>
  <w:num w:numId="12">
    <w:abstractNumId w:val="10"/>
  </w:num>
  <w:num w:numId="13">
    <w:abstractNumId w:val="1"/>
  </w:num>
  <w:num w:numId="14">
    <w:abstractNumId w:val="11"/>
  </w:num>
  <w:num w:numId="15">
    <w:abstractNumId w:val="24"/>
  </w:num>
  <w:num w:numId="16">
    <w:abstractNumId w:val="41"/>
  </w:num>
  <w:num w:numId="17">
    <w:abstractNumId w:val="23"/>
  </w:num>
  <w:num w:numId="18">
    <w:abstractNumId w:val="9"/>
  </w:num>
  <w:num w:numId="19">
    <w:abstractNumId w:val="32"/>
  </w:num>
  <w:num w:numId="20">
    <w:abstractNumId w:val="36"/>
  </w:num>
  <w:num w:numId="21">
    <w:abstractNumId w:val="12"/>
  </w:num>
  <w:num w:numId="22">
    <w:abstractNumId w:val="37"/>
  </w:num>
  <w:num w:numId="23">
    <w:abstractNumId w:val="13"/>
  </w:num>
  <w:num w:numId="24">
    <w:abstractNumId w:val="40"/>
  </w:num>
  <w:num w:numId="25">
    <w:abstractNumId w:val="14"/>
  </w:num>
  <w:num w:numId="26">
    <w:abstractNumId w:val="5"/>
  </w:num>
  <w:num w:numId="27">
    <w:abstractNumId w:val="19"/>
  </w:num>
  <w:num w:numId="28">
    <w:abstractNumId w:val="22"/>
  </w:num>
  <w:num w:numId="29">
    <w:abstractNumId w:val="15"/>
  </w:num>
  <w:num w:numId="30">
    <w:abstractNumId w:val="34"/>
  </w:num>
  <w:num w:numId="31">
    <w:abstractNumId w:val="26"/>
  </w:num>
  <w:num w:numId="32">
    <w:abstractNumId w:val="38"/>
  </w:num>
  <w:num w:numId="33">
    <w:abstractNumId w:val="8"/>
  </w:num>
  <w:num w:numId="34">
    <w:abstractNumId w:val="6"/>
  </w:num>
  <w:num w:numId="35">
    <w:abstractNumId w:val="18"/>
  </w:num>
  <w:num w:numId="36">
    <w:abstractNumId w:val="39"/>
  </w:num>
  <w:num w:numId="37">
    <w:abstractNumId w:val="7"/>
  </w:num>
  <w:num w:numId="38">
    <w:abstractNumId w:val="20"/>
  </w:num>
  <w:num w:numId="39">
    <w:abstractNumId w:val="29"/>
  </w:num>
  <w:num w:numId="40">
    <w:abstractNumId w:val="3"/>
  </w:num>
  <w:num w:numId="41">
    <w:abstractNumId w:val="35"/>
  </w:num>
  <w:num w:numId="4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PT" w:vendorID="64" w:dllVersion="131078"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5FC"/>
    <w:rsid w:val="00001767"/>
    <w:rsid w:val="00001F83"/>
    <w:rsid w:val="00003166"/>
    <w:rsid w:val="00003724"/>
    <w:rsid w:val="00003F3A"/>
    <w:rsid w:val="000041CE"/>
    <w:rsid w:val="000043F8"/>
    <w:rsid w:val="0000587D"/>
    <w:rsid w:val="00006318"/>
    <w:rsid w:val="000104C2"/>
    <w:rsid w:val="0001129D"/>
    <w:rsid w:val="00011765"/>
    <w:rsid w:val="0001251B"/>
    <w:rsid w:val="000127B4"/>
    <w:rsid w:val="00012D9A"/>
    <w:rsid w:val="0001411D"/>
    <w:rsid w:val="0001462B"/>
    <w:rsid w:val="0001485A"/>
    <w:rsid w:val="00014E97"/>
    <w:rsid w:val="000159A3"/>
    <w:rsid w:val="000176DE"/>
    <w:rsid w:val="00017DDF"/>
    <w:rsid w:val="00017EFF"/>
    <w:rsid w:val="00020C81"/>
    <w:rsid w:val="000220E5"/>
    <w:rsid w:val="00022D3C"/>
    <w:rsid w:val="00023576"/>
    <w:rsid w:val="0002374A"/>
    <w:rsid w:val="0002503B"/>
    <w:rsid w:val="00025394"/>
    <w:rsid w:val="00026D5B"/>
    <w:rsid w:val="00027881"/>
    <w:rsid w:val="00027C2F"/>
    <w:rsid w:val="00030A89"/>
    <w:rsid w:val="00030E42"/>
    <w:rsid w:val="000312D2"/>
    <w:rsid w:val="00031E41"/>
    <w:rsid w:val="000323AD"/>
    <w:rsid w:val="00033A1F"/>
    <w:rsid w:val="00034524"/>
    <w:rsid w:val="00034BC8"/>
    <w:rsid w:val="00035C57"/>
    <w:rsid w:val="0003772E"/>
    <w:rsid w:val="000405C5"/>
    <w:rsid w:val="00040730"/>
    <w:rsid w:val="00042967"/>
    <w:rsid w:val="000451C1"/>
    <w:rsid w:val="00045E79"/>
    <w:rsid w:val="00046C46"/>
    <w:rsid w:val="00047C7D"/>
    <w:rsid w:val="00050B50"/>
    <w:rsid w:val="00050E48"/>
    <w:rsid w:val="0005133A"/>
    <w:rsid w:val="0005169C"/>
    <w:rsid w:val="00051AC1"/>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029"/>
    <w:rsid w:val="000728FC"/>
    <w:rsid w:val="000734D6"/>
    <w:rsid w:val="000735EC"/>
    <w:rsid w:val="0007408E"/>
    <w:rsid w:val="000745FC"/>
    <w:rsid w:val="000752CD"/>
    <w:rsid w:val="0007546C"/>
    <w:rsid w:val="00077BB8"/>
    <w:rsid w:val="00081B91"/>
    <w:rsid w:val="000842B5"/>
    <w:rsid w:val="00084CB5"/>
    <w:rsid w:val="000852E9"/>
    <w:rsid w:val="0008570E"/>
    <w:rsid w:val="0008672E"/>
    <w:rsid w:val="00087373"/>
    <w:rsid w:val="00090A34"/>
    <w:rsid w:val="000919FB"/>
    <w:rsid w:val="00092688"/>
    <w:rsid w:val="00093C1F"/>
    <w:rsid w:val="00093DA8"/>
    <w:rsid w:val="0009588C"/>
    <w:rsid w:val="00095C5E"/>
    <w:rsid w:val="0009657A"/>
    <w:rsid w:val="000973DB"/>
    <w:rsid w:val="00097401"/>
    <w:rsid w:val="00097686"/>
    <w:rsid w:val="00097B47"/>
    <w:rsid w:val="000A2C18"/>
    <w:rsid w:val="000A4055"/>
    <w:rsid w:val="000A51F3"/>
    <w:rsid w:val="000A60D9"/>
    <w:rsid w:val="000B047E"/>
    <w:rsid w:val="000B071C"/>
    <w:rsid w:val="000B0FF1"/>
    <w:rsid w:val="000B1032"/>
    <w:rsid w:val="000B21CB"/>
    <w:rsid w:val="000B2496"/>
    <w:rsid w:val="000B24FE"/>
    <w:rsid w:val="000B2A3D"/>
    <w:rsid w:val="000B327F"/>
    <w:rsid w:val="000B7AC2"/>
    <w:rsid w:val="000C00BF"/>
    <w:rsid w:val="000C024F"/>
    <w:rsid w:val="000C06A5"/>
    <w:rsid w:val="000C0AD6"/>
    <w:rsid w:val="000C1624"/>
    <w:rsid w:val="000C183F"/>
    <w:rsid w:val="000C3E25"/>
    <w:rsid w:val="000C4252"/>
    <w:rsid w:val="000C6140"/>
    <w:rsid w:val="000C6593"/>
    <w:rsid w:val="000D240A"/>
    <w:rsid w:val="000D40CC"/>
    <w:rsid w:val="000D533F"/>
    <w:rsid w:val="000D5F55"/>
    <w:rsid w:val="000D61C6"/>
    <w:rsid w:val="000D773C"/>
    <w:rsid w:val="000D7ACD"/>
    <w:rsid w:val="000E123D"/>
    <w:rsid w:val="000E1508"/>
    <w:rsid w:val="000E19B9"/>
    <w:rsid w:val="000E2AF6"/>
    <w:rsid w:val="000E2E9C"/>
    <w:rsid w:val="000E3294"/>
    <w:rsid w:val="000E32B1"/>
    <w:rsid w:val="000E38CD"/>
    <w:rsid w:val="000E4726"/>
    <w:rsid w:val="000E5B34"/>
    <w:rsid w:val="000E5BD3"/>
    <w:rsid w:val="000E76E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5EBA"/>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2148"/>
    <w:rsid w:val="00132E55"/>
    <w:rsid w:val="0013435B"/>
    <w:rsid w:val="00136AD0"/>
    <w:rsid w:val="0013713C"/>
    <w:rsid w:val="00137D64"/>
    <w:rsid w:val="00140A0D"/>
    <w:rsid w:val="001421B6"/>
    <w:rsid w:val="00143E05"/>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771"/>
    <w:rsid w:val="0016598D"/>
    <w:rsid w:val="00165EB2"/>
    <w:rsid w:val="001664B1"/>
    <w:rsid w:val="00167D43"/>
    <w:rsid w:val="00172079"/>
    <w:rsid w:val="0017243C"/>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A83"/>
    <w:rsid w:val="00192503"/>
    <w:rsid w:val="0019373F"/>
    <w:rsid w:val="00195347"/>
    <w:rsid w:val="00195EAB"/>
    <w:rsid w:val="001974E4"/>
    <w:rsid w:val="00197634"/>
    <w:rsid w:val="00197AA9"/>
    <w:rsid w:val="001A081C"/>
    <w:rsid w:val="001A0FEC"/>
    <w:rsid w:val="001A143D"/>
    <w:rsid w:val="001A1E7A"/>
    <w:rsid w:val="001A2125"/>
    <w:rsid w:val="001A31B7"/>
    <w:rsid w:val="001A3322"/>
    <w:rsid w:val="001A394F"/>
    <w:rsid w:val="001A3FE1"/>
    <w:rsid w:val="001A4D38"/>
    <w:rsid w:val="001A4F8E"/>
    <w:rsid w:val="001B03E2"/>
    <w:rsid w:val="001B0750"/>
    <w:rsid w:val="001B2484"/>
    <w:rsid w:val="001B26AC"/>
    <w:rsid w:val="001B53ED"/>
    <w:rsid w:val="001B596A"/>
    <w:rsid w:val="001B69A5"/>
    <w:rsid w:val="001B6E72"/>
    <w:rsid w:val="001B6F5A"/>
    <w:rsid w:val="001C0A89"/>
    <w:rsid w:val="001C0E02"/>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596"/>
    <w:rsid w:val="001E274C"/>
    <w:rsid w:val="001E2E0D"/>
    <w:rsid w:val="001E3BA7"/>
    <w:rsid w:val="001E4A72"/>
    <w:rsid w:val="001E633D"/>
    <w:rsid w:val="001E6568"/>
    <w:rsid w:val="001E7C41"/>
    <w:rsid w:val="001F0C60"/>
    <w:rsid w:val="001F4014"/>
    <w:rsid w:val="001F47DB"/>
    <w:rsid w:val="001F4ABD"/>
    <w:rsid w:val="001F59CD"/>
    <w:rsid w:val="001F6434"/>
    <w:rsid w:val="001F7DFC"/>
    <w:rsid w:val="002004B0"/>
    <w:rsid w:val="002015A7"/>
    <w:rsid w:val="00201E89"/>
    <w:rsid w:val="002023D8"/>
    <w:rsid w:val="00203ABF"/>
    <w:rsid w:val="00203BFA"/>
    <w:rsid w:val="0020401B"/>
    <w:rsid w:val="002040AB"/>
    <w:rsid w:val="002045C6"/>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30F"/>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5D2"/>
    <w:rsid w:val="00236984"/>
    <w:rsid w:val="00237884"/>
    <w:rsid w:val="00237938"/>
    <w:rsid w:val="002379BB"/>
    <w:rsid w:val="00237B61"/>
    <w:rsid w:val="00237BB9"/>
    <w:rsid w:val="0024146B"/>
    <w:rsid w:val="0024336B"/>
    <w:rsid w:val="00244AFA"/>
    <w:rsid w:val="00244BC4"/>
    <w:rsid w:val="00244D10"/>
    <w:rsid w:val="00245478"/>
    <w:rsid w:val="0024623A"/>
    <w:rsid w:val="00247941"/>
    <w:rsid w:val="0025435C"/>
    <w:rsid w:val="00254371"/>
    <w:rsid w:val="0025585A"/>
    <w:rsid w:val="00256233"/>
    <w:rsid w:val="0025729C"/>
    <w:rsid w:val="0025737C"/>
    <w:rsid w:val="002573AC"/>
    <w:rsid w:val="00260548"/>
    <w:rsid w:val="00260640"/>
    <w:rsid w:val="0026123F"/>
    <w:rsid w:val="00262646"/>
    <w:rsid w:val="00264C31"/>
    <w:rsid w:val="00264D82"/>
    <w:rsid w:val="00265280"/>
    <w:rsid w:val="00265A33"/>
    <w:rsid w:val="0026609F"/>
    <w:rsid w:val="002661BC"/>
    <w:rsid w:val="00266751"/>
    <w:rsid w:val="00266BD4"/>
    <w:rsid w:val="00267AD8"/>
    <w:rsid w:val="00267BD6"/>
    <w:rsid w:val="00267E4F"/>
    <w:rsid w:val="00270A4A"/>
    <w:rsid w:val="002729BF"/>
    <w:rsid w:val="00273299"/>
    <w:rsid w:val="002777BB"/>
    <w:rsid w:val="00277B28"/>
    <w:rsid w:val="002809D4"/>
    <w:rsid w:val="00280C8B"/>
    <w:rsid w:val="00281295"/>
    <w:rsid w:val="00282832"/>
    <w:rsid w:val="002850AE"/>
    <w:rsid w:val="002852CE"/>
    <w:rsid w:val="00285551"/>
    <w:rsid w:val="00286739"/>
    <w:rsid w:val="002875B2"/>
    <w:rsid w:val="002901C9"/>
    <w:rsid w:val="0029143C"/>
    <w:rsid w:val="0029175E"/>
    <w:rsid w:val="00291A36"/>
    <w:rsid w:val="00292E73"/>
    <w:rsid w:val="00293015"/>
    <w:rsid w:val="002932B4"/>
    <w:rsid w:val="00293A81"/>
    <w:rsid w:val="00294236"/>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B2921"/>
    <w:rsid w:val="002B3016"/>
    <w:rsid w:val="002B4D8B"/>
    <w:rsid w:val="002B4EDE"/>
    <w:rsid w:val="002B6407"/>
    <w:rsid w:val="002B68A5"/>
    <w:rsid w:val="002B7141"/>
    <w:rsid w:val="002B78DD"/>
    <w:rsid w:val="002B7E10"/>
    <w:rsid w:val="002C1016"/>
    <w:rsid w:val="002C2415"/>
    <w:rsid w:val="002C4B11"/>
    <w:rsid w:val="002C52B2"/>
    <w:rsid w:val="002C5506"/>
    <w:rsid w:val="002C647B"/>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D02"/>
    <w:rsid w:val="002F3F27"/>
    <w:rsid w:val="002F4094"/>
    <w:rsid w:val="002F4D63"/>
    <w:rsid w:val="002F53C2"/>
    <w:rsid w:val="002F5787"/>
    <w:rsid w:val="002F63AD"/>
    <w:rsid w:val="00301E5E"/>
    <w:rsid w:val="0030239C"/>
    <w:rsid w:val="00302E84"/>
    <w:rsid w:val="00304E7C"/>
    <w:rsid w:val="00306D23"/>
    <w:rsid w:val="00306EBD"/>
    <w:rsid w:val="003074A8"/>
    <w:rsid w:val="00311AAE"/>
    <w:rsid w:val="00311D7F"/>
    <w:rsid w:val="00312C98"/>
    <w:rsid w:val="003137E2"/>
    <w:rsid w:val="003139E4"/>
    <w:rsid w:val="00313B8E"/>
    <w:rsid w:val="003143CD"/>
    <w:rsid w:val="00314734"/>
    <w:rsid w:val="00314D93"/>
    <w:rsid w:val="0031666A"/>
    <w:rsid w:val="00316F9A"/>
    <w:rsid w:val="003172E5"/>
    <w:rsid w:val="0031769D"/>
    <w:rsid w:val="00320C1F"/>
    <w:rsid w:val="00322322"/>
    <w:rsid w:val="00322D1B"/>
    <w:rsid w:val="00322F1C"/>
    <w:rsid w:val="00323A82"/>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0B6F"/>
    <w:rsid w:val="00341C39"/>
    <w:rsid w:val="00342F49"/>
    <w:rsid w:val="0034440F"/>
    <w:rsid w:val="0034471E"/>
    <w:rsid w:val="00345514"/>
    <w:rsid w:val="00345A0D"/>
    <w:rsid w:val="00346742"/>
    <w:rsid w:val="003477DE"/>
    <w:rsid w:val="00350B15"/>
    <w:rsid w:val="00350F1E"/>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F72"/>
    <w:rsid w:val="003664DD"/>
    <w:rsid w:val="00367035"/>
    <w:rsid w:val="00370173"/>
    <w:rsid w:val="00370AB0"/>
    <w:rsid w:val="00371364"/>
    <w:rsid w:val="0037369C"/>
    <w:rsid w:val="003737C8"/>
    <w:rsid w:val="003743F9"/>
    <w:rsid w:val="003749B5"/>
    <w:rsid w:val="00374E8E"/>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51C2"/>
    <w:rsid w:val="003956DF"/>
    <w:rsid w:val="00397FA1"/>
    <w:rsid w:val="003A2107"/>
    <w:rsid w:val="003A23FE"/>
    <w:rsid w:val="003A69F2"/>
    <w:rsid w:val="003A6C87"/>
    <w:rsid w:val="003A6E35"/>
    <w:rsid w:val="003A7309"/>
    <w:rsid w:val="003B254C"/>
    <w:rsid w:val="003B33EE"/>
    <w:rsid w:val="003C0A2F"/>
    <w:rsid w:val="003C1E47"/>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E106D"/>
    <w:rsid w:val="003E2253"/>
    <w:rsid w:val="003E2690"/>
    <w:rsid w:val="003E3BD6"/>
    <w:rsid w:val="003E532D"/>
    <w:rsid w:val="003E5ECD"/>
    <w:rsid w:val="003E6C9D"/>
    <w:rsid w:val="003F04E9"/>
    <w:rsid w:val="003F3F53"/>
    <w:rsid w:val="003F5036"/>
    <w:rsid w:val="003F6037"/>
    <w:rsid w:val="003F606E"/>
    <w:rsid w:val="003F7619"/>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5248"/>
    <w:rsid w:val="004154CD"/>
    <w:rsid w:val="00416CE0"/>
    <w:rsid w:val="0041708A"/>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68C"/>
    <w:rsid w:val="00434BCE"/>
    <w:rsid w:val="00434C00"/>
    <w:rsid w:val="004350D6"/>
    <w:rsid w:val="0043616F"/>
    <w:rsid w:val="00437006"/>
    <w:rsid w:val="004407CC"/>
    <w:rsid w:val="00440800"/>
    <w:rsid w:val="0044216B"/>
    <w:rsid w:val="00442791"/>
    <w:rsid w:val="00443D35"/>
    <w:rsid w:val="0044463D"/>
    <w:rsid w:val="00445C75"/>
    <w:rsid w:val="00446B63"/>
    <w:rsid w:val="00446C56"/>
    <w:rsid w:val="00450281"/>
    <w:rsid w:val="00450369"/>
    <w:rsid w:val="0045095B"/>
    <w:rsid w:val="00452579"/>
    <w:rsid w:val="00452786"/>
    <w:rsid w:val="00452E79"/>
    <w:rsid w:val="004536B8"/>
    <w:rsid w:val="00453854"/>
    <w:rsid w:val="00454FD2"/>
    <w:rsid w:val="00455ABC"/>
    <w:rsid w:val="00456E52"/>
    <w:rsid w:val="00457B2F"/>
    <w:rsid w:val="00460729"/>
    <w:rsid w:val="0046081F"/>
    <w:rsid w:val="00460A7B"/>
    <w:rsid w:val="00460A87"/>
    <w:rsid w:val="004631A8"/>
    <w:rsid w:val="00463413"/>
    <w:rsid w:val="00463EA4"/>
    <w:rsid w:val="00465F1A"/>
    <w:rsid w:val="00465F47"/>
    <w:rsid w:val="00466510"/>
    <w:rsid w:val="00466C25"/>
    <w:rsid w:val="004675C2"/>
    <w:rsid w:val="0047012A"/>
    <w:rsid w:val="004702E1"/>
    <w:rsid w:val="00470768"/>
    <w:rsid w:val="0047210D"/>
    <w:rsid w:val="00472D68"/>
    <w:rsid w:val="00472F70"/>
    <w:rsid w:val="004741A1"/>
    <w:rsid w:val="00474248"/>
    <w:rsid w:val="004748F5"/>
    <w:rsid w:val="004749BD"/>
    <w:rsid w:val="0047511D"/>
    <w:rsid w:val="00475B70"/>
    <w:rsid w:val="00475EF7"/>
    <w:rsid w:val="00476F3E"/>
    <w:rsid w:val="004803FB"/>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5849"/>
    <w:rsid w:val="004958F7"/>
    <w:rsid w:val="0049624A"/>
    <w:rsid w:val="0049630B"/>
    <w:rsid w:val="004977D3"/>
    <w:rsid w:val="004A07CE"/>
    <w:rsid w:val="004A1DEF"/>
    <w:rsid w:val="004A51E9"/>
    <w:rsid w:val="004A69FB"/>
    <w:rsid w:val="004A6BFC"/>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6510"/>
    <w:rsid w:val="004C67FD"/>
    <w:rsid w:val="004C6AEC"/>
    <w:rsid w:val="004D0B22"/>
    <w:rsid w:val="004D0CD7"/>
    <w:rsid w:val="004D18E3"/>
    <w:rsid w:val="004D1B60"/>
    <w:rsid w:val="004D21F5"/>
    <w:rsid w:val="004D357E"/>
    <w:rsid w:val="004D3D9C"/>
    <w:rsid w:val="004D51A5"/>
    <w:rsid w:val="004D5415"/>
    <w:rsid w:val="004D67AB"/>
    <w:rsid w:val="004D6C9C"/>
    <w:rsid w:val="004D6CA2"/>
    <w:rsid w:val="004D7250"/>
    <w:rsid w:val="004D7B57"/>
    <w:rsid w:val="004E1EE1"/>
    <w:rsid w:val="004E2364"/>
    <w:rsid w:val="004E3290"/>
    <w:rsid w:val="004E3875"/>
    <w:rsid w:val="004E5BA4"/>
    <w:rsid w:val="004E6654"/>
    <w:rsid w:val="004E6C6B"/>
    <w:rsid w:val="004E7253"/>
    <w:rsid w:val="004E7813"/>
    <w:rsid w:val="004E78DB"/>
    <w:rsid w:val="004F0D4A"/>
    <w:rsid w:val="004F0F92"/>
    <w:rsid w:val="004F3DC5"/>
    <w:rsid w:val="004F544E"/>
    <w:rsid w:val="004F6678"/>
    <w:rsid w:val="004F6D83"/>
    <w:rsid w:val="004F7814"/>
    <w:rsid w:val="00500898"/>
    <w:rsid w:val="00503878"/>
    <w:rsid w:val="005047FC"/>
    <w:rsid w:val="00504963"/>
    <w:rsid w:val="00506B9A"/>
    <w:rsid w:val="0050751C"/>
    <w:rsid w:val="0050790D"/>
    <w:rsid w:val="005106C5"/>
    <w:rsid w:val="00511112"/>
    <w:rsid w:val="00511837"/>
    <w:rsid w:val="00511FEE"/>
    <w:rsid w:val="005124D7"/>
    <w:rsid w:val="0051337A"/>
    <w:rsid w:val="0051431A"/>
    <w:rsid w:val="00515AB0"/>
    <w:rsid w:val="00516D39"/>
    <w:rsid w:val="00516FC2"/>
    <w:rsid w:val="00517318"/>
    <w:rsid w:val="0051738E"/>
    <w:rsid w:val="00517ECD"/>
    <w:rsid w:val="00520486"/>
    <w:rsid w:val="00520968"/>
    <w:rsid w:val="005216E1"/>
    <w:rsid w:val="00523A01"/>
    <w:rsid w:val="005240D9"/>
    <w:rsid w:val="005242FC"/>
    <w:rsid w:val="00524552"/>
    <w:rsid w:val="0052492E"/>
    <w:rsid w:val="00524EC8"/>
    <w:rsid w:val="005257C1"/>
    <w:rsid w:val="005257D2"/>
    <w:rsid w:val="00526FF1"/>
    <w:rsid w:val="0052786F"/>
    <w:rsid w:val="00530053"/>
    <w:rsid w:val="00530122"/>
    <w:rsid w:val="0053033E"/>
    <w:rsid w:val="00530706"/>
    <w:rsid w:val="00530E9C"/>
    <w:rsid w:val="00532DA0"/>
    <w:rsid w:val="00534396"/>
    <w:rsid w:val="005347F9"/>
    <w:rsid w:val="00535B95"/>
    <w:rsid w:val="00535C4C"/>
    <w:rsid w:val="00536D2E"/>
    <w:rsid w:val="00537CD5"/>
    <w:rsid w:val="00537FAD"/>
    <w:rsid w:val="005408CF"/>
    <w:rsid w:val="0054105C"/>
    <w:rsid w:val="00541090"/>
    <w:rsid w:val="00541B50"/>
    <w:rsid w:val="00543034"/>
    <w:rsid w:val="00543106"/>
    <w:rsid w:val="00543361"/>
    <w:rsid w:val="0054379A"/>
    <w:rsid w:val="00543B44"/>
    <w:rsid w:val="00543FAD"/>
    <w:rsid w:val="00543FC0"/>
    <w:rsid w:val="00544E5D"/>
    <w:rsid w:val="00545C2F"/>
    <w:rsid w:val="00546330"/>
    <w:rsid w:val="00546686"/>
    <w:rsid w:val="00546FE0"/>
    <w:rsid w:val="00550818"/>
    <w:rsid w:val="00550DC6"/>
    <w:rsid w:val="00552465"/>
    <w:rsid w:val="0055340F"/>
    <w:rsid w:val="00554F55"/>
    <w:rsid w:val="0055648F"/>
    <w:rsid w:val="005579B4"/>
    <w:rsid w:val="00557BF1"/>
    <w:rsid w:val="0056067D"/>
    <w:rsid w:val="00560EBA"/>
    <w:rsid w:val="005649CD"/>
    <w:rsid w:val="00567380"/>
    <w:rsid w:val="005677E7"/>
    <w:rsid w:val="005700D5"/>
    <w:rsid w:val="005703A7"/>
    <w:rsid w:val="005709E8"/>
    <w:rsid w:val="0057177A"/>
    <w:rsid w:val="00572B45"/>
    <w:rsid w:val="00573FF2"/>
    <w:rsid w:val="00576A20"/>
    <w:rsid w:val="00577465"/>
    <w:rsid w:val="00577A43"/>
    <w:rsid w:val="00577FAF"/>
    <w:rsid w:val="00582052"/>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1B93"/>
    <w:rsid w:val="005A2A01"/>
    <w:rsid w:val="005A308C"/>
    <w:rsid w:val="005A61AA"/>
    <w:rsid w:val="005A7B55"/>
    <w:rsid w:val="005B080C"/>
    <w:rsid w:val="005B0F4C"/>
    <w:rsid w:val="005B35CB"/>
    <w:rsid w:val="005B3FFC"/>
    <w:rsid w:val="005B43DC"/>
    <w:rsid w:val="005B5ECF"/>
    <w:rsid w:val="005B6DB5"/>
    <w:rsid w:val="005B7326"/>
    <w:rsid w:val="005C0C4D"/>
    <w:rsid w:val="005C1451"/>
    <w:rsid w:val="005C17D5"/>
    <w:rsid w:val="005C1B16"/>
    <w:rsid w:val="005C1BB1"/>
    <w:rsid w:val="005C3A15"/>
    <w:rsid w:val="005C3B40"/>
    <w:rsid w:val="005C4566"/>
    <w:rsid w:val="005C495C"/>
    <w:rsid w:val="005C52C9"/>
    <w:rsid w:val="005C6D49"/>
    <w:rsid w:val="005C7E1D"/>
    <w:rsid w:val="005D061E"/>
    <w:rsid w:val="005D15E9"/>
    <w:rsid w:val="005D1CFA"/>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5B7F"/>
    <w:rsid w:val="005E65BF"/>
    <w:rsid w:val="005E65D9"/>
    <w:rsid w:val="005E65E8"/>
    <w:rsid w:val="005E686B"/>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7B58"/>
    <w:rsid w:val="00617F8B"/>
    <w:rsid w:val="00621F20"/>
    <w:rsid w:val="00622160"/>
    <w:rsid w:val="00622381"/>
    <w:rsid w:val="006225E8"/>
    <w:rsid w:val="00622E2A"/>
    <w:rsid w:val="006230DB"/>
    <w:rsid w:val="0062443A"/>
    <w:rsid w:val="00624899"/>
    <w:rsid w:val="00625380"/>
    <w:rsid w:val="0063068F"/>
    <w:rsid w:val="0063168E"/>
    <w:rsid w:val="00631DC8"/>
    <w:rsid w:val="00632BA5"/>
    <w:rsid w:val="006334E7"/>
    <w:rsid w:val="00633C06"/>
    <w:rsid w:val="00634BFA"/>
    <w:rsid w:val="00635062"/>
    <w:rsid w:val="00637716"/>
    <w:rsid w:val="00645311"/>
    <w:rsid w:val="00645688"/>
    <w:rsid w:val="006459C5"/>
    <w:rsid w:val="00645F01"/>
    <w:rsid w:val="0064630F"/>
    <w:rsid w:val="00646638"/>
    <w:rsid w:val="00647464"/>
    <w:rsid w:val="00647555"/>
    <w:rsid w:val="006507EE"/>
    <w:rsid w:val="006507EF"/>
    <w:rsid w:val="0065394D"/>
    <w:rsid w:val="00654311"/>
    <w:rsid w:val="006548FC"/>
    <w:rsid w:val="0065499E"/>
    <w:rsid w:val="0065548C"/>
    <w:rsid w:val="00656DF0"/>
    <w:rsid w:val="00656F71"/>
    <w:rsid w:val="00660E64"/>
    <w:rsid w:val="00661830"/>
    <w:rsid w:val="006622E3"/>
    <w:rsid w:val="0066279E"/>
    <w:rsid w:val="00665D40"/>
    <w:rsid w:val="00666EE8"/>
    <w:rsid w:val="006701DF"/>
    <w:rsid w:val="00670959"/>
    <w:rsid w:val="00671019"/>
    <w:rsid w:val="006715C8"/>
    <w:rsid w:val="00671996"/>
    <w:rsid w:val="006725F0"/>
    <w:rsid w:val="006729D9"/>
    <w:rsid w:val="00672B21"/>
    <w:rsid w:val="00673007"/>
    <w:rsid w:val="006739C4"/>
    <w:rsid w:val="00673EED"/>
    <w:rsid w:val="0067474F"/>
    <w:rsid w:val="0067518E"/>
    <w:rsid w:val="006765B7"/>
    <w:rsid w:val="00676727"/>
    <w:rsid w:val="0067758A"/>
    <w:rsid w:val="0067762C"/>
    <w:rsid w:val="00680687"/>
    <w:rsid w:val="00680944"/>
    <w:rsid w:val="006809B5"/>
    <w:rsid w:val="006810C3"/>
    <w:rsid w:val="0068216F"/>
    <w:rsid w:val="00682762"/>
    <w:rsid w:val="00682B40"/>
    <w:rsid w:val="0068385F"/>
    <w:rsid w:val="006843AD"/>
    <w:rsid w:val="00684559"/>
    <w:rsid w:val="00684AFF"/>
    <w:rsid w:val="00684BC7"/>
    <w:rsid w:val="006859AB"/>
    <w:rsid w:val="00686261"/>
    <w:rsid w:val="00687642"/>
    <w:rsid w:val="006877FC"/>
    <w:rsid w:val="00687B37"/>
    <w:rsid w:val="00687B7E"/>
    <w:rsid w:val="006900B5"/>
    <w:rsid w:val="006909AB"/>
    <w:rsid w:val="0069176B"/>
    <w:rsid w:val="00692E3F"/>
    <w:rsid w:val="0069357C"/>
    <w:rsid w:val="00693805"/>
    <w:rsid w:val="00693CC5"/>
    <w:rsid w:val="0069462F"/>
    <w:rsid w:val="0069482E"/>
    <w:rsid w:val="006957A3"/>
    <w:rsid w:val="00695E25"/>
    <w:rsid w:val="0069607F"/>
    <w:rsid w:val="006960E9"/>
    <w:rsid w:val="00696612"/>
    <w:rsid w:val="00697F8C"/>
    <w:rsid w:val="006A0539"/>
    <w:rsid w:val="006A0691"/>
    <w:rsid w:val="006A0AD3"/>
    <w:rsid w:val="006A1BE7"/>
    <w:rsid w:val="006A1C04"/>
    <w:rsid w:val="006A36F9"/>
    <w:rsid w:val="006A3B4C"/>
    <w:rsid w:val="006A3D52"/>
    <w:rsid w:val="006A4E72"/>
    <w:rsid w:val="006A6AB1"/>
    <w:rsid w:val="006A7719"/>
    <w:rsid w:val="006A7D36"/>
    <w:rsid w:val="006B0167"/>
    <w:rsid w:val="006B120F"/>
    <w:rsid w:val="006B2CAD"/>
    <w:rsid w:val="006B2F0A"/>
    <w:rsid w:val="006B3966"/>
    <w:rsid w:val="006B5799"/>
    <w:rsid w:val="006B6048"/>
    <w:rsid w:val="006B6203"/>
    <w:rsid w:val="006B6C05"/>
    <w:rsid w:val="006B6FC1"/>
    <w:rsid w:val="006B73CE"/>
    <w:rsid w:val="006C1232"/>
    <w:rsid w:val="006C1734"/>
    <w:rsid w:val="006C185A"/>
    <w:rsid w:val="006C1988"/>
    <w:rsid w:val="006C5300"/>
    <w:rsid w:val="006C5494"/>
    <w:rsid w:val="006C599C"/>
    <w:rsid w:val="006C7808"/>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20CC"/>
    <w:rsid w:val="006E2CBC"/>
    <w:rsid w:val="006E2FAE"/>
    <w:rsid w:val="006E3A64"/>
    <w:rsid w:val="006E581B"/>
    <w:rsid w:val="006E59E2"/>
    <w:rsid w:val="006E7B55"/>
    <w:rsid w:val="006E7CF6"/>
    <w:rsid w:val="006F0C58"/>
    <w:rsid w:val="006F1CFC"/>
    <w:rsid w:val="006F2030"/>
    <w:rsid w:val="006F2266"/>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449"/>
    <w:rsid w:val="00712752"/>
    <w:rsid w:val="00712897"/>
    <w:rsid w:val="00712ADB"/>
    <w:rsid w:val="00712F4C"/>
    <w:rsid w:val="0071337F"/>
    <w:rsid w:val="0071759B"/>
    <w:rsid w:val="00717ADB"/>
    <w:rsid w:val="007208E1"/>
    <w:rsid w:val="00720CF6"/>
    <w:rsid w:val="00722EB5"/>
    <w:rsid w:val="00723E91"/>
    <w:rsid w:val="00725B7A"/>
    <w:rsid w:val="00725BA5"/>
    <w:rsid w:val="00726063"/>
    <w:rsid w:val="00726131"/>
    <w:rsid w:val="007261B1"/>
    <w:rsid w:val="00726393"/>
    <w:rsid w:val="00726A47"/>
    <w:rsid w:val="00727EA5"/>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F4C"/>
    <w:rsid w:val="007603F2"/>
    <w:rsid w:val="00760EFB"/>
    <w:rsid w:val="00761A6E"/>
    <w:rsid w:val="0076334A"/>
    <w:rsid w:val="0076351E"/>
    <w:rsid w:val="00763558"/>
    <w:rsid w:val="00763743"/>
    <w:rsid w:val="0076380D"/>
    <w:rsid w:val="007640A2"/>
    <w:rsid w:val="00764123"/>
    <w:rsid w:val="00764189"/>
    <w:rsid w:val="00765310"/>
    <w:rsid w:val="007679E7"/>
    <w:rsid w:val="00770BEA"/>
    <w:rsid w:val="0077426F"/>
    <w:rsid w:val="00774EAC"/>
    <w:rsid w:val="00775DAC"/>
    <w:rsid w:val="00775DF4"/>
    <w:rsid w:val="00776300"/>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3F86"/>
    <w:rsid w:val="00794204"/>
    <w:rsid w:val="00796220"/>
    <w:rsid w:val="0079640D"/>
    <w:rsid w:val="0079772D"/>
    <w:rsid w:val="007A0F56"/>
    <w:rsid w:val="007A17C0"/>
    <w:rsid w:val="007A2166"/>
    <w:rsid w:val="007A2260"/>
    <w:rsid w:val="007A260F"/>
    <w:rsid w:val="007A3169"/>
    <w:rsid w:val="007A31BD"/>
    <w:rsid w:val="007A348A"/>
    <w:rsid w:val="007A37D3"/>
    <w:rsid w:val="007A457A"/>
    <w:rsid w:val="007A5B2A"/>
    <w:rsid w:val="007A7431"/>
    <w:rsid w:val="007B036F"/>
    <w:rsid w:val="007B075A"/>
    <w:rsid w:val="007B1D3B"/>
    <w:rsid w:val="007B2B84"/>
    <w:rsid w:val="007B2BEC"/>
    <w:rsid w:val="007B3C76"/>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9D7"/>
    <w:rsid w:val="007C4C56"/>
    <w:rsid w:val="007C6078"/>
    <w:rsid w:val="007C73A1"/>
    <w:rsid w:val="007C742D"/>
    <w:rsid w:val="007C7F45"/>
    <w:rsid w:val="007D0424"/>
    <w:rsid w:val="007D1451"/>
    <w:rsid w:val="007D1FF4"/>
    <w:rsid w:val="007D4CA7"/>
    <w:rsid w:val="007D4E58"/>
    <w:rsid w:val="007D5D6C"/>
    <w:rsid w:val="007D62FA"/>
    <w:rsid w:val="007D7751"/>
    <w:rsid w:val="007D79DC"/>
    <w:rsid w:val="007E1BE2"/>
    <w:rsid w:val="007E22C3"/>
    <w:rsid w:val="007E3BA3"/>
    <w:rsid w:val="007E462C"/>
    <w:rsid w:val="007E4F56"/>
    <w:rsid w:val="007E5576"/>
    <w:rsid w:val="007E58A6"/>
    <w:rsid w:val="007E6312"/>
    <w:rsid w:val="007F0987"/>
    <w:rsid w:val="007F1763"/>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5C53"/>
    <w:rsid w:val="0080624B"/>
    <w:rsid w:val="0080674B"/>
    <w:rsid w:val="00806B63"/>
    <w:rsid w:val="008076B4"/>
    <w:rsid w:val="00807DAF"/>
    <w:rsid w:val="008101ED"/>
    <w:rsid w:val="008108B9"/>
    <w:rsid w:val="008109C1"/>
    <w:rsid w:val="00810C9F"/>
    <w:rsid w:val="00812044"/>
    <w:rsid w:val="00813F48"/>
    <w:rsid w:val="00814759"/>
    <w:rsid w:val="00814FD1"/>
    <w:rsid w:val="00815056"/>
    <w:rsid w:val="00815BD8"/>
    <w:rsid w:val="00815CBC"/>
    <w:rsid w:val="00817D73"/>
    <w:rsid w:val="008227F8"/>
    <w:rsid w:val="00822EF8"/>
    <w:rsid w:val="00824471"/>
    <w:rsid w:val="00824491"/>
    <w:rsid w:val="00825A19"/>
    <w:rsid w:val="00830E9A"/>
    <w:rsid w:val="008336A2"/>
    <w:rsid w:val="00833F09"/>
    <w:rsid w:val="00836248"/>
    <w:rsid w:val="00842FEC"/>
    <w:rsid w:val="00844680"/>
    <w:rsid w:val="0084479D"/>
    <w:rsid w:val="00845CAC"/>
    <w:rsid w:val="00846908"/>
    <w:rsid w:val="0084701E"/>
    <w:rsid w:val="008503BC"/>
    <w:rsid w:val="00852DE6"/>
    <w:rsid w:val="0085300F"/>
    <w:rsid w:val="00853E40"/>
    <w:rsid w:val="00854640"/>
    <w:rsid w:val="00856712"/>
    <w:rsid w:val="00857150"/>
    <w:rsid w:val="008619B1"/>
    <w:rsid w:val="00861CED"/>
    <w:rsid w:val="00862D68"/>
    <w:rsid w:val="00863C06"/>
    <w:rsid w:val="00864FA8"/>
    <w:rsid w:val="008676BE"/>
    <w:rsid w:val="0086780C"/>
    <w:rsid w:val="00870FE4"/>
    <w:rsid w:val="00872E67"/>
    <w:rsid w:val="008735C7"/>
    <w:rsid w:val="008740A0"/>
    <w:rsid w:val="00874903"/>
    <w:rsid w:val="0087633A"/>
    <w:rsid w:val="00876E0B"/>
    <w:rsid w:val="0088120A"/>
    <w:rsid w:val="00881642"/>
    <w:rsid w:val="0088168E"/>
    <w:rsid w:val="00881ABE"/>
    <w:rsid w:val="00885EC5"/>
    <w:rsid w:val="00886214"/>
    <w:rsid w:val="0088661F"/>
    <w:rsid w:val="008879D2"/>
    <w:rsid w:val="008901F2"/>
    <w:rsid w:val="00890798"/>
    <w:rsid w:val="008914A1"/>
    <w:rsid w:val="00892D87"/>
    <w:rsid w:val="00893AB8"/>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903"/>
    <w:rsid w:val="008A39DE"/>
    <w:rsid w:val="008A4D2D"/>
    <w:rsid w:val="008A5CD8"/>
    <w:rsid w:val="008A62F6"/>
    <w:rsid w:val="008A6F06"/>
    <w:rsid w:val="008A7A99"/>
    <w:rsid w:val="008B0D33"/>
    <w:rsid w:val="008B12C7"/>
    <w:rsid w:val="008B1EA7"/>
    <w:rsid w:val="008B3646"/>
    <w:rsid w:val="008B4806"/>
    <w:rsid w:val="008B4939"/>
    <w:rsid w:val="008B4F07"/>
    <w:rsid w:val="008B5BBA"/>
    <w:rsid w:val="008B793C"/>
    <w:rsid w:val="008B7E9A"/>
    <w:rsid w:val="008C0076"/>
    <w:rsid w:val="008C00E4"/>
    <w:rsid w:val="008C0382"/>
    <w:rsid w:val="008C12F5"/>
    <w:rsid w:val="008C1586"/>
    <w:rsid w:val="008C2544"/>
    <w:rsid w:val="008C2E58"/>
    <w:rsid w:val="008C30AD"/>
    <w:rsid w:val="008C3978"/>
    <w:rsid w:val="008C39D8"/>
    <w:rsid w:val="008C3DD7"/>
    <w:rsid w:val="008C3F01"/>
    <w:rsid w:val="008C3F49"/>
    <w:rsid w:val="008C40BA"/>
    <w:rsid w:val="008C5173"/>
    <w:rsid w:val="008C5797"/>
    <w:rsid w:val="008C646B"/>
    <w:rsid w:val="008C69F5"/>
    <w:rsid w:val="008D0534"/>
    <w:rsid w:val="008D0C9A"/>
    <w:rsid w:val="008D21D9"/>
    <w:rsid w:val="008D29C8"/>
    <w:rsid w:val="008D3120"/>
    <w:rsid w:val="008D452A"/>
    <w:rsid w:val="008D4C88"/>
    <w:rsid w:val="008D553A"/>
    <w:rsid w:val="008D71C9"/>
    <w:rsid w:val="008D79B5"/>
    <w:rsid w:val="008E179D"/>
    <w:rsid w:val="008E274E"/>
    <w:rsid w:val="008E27C2"/>
    <w:rsid w:val="008E31B9"/>
    <w:rsid w:val="008E3CA3"/>
    <w:rsid w:val="008E4091"/>
    <w:rsid w:val="008E4FA0"/>
    <w:rsid w:val="008E6AB3"/>
    <w:rsid w:val="008E7757"/>
    <w:rsid w:val="008F021C"/>
    <w:rsid w:val="008F0684"/>
    <w:rsid w:val="008F1ED2"/>
    <w:rsid w:val="008F2FF0"/>
    <w:rsid w:val="008F3758"/>
    <w:rsid w:val="008F3F5F"/>
    <w:rsid w:val="008F4EF4"/>
    <w:rsid w:val="008F66A1"/>
    <w:rsid w:val="008F73E0"/>
    <w:rsid w:val="009001C1"/>
    <w:rsid w:val="00902B04"/>
    <w:rsid w:val="0090351E"/>
    <w:rsid w:val="00904B8C"/>
    <w:rsid w:val="00904EBD"/>
    <w:rsid w:val="00905D8F"/>
    <w:rsid w:val="009114A9"/>
    <w:rsid w:val="009133A3"/>
    <w:rsid w:val="0091382B"/>
    <w:rsid w:val="009141A7"/>
    <w:rsid w:val="009143F9"/>
    <w:rsid w:val="00914462"/>
    <w:rsid w:val="009160D3"/>
    <w:rsid w:val="009171EE"/>
    <w:rsid w:val="009174F0"/>
    <w:rsid w:val="00920496"/>
    <w:rsid w:val="00920737"/>
    <w:rsid w:val="0092095E"/>
    <w:rsid w:val="00921263"/>
    <w:rsid w:val="0092178C"/>
    <w:rsid w:val="00921BDE"/>
    <w:rsid w:val="0092230C"/>
    <w:rsid w:val="00922C48"/>
    <w:rsid w:val="0092399A"/>
    <w:rsid w:val="0092781E"/>
    <w:rsid w:val="00931576"/>
    <w:rsid w:val="00934768"/>
    <w:rsid w:val="009348D1"/>
    <w:rsid w:val="00937DE7"/>
    <w:rsid w:val="00940FBA"/>
    <w:rsid w:val="0094303F"/>
    <w:rsid w:val="00943D37"/>
    <w:rsid w:val="009444A8"/>
    <w:rsid w:val="009458E6"/>
    <w:rsid w:val="0094628E"/>
    <w:rsid w:val="00946471"/>
    <w:rsid w:val="00946650"/>
    <w:rsid w:val="00946D61"/>
    <w:rsid w:val="00946E9A"/>
    <w:rsid w:val="009475EF"/>
    <w:rsid w:val="00947912"/>
    <w:rsid w:val="00947DE9"/>
    <w:rsid w:val="00947FC9"/>
    <w:rsid w:val="0095069E"/>
    <w:rsid w:val="0095088F"/>
    <w:rsid w:val="00950EFB"/>
    <w:rsid w:val="00951BF6"/>
    <w:rsid w:val="0095253F"/>
    <w:rsid w:val="00952FBF"/>
    <w:rsid w:val="00960082"/>
    <w:rsid w:val="0096166C"/>
    <w:rsid w:val="00962588"/>
    <w:rsid w:val="00962F90"/>
    <w:rsid w:val="00963709"/>
    <w:rsid w:val="00965F97"/>
    <w:rsid w:val="00966EF8"/>
    <w:rsid w:val="0096737D"/>
    <w:rsid w:val="00967492"/>
    <w:rsid w:val="00967B1E"/>
    <w:rsid w:val="00967C3D"/>
    <w:rsid w:val="00972258"/>
    <w:rsid w:val="0097226D"/>
    <w:rsid w:val="00972857"/>
    <w:rsid w:val="00976871"/>
    <w:rsid w:val="00976E42"/>
    <w:rsid w:val="0097715A"/>
    <w:rsid w:val="00977B15"/>
    <w:rsid w:val="00980971"/>
    <w:rsid w:val="009828C9"/>
    <w:rsid w:val="00983DD5"/>
    <w:rsid w:val="00984153"/>
    <w:rsid w:val="00984331"/>
    <w:rsid w:val="00986C39"/>
    <w:rsid w:val="009901E5"/>
    <w:rsid w:val="00990A37"/>
    <w:rsid w:val="00990BD8"/>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95B"/>
    <w:rsid w:val="009A70EB"/>
    <w:rsid w:val="009B076E"/>
    <w:rsid w:val="009B1FF4"/>
    <w:rsid w:val="009B21FA"/>
    <w:rsid w:val="009B2625"/>
    <w:rsid w:val="009B27DD"/>
    <w:rsid w:val="009B41E2"/>
    <w:rsid w:val="009B5592"/>
    <w:rsid w:val="009B6884"/>
    <w:rsid w:val="009B7203"/>
    <w:rsid w:val="009B74AB"/>
    <w:rsid w:val="009B7BB7"/>
    <w:rsid w:val="009C01C4"/>
    <w:rsid w:val="009C1C8B"/>
    <w:rsid w:val="009C30EF"/>
    <w:rsid w:val="009C3DFC"/>
    <w:rsid w:val="009C4B81"/>
    <w:rsid w:val="009C5780"/>
    <w:rsid w:val="009C67A1"/>
    <w:rsid w:val="009C7178"/>
    <w:rsid w:val="009C7319"/>
    <w:rsid w:val="009C7388"/>
    <w:rsid w:val="009D0FE4"/>
    <w:rsid w:val="009D1285"/>
    <w:rsid w:val="009D141D"/>
    <w:rsid w:val="009D29CA"/>
    <w:rsid w:val="009D3054"/>
    <w:rsid w:val="009D3154"/>
    <w:rsid w:val="009D31FF"/>
    <w:rsid w:val="009D4055"/>
    <w:rsid w:val="009D40E7"/>
    <w:rsid w:val="009D5056"/>
    <w:rsid w:val="009D7456"/>
    <w:rsid w:val="009D7AC9"/>
    <w:rsid w:val="009E132E"/>
    <w:rsid w:val="009E15DE"/>
    <w:rsid w:val="009E3A82"/>
    <w:rsid w:val="009E4085"/>
    <w:rsid w:val="009E4C6A"/>
    <w:rsid w:val="009E61C8"/>
    <w:rsid w:val="009E6254"/>
    <w:rsid w:val="009E675C"/>
    <w:rsid w:val="009F0344"/>
    <w:rsid w:val="009F04E7"/>
    <w:rsid w:val="009F103D"/>
    <w:rsid w:val="009F1A11"/>
    <w:rsid w:val="009F2619"/>
    <w:rsid w:val="009F2AC8"/>
    <w:rsid w:val="009F3146"/>
    <w:rsid w:val="009F49DD"/>
    <w:rsid w:val="009F4D8D"/>
    <w:rsid w:val="009F4DBB"/>
    <w:rsid w:val="009F542D"/>
    <w:rsid w:val="009F6102"/>
    <w:rsid w:val="009F6F2A"/>
    <w:rsid w:val="00A007C8"/>
    <w:rsid w:val="00A00D57"/>
    <w:rsid w:val="00A011DF"/>
    <w:rsid w:val="00A016F9"/>
    <w:rsid w:val="00A02946"/>
    <w:rsid w:val="00A02A80"/>
    <w:rsid w:val="00A02D81"/>
    <w:rsid w:val="00A030A6"/>
    <w:rsid w:val="00A03824"/>
    <w:rsid w:val="00A03D2B"/>
    <w:rsid w:val="00A05EA3"/>
    <w:rsid w:val="00A07623"/>
    <w:rsid w:val="00A1027B"/>
    <w:rsid w:val="00A104B7"/>
    <w:rsid w:val="00A11755"/>
    <w:rsid w:val="00A121F5"/>
    <w:rsid w:val="00A13D00"/>
    <w:rsid w:val="00A14EFD"/>
    <w:rsid w:val="00A155DA"/>
    <w:rsid w:val="00A17170"/>
    <w:rsid w:val="00A214A2"/>
    <w:rsid w:val="00A21739"/>
    <w:rsid w:val="00A2450D"/>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3B59"/>
    <w:rsid w:val="00A75D61"/>
    <w:rsid w:val="00A762B5"/>
    <w:rsid w:val="00A77B35"/>
    <w:rsid w:val="00A80223"/>
    <w:rsid w:val="00A8066A"/>
    <w:rsid w:val="00A81125"/>
    <w:rsid w:val="00A82B1D"/>
    <w:rsid w:val="00A830CA"/>
    <w:rsid w:val="00A83A5A"/>
    <w:rsid w:val="00A83A9E"/>
    <w:rsid w:val="00A83B32"/>
    <w:rsid w:val="00A8481C"/>
    <w:rsid w:val="00A84C23"/>
    <w:rsid w:val="00A856E5"/>
    <w:rsid w:val="00A8610D"/>
    <w:rsid w:val="00A8691A"/>
    <w:rsid w:val="00A912BB"/>
    <w:rsid w:val="00A92665"/>
    <w:rsid w:val="00A92D43"/>
    <w:rsid w:val="00A94C89"/>
    <w:rsid w:val="00A94D65"/>
    <w:rsid w:val="00A956A9"/>
    <w:rsid w:val="00A9727A"/>
    <w:rsid w:val="00AA02A5"/>
    <w:rsid w:val="00AA0B45"/>
    <w:rsid w:val="00AA1F17"/>
    <w:rsid w:val="00AA2065"/>
    <w:rsid w:val="00AA328A"/>
    <w:rsid w:val="00AA38DE"/>
    <w:rsid w:val="00AA424B"/>
    <w:rsid w:val="00AA4BE3"/>
    <w:rsid w:val="00AA4E23"/>
    <w:rsid w:val="00AA4FE0"/>
    <w:rsid w:val="00AA5E53"/>
    <w:rsid w:val="00AA6691"/>
    <w:rsid w:val="00AA6F1C"/>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C6CE1"/>
    <w:rsid w:val="00AD052F"/>
    <w:rsid w:val="00AD0FA0"/>
    <w:rsid w:val="00AD0FD9"/>
    <w:rsid w:val="00AD1464"/>
    <w:rsid w:val="00AD1491"/>
    <w:rsid w:val="00AD158A"/>
    <w:rsid w:val="00AD15CE"/>
    <w:rsid w:val="00AD1CBB"/>
    <w:rsid w:val="00AD1F15"/>
    <w:rsid w:val="00AD21DC"/>
    <w:rsid w:val="00AD3A96"/>
    <w:rsid w:val="00AD3EB3"/>
    <w:rsid w:val="00AD56C2"/>
    <w:rsid w:val="00AD5C5F"/>
    <w:rsid w:val="00AD6B43"/>
    <w:rsid w:val="00AE04C4"/>
    <w:rsid w:val="00AE2299"/>
    <w:rsid w:val="00AE481D"/>
    <w:rsid w:val="00AE509A"/>
    <w:rsid w:val="00AE7584"/>
    <w:rsid w:val="00AF2064"/>
    <w:rsid w:val="00AF24E8"/>
    <w:rsid w:val="00AF32BC"/>
    <w:rsid w:val="00AF40C6"/>
    <w:rsid w:val="00AF4484"/>
    <w:rsid w:val="00AF46DE"/>
    <w:rsid w:val="00AF4B76"/>
    <w:rsid w:val="00AF62CA"/>
    <w:rsid w:val="00AF748D"/>
    <w:rsid w:val="00AF7691"/>
    <w:rsid w:val="00B00267"/>
    <w:rsid w:val="00B0113A"/>
    <w:rsid w:val="00B012FF"/>
    <w:rsid w:val="00B01659"/>
    <w:rsid w:val="00B03595"/>
    <w:rsid w:val="00B03779"/>
    <w:rsid w:val="00B03D76"/>
    <w:rsid w:val="00B05AA2"/>
    <w:rsid w:val="00B06CF4"/>
    <w:rsid w:val="00B07D87"/>
    <w:rsid w:val="00B10F3E"/>
    <w:rsid w:val="00B11211"/>
    <w:rsid w:val="00B114D9"/>
    <w:rsid w:val="00B12D36"/>
    <w:rsid w:val="00B1362B"/>
    <w:rsid w:val="00B15460"/>
    <w:rsid w:val="00B15DCF"/>
    <w:rsid w:val="00B1674B"/>
    <w:rsid w:val="00B1744D"/>
    <w:rsid w:val="00B175EE"/>
    <w:rsid w:val="00B1766A"/>
    <w:rsid w:val="00B1781C"/>
    <w:rsid w:val="00B17D2F"/>
    <w:rsid w:val="00B20D69"/>
    <w:rsid w:val="00B21510"/>
    <w:rsid w:val="00B21BD2"/>
    <w:rsid w:val="00B22511"/>
    <w:rsid w:val="00B253C8"/>
    <w:rsid w:val="00B253E2"/>
    <w:rsid w:val="00B254EE"/>
    <w:rsid w:val="00B265EC"/>
    <w:rsid w:val="00B27AB1"/>
    <w:rsid w:val="00B27E78"/>
    <w:rsid w:val="00B334AC"/>
    <w:rsid w:val="00B3380F"/>
    <w:rsid w:val="00B34A8F"/>
    <w:rsid w:val="00B3539E"/>
    <w:rsid w:val="00B373D8"/>
    <w:rsid w:val="00B37DC8"/>
    <w:rsid w:val="00B37E6D"/>
    <w:rsid w:val="00B40CBC"/>
    <w:rsid w:val="00B41A93"/>
    <w:rsid w:val="00B432AE"/>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607BD"/>
    <w:rsid w:val="00B612EC"/>
    <w:rsid w:val="00B6343A"/>
    <w:rsid w:val="00B644FC"/>
    <w:rsid w:val="00B66332"/>
    <w:rsid w:val="00B66B56"/>
    <w:rsid w:val="00B6770F"/>
    <w:rsid w:val="00B67806"/>
    <w:rsid w:val="00B67D3F"/>
    <w:rsid w:val="00B713E2"/>
    <w:rsid w:val="00B71C4B"/>
    <w:rsid w:val="00B723B7"/>
    <w:rsid w:val="00B725EB"/>
    <w:rsid w:val="00B737C9"/>
    <w:rsid w:val="00B73985"/>
    <w:rsid w:val="00B73F3F"/>
    <w:rsid w:val="00B74662"/>
    <w:rsid w:val="00B74A28"/>
    <w:rsid w:val="00B75BA6"/>
    <w:rsid w:val="00B75EB7"/>
    <w:rsid w:val="00B761FC"/>
    <w:rsid w:val="00B765CB"/>
    <w:rsid w:val="00B76DEC"/>
    <w:rsid w:val="00B7757B"/>
    <w:rsid w:val="00B7783F"/>
    <w:rsid w:val="00B8045B"/>
    <w:rsid w:val="00B81081"/>
    <w:rsid w:val="00B826AB"/>
    <w:rsid w:val="00B82F94"/>
    <w:rsid w:val="00B834EF"/>
    <w:rsid w:val="00B83541"/>
    <w:rsid w:val="00B84A90"/>
    <w:rsid w:val="00B84FCC"/>
    <w:rsid w:val="00B85A17"/>
    <w:rsid w:val="00B863AB"/>
    <w:rsid w:val="00B9066E"/>
    <w:rsid w:val="00B9110E"/>
    <w:rsid w:val="00B9213E"/>
    <w:rsid w:val="00B9348E"/>
    <w:rsid w:val="00B957B9"/>
    <w:rsid w:val="00B96993"/>
    <w:rsid w:val="00B971F7"/>
    <w:rsid w:val="00B975FF"/>
    <w:rsid w:val="00B97671"/>
    <w:rsid w:val="00B97B95"/>
    <w:rsid w:val="00BA00F7"/>
    <w:rsid w:val="00BA0D02"/>
    <w:rsid w:val="00BA0FA5"/>
    <w:rsid w:val="00BA10D9"/>
    <w:rsid w:val="00BA1BA3"/>
    <w:rsid w:val="00BA2A04"/>
    <w:rsid w:val="00BA3418"/>
    <w:rsid w:val="00BA36EF"/>
    <w:rsid w:val="00BA60E5"/>
    <w:rsid w:val="00BA6E6B"/>
    <w:rsid w:val="00BA7002"/>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7BB1"/>
    <w:rsid w:val="00BC7EE3"/>
    <w:rsid w:val="00BC7EE4"/>
    <w:rsid w:val="00BD0D0F"/>
    <w:rsid w:val="00BD1C99"/>
    <w:rsid w:val="00BD4455"/>
    <w:rsid w:val="00BD4B21"/>
    <w:rsid w:val="00BD53D5"/>
    <w:rsid w:val="00BD6D84"/>
    <w:rsid w:val="00BD6FF1"/>
    <w:rsid w:val="00BD71F8"/>
    <w:rsid w:val="00BD7A1D"/>
    <w:rsid w:val="00BE0250"/>
    <w:rsid w:val="00BE0CCE"/>
    <w:rsid w:val="00BE4754"/>
    <w:rsid w:val="00BE582E"/>
    <w:rsid w:val="00BE62A9"/>
    <w:rsid w:val="00BE6CAC"/>
    <w:rsid w:val="00BE7108"/>
    <w:rsid w:val="00BF158E"/>
    <w:rsid w:val="00BF3A26"/>
    <w:rsid w:val="00BF3D42"/>
    <w:rsid w:val="00BF49D5"/>
    <w:rsid w:val="00BF7060"/>
    <w:rsid w:val="00C0191B"/>
    <w:rsid w:val="00C023B5"/>
    <w:rsid w:val="00C02A2A"/>
    <w:rsid w:val="00C03C7A"/>
    <w:rsid w:val="00C0426E"/>
    <w:rsid w:val="00C045AD"/>
    <w:rsid w:val="00C05DD5"/>
    <w:rsid w:val="00C067EC"/>
    <w:rsid w:val="00C06DC9"/>
    <w:rsid w:val="00C11AA8"/>
    <w:rsid w:val="00C12138"/>
    <w:rsid w:val="00C124E7"/>
    <w:rsid w:val="00C12CDF"/>
    <w:rsid w:val="00C147AE"/>
    <w:rsid w:val="00C14F69"/>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5AFB"/>
    <w:rsid w:val="00C36661"/>
    <w:rsid w:val="00C36A22"/>
    <w:rsid w:val="00C40B9B"/>
    <w:rsid w:val="00C4172B"/>
    <w:rsid w:val="00C4175C"/>
    <w:rsid w:val="00C41D2A"/>
    <w:rsid w:val="00C43081"/>
    <w:rsid w:val="00C4575C"/>
    <w:rsid w:val="00C45D35"/>
    <w:rsid w:val="00C47B5A"/>
    <w:rsid w:val="00C502B9"/>
    <w:rsid w:val="00C5060B"/>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EA0"/>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6607"/>
    <w:rsid w:val="00C77634"/>
    <w:rsid w:val="00C776EE"/>
    <w:rsid w:val="00C82948"/>
    <w:rsid w:val="00C83718"/>
    <w:rsid w:val="00C845B0"/>
    <w:rsid w:val="00C85211"/>
    <w:rsid w:val="00C85BF4"/>
    <w:rsid w:val="00C9081A"/>
    <w:rsid w:val="00C90D06"/>
    <w:rsid w:val="00C90F08"/>
    <w:rsid w:val="00C93EE9"/>
    <w:rsid w:val="00C942EE"/>
    <w:rsid w:val="00C967BC"/>
    <w:rsid w:val="00C97A42"/>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3FF9"/>
    <w:rsid w:val="00CC48F5"/>
    <w:rsid w:val="00CC580C"/>
    <w:rsid w:val="00CC6D85"/>
    <w:rsid w:val="00CC723C"/>
    <w:rsid w:val="00CD1DB0"/>
    <w:rsid w:val="00CD24A0"/>
    <w:rsid w:val="00CD29E6"/>
    <w:rsid w:val="00CD35FE"/>
    <w:rsid w:val="00CD36A3"/>
    <w:rsid w:val="00CD3821"/>
    <w:rsid w:val="00CD44EC"/>
    <w:rsid w:val="00CD6230"/>
    <w:rsid w:val="00CE0309"/>
    <w:rsid w:val="00CE14D0"/>
    <w:rsid w:val="00CE18C9"/>
    <w:rsid w:val="00CE18FE"/>
    <w:rsid w:val="00CE2CA8"/>
    <w:rsid w:val="00CE6348"/>
    <w:rsid w:val="00CE6EFA"/>
    <w:rsid w:val="00CE7D94"/>
    <w:rsid w:val="00CF3AC1"/>
    <w:rsid w:val="00CF3CC3"/>
    <w:rsid w:val="00CF53D6"/>
    <w:rsid w:val="00CF5740"/>
    <w:rsid w:val="00CF5919"/>
    <w:rsid w:val="00CF6359"/>
    <w:rsid w:val="00CF7BEF"/>
    <w:rsid w:val="00D0067B"/>
    <w:rsid w:val="00D0109C"/>
    <w:rsid w:val="00D03ADB"/>
    <w:rsid w:val="00D078E2"/>
    <w:rsid w:val="00D10207"/>
    <w:rsid w:val="00D11783"/>
    <w:rsid w:val="00D1274C"/>
    <w:rsid w:val="00D12F6C"/>
    <w:rsid w:val="00D134F4"/>
    <w:rsid w:val="00D14F8D"/>
    <w:rsid w:val="00D15DE5"/>
    <w:rsid w:val="00D16502"/>
    <w:rsid w:val="00D206B2"/>
    <w:rsid w:val="00D21515"/>
    <w:rsid w:val="00D220FF"/>
    <w:rsid w:val="00D23749"/>
    <w:rsid w:val="00D23C8D"/>
    <w:rsid w:val="00D24E93"/>
    <w:rsid w:val="00D25127"/>
    <w:rsid w:val="00D26816"/>
    <w:rsid w:val="00D27180"/>
    <w:rsid w:val="00D27884"/>
    <w:rsid w:val="00D347C4"/>
    <w:rsid w:val="00D34B88"/>
    <w:rsid w:val="00D35017"/>
    <w:rsid w:val="00D372E9"/>
    <w:rsid w:val="00D37CE4"/>
    <w:rsid w:val="00D37FBD"/>
    <w:rsid w:val="00D4141F"/>
    <w:rsid w:val="00D41820"/>
    <w:rsid w:val="00D427C7"/>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16C6"/>
    <w:rsid w:val="00D721E7"/>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618E"/>
    <w:rsid w:val="00DA673A"/>
    <w:rsid w:val="00DA6EB5"/>
    <w:rsid w:val="00DB04FC"/>
    <w:rsid w:val="00DB06F5"/>
    <w:rsid w:val="00DB0B48"/>
    <w:rsid w:val="00DB111A"/>
    <w:rsid w:val="00DB227A"/>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2E94"/>
    <w:rsid w:val="00DD35D6"/>
    <w:rsid w:val="00DD3670"/>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127A"/>
    <w:rsid w:val="00DF1B4B"/>
    <w:rsid w:val="00DF1CBB"/>
    <w:rsid w:val="00DF225D"/>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173F"/>
    <w:rsid w:val="00E31BF9"/>
    <w:rsid w:val="00E31D7E"/>
    <w:rsid w:val="00E32226"/>
    <w:rsid w:val="00E3316F"/>
    <w:rsid w:val="00E34E9C"/>
    <w:rsid w:val="00E359F9"/>
    <w:rsid w:val="00E40DB3"/>
    <w:rsid w:val="00E41674"/>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1CAE"/>
    <w:rsid w:val="00E738A1"/>
    <w:rsid w:val="00E73F33"/>
    <w:rsid w:val="00E74441"/>
    <w:rsid w:val="00E76203"/>
    <w:rsid w:val="00E77BB0"/>
    <w:rsid w:val="00E80599"/>
    <w:rsid w:val="00E80733"/>
    <w:rsid w:val="00E810CC"/>
    <w:rsid w:val="00E83DFF"/>
    <w:rsid w:val="00E8410F"/>
    <w:rsid w:val="00E84699"/>
    <w:rsid w:val="00E86372"/>
    <w:rsid w:val="00E86DDE"/>
    <w:rsid w:val="00E870D4"/>
    <w:rsid w:val="00E901A4"/>
    <w:rsid w:val="00E9025E"/>
    <w:rsid w:val="00E9044A"/>
    <w:rsid w:val="00E92C72"/>
    <w:rsid w:val="00E92DB3"/>
    <w:rsid w:val="00E939EC"/>
    <w:rsid w:val="00E93D44"/>
    <w:rsid w:val="00E94856"/>
    <w:rsid w:val="00E94978"/>
    <w:rsid w:val="00E949F6"/>
    <w:rsid w:val="00E94F83"/>
    <w:rsid w:val="00E958B0"/>
    <w:rsid w:val="00E95995"/>
    <w:rsid w:val="00E95C99"/>
    <w:rsid w:val="00E9669E"/>
    <w:rsid w:val="00E97D9E"/>
    <w:rsid w:val="00EA0330"/>
    <w:rsid w:val="00EA0BC8"/>
    <w:rsid w:val="00EA18DA"/>
    <w:rsid w:val="00EA262B"/>
    <w:rsid w:val="00EA380E"/>
    <w:rsid w:val="00EA47C7"/>
    <w:rsid w:val="00EA4ACC"/>
    <w:rsid w:val="00EA5312"/>
    <w:rsid w:val="00EA5BDF"/>
    <w:rsid w:val="00EA7756"/>
    <w:rsid w:val="00EB09D0"/>
    <w:rsid w:val="00EB1223"/>
    <w:rsid w:val="00EB26A0"/>
    <w:rsid w:val="00EB3645"/>
    <w:rsid w:val="00EB3943"/>
    <w:rsid w:val="00EB3DA4"/>
    <w:rsid w:val="00EB591D"/>
    <w:rsid w:val="00EB6F7C"/>
    <w:rsid w:val="00EB7F5D"/>
    <w:rsid w:val="00EC0FFB"/>
    <w:rsid w:val="00EC1E00"/>
    <w:rsid w:val="00EC2089"/>
    <w:rsid w:val="00EC667A"/>
    <w:rsid w:val="00EC6E5E"/>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D70AB"/>
    <w:rsid w:val="00EE15D4"/>
    <w:rsid w:val="00EE182A"/>
    <w:rsid w:val="00EE19F2"/>
    <w:rsid w:val="00EE2C5A"/>
    <w:rsid w:val="00EE6BF6"/>
    <w:rsid w:val="00EE6FFA"/>
    <w:rsid w:val="00EE729B"/>
    <w:rsid w:val="00EE74B2"/>
    <w:rsid w:val="00EE7F56"/>
    <w:rsid w:val="00EF003E"/>
    <w:rsid w:val="00EF0B44"/>
    <w:rsid w:val="00EF1DCD"/>
    <w:rsid w:val="00EF1F87"/>
    <w:rsid w:val="00EF41DE"/>
    <w:rsid w:val="00EF483C"/>
    <w:rsid w:val="00EF5004"/>
    <w:rsid w:val="00EF6B8A"/>
    <w:rsid w:val="00EF7C44"/>
    <w:rsid w:val="00F00047"/>
    <w:rsid w:val="00F00789"/>
    <w:rsid w:val="00F012FD"/>
    <w:rsid w:val="00F016A9"/>
    <w:rsid w:val="00F0203E"/>
    <w:rsid w:val="00F0330A"/>
    <w:rsid w:val="00F060ED"/>
    <w:rsid w:val="00F06309"/>
    <w:rsid w:val="00F06CAE"/>
    <w:rsid w:val="00F06CB4"/>
    <w:rsid w:val="00F077CA"/>
    <w:rsid w:val="00F07F24"/>
    <w:rsid w:val="00F10AB1"/>
    <w:rsid w:val="00F111CE"/>
    <w:rsid w:val="00F118D3"/>
    <w:rsid w:val="00F1192A"/>
    <w:rsid w:val="00F12017"/>
    <w:rsid w:val="00F12EEA"/>
    <w:rsid w:val="00F14476"/>
    <w:rsid w:val="00F149E4"/>
    <w:rsid w:val="00F15864"/>
    <w:rsid w:val="00F1605F"/>
    <w:rsid w:val="00F168F3"/>
    <w:rsid w:val="00F171D6"/>
    <w:rsid w:val="00F17937"/>
    <w:rsid w:val="00F17BAD"/>
    <w:rsid w:val="00F17FDD"/>
    <w:rsid w:val="00F20A9C"/>
    <w:rsid w:val="00F21DAD"/>
    <w:rsid w:val="00F221B5"/>
    <w:rsid w:val="00F239DE"/>
    <w:rsid w:val="00F247ED"/>
    <w:rsid w:val="00F248A3"/>
    <w:rsid w:val="00F25C5B"/>
    <w:rsid w:val="00F260EC"/>
    <w:rsid w:val="00F278A6"/>
    <w:rsid w:val="00F31C06"/>
    <w:rsid w:val="00F36FBE"/>
    <w:rsid w:val="00F40FA9"/>
    <w:rsid w:val="00F4105E"/>
    <w:rsid w:val="00F418BB"/>
    <w:rsid w:val="00F428F4"/>
    <w:rsid w:val="00F42DD2"/>
    <w:rsid w:val="00F44CC0"/>
    <w:rsid w:val="00F45651"/>
    <w:rsid w:val="00F47D23"/>
    <w:rsid w:val="00F502B8"/>
    <w:rsid w:val="00F50D42"/>
    <w:rsid w:val="00F51227"/>
    <w:rsid w:val="00F51D5E"/>
    <w:rsid w:val="00F52A06"/>
    <w:rsid w:val="00F52B38"/>
    <w:rsid w:val="00F55AF3"/>
    <w:rsid w:val="00F56223"/>
    <w:rsid w:val="00F62304"/>
    <w:rsid w:val="00F62B98"/>
    <w:rsid w:val="00F650C5"/>
    <w:rsid w:val="00F6572C"/>
    <w:rsid w:val="00F6599E"/>
    <w:rsid w:val="00F65B55"/>
    <w:rsid w:val="00F704FB"/>
    <w:rsid w:val="00F7184D"/>
    <w:rsid w:val="00F720DE"/>
    <w:rsid w:val="00F72C55"/>
    <w:rsid w:val="00F72D70"/>
    <w:rsid w:val="00F72E51"/>
    <w:rsid w:val="00F73C3C"/>
    <w:rsid w:val="00F740B2"/>
    <w:rsid w:val="00F74EC5"/>
    <w:rsid w:val="00F75029"/>
    <w:rsid w:val="00F75284"/>
    <w:rsid w:val="00F77C36"/>
    <w:rsid w:val="00F80CE6"/>
    <w:rsid w:val="00F811CD"/>
    <w:rsid w:val="00F815AC"/>
    <w:rsid w:val="00F81C9A"/>
    <w:rsid w:val="00F82B3B"/>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6FD"/>
    <w:rsid w:val="00FA2C5C"/>
    <w:rsid w:val="00FA38B6"/>
    <w:rsid w:val="00FA4A80"/>
    <w:rsid w:val="00FA65F9"/>
    <w:rsid w:val="00FA6BBC"/>
    <w:rsid w:val="00FA761F"/>
    <w:rsid w:val="00FA7B41"/>
    <w:rsid w:val="00FB0E93"/>
    <w:rsid w:val="00FB2666"/>
    <w:rsid w:val="00FB39B2"/>
    <w:rsid w:val="00FB3E12"/>
    <w:rsid w:val="00FB448C"/>
    <w:rsid w:val="00FB4DBF"/>
    <w:rsid w:val="00FC01CD"/>
    <w:rsid w:val="00FC1960"/>
    <w:rsid w:val="00FC1DF8"/>
    <w:rsid w:val="00FC1E70"/>
    <w:rsid w:val="00FC2345"/>
    <w:rsid w:val="00FC4EAA"/>
    <w:rsid w:val="00FC7579"/>
    <w:rsid w:val="00FD0D69"/>
    <w:rsid w:val="00FD1807"/>
    <w:rsid w:val="00FD1922"/>
    <w:rsid w:val="00FD1957"/>
    <w:rsid w:val="00FD4845"/>
    <w:rsid w:val="00FD5A29"/>
    <w:rsid w:val="00FD5C7E"/>
    <w:rsid w:val="00FD61E3"/>
    <w:rsid w:val="00FD7811"/>
    <w:rsid w:val="00FE00F9"/>
    <w:rsid w:val="00FE0327"/>
    <w:rsid w:val="00FE1326"/>
    <w:rsid w:val="00FE1422"/>
    <w:rsid w:val="00FE2CA6"/>
    <w:rsid w:val="00FE2D4C"/>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E90377-3506-4D03-89CC-DE6A12FD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Subtitle" w:uiPriority="11"/>
    <w:lsdException w:name="Hyperlink" w:uiPriority="99"/>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1783"/>
    <w:pPr>
      <w:spacing w:after="200"/>
      <w:jc w:val="both"/>
    </w:pPr>
    <w:rPr>
      <w:snapToGrid w:val="0"/>
      <w:sz w:val="22"/>
      <w:lang w:eastAsia="en-US"/>
    </w:rPr>
  </w:style>
  <w:style w:type="paragraph" w:styleId="1">
    <w:name w:val="heading 1"/>
    <w:basedOn w:val="a0"/>
    <w:next w:val="a0"/>
    <w:pPr>
      <w:keepNext/>
      <w:spacing w:before="240" w:after="60"/>
      <w:outlineLvl w:val="0"/>
    </w:pPr>
    <w:rPr>
      <w:rFonts w:ascii="Arial" w:hAnsi="Arial"/>
      <w:b/>
      <w:kern w:val="28"/>
      <w:sz w:val="28"/>
    </w:rPr>
  </w:style>
  <w:style w:type="paragraph" w:styleId="20">
    <w:name w:val="heading 2"/>
    <w:basedOn w:val="a0"/>
    <w:next w:val="a0"/>
    <w:pPr>
      <w:keepNext/>
      <w:keepLines/>
      <w:numPr>
        <w:ilvl w:val="1"/>
        <w:numId w:val="8"/>
      </w:numPr>
      <w:tabs>
        <w:tab w:val="num" w:pos="283"/>
      </w:tabs>
      <w:spacing w:after="120"/>
      <w:ind w:left="283" w:hanging="283"/>
      <w:outlineLvl w:val="1"/>
    </w:pPr>
    <w:rPr>
      <w:b/>
    </w:rPr>
  </w:style>
  <w:style w:type="paragraph" w:styleId="3">
    <w:name w:val="heading 3"/>
    <w:basedOn w:val="a0"/>
    <w:next w:val="a0"/>
    <w:pPr>
      <w:keepNext/>
      <w:numPr>
        <w:ilvl w:val="2"/>
        <w:numId w:val="8"/>
      </w:numPr>
      <w:tabs>
        <w:tab w:val="num" w:pos="283"/>
      </w:tabs>
      <w:spacing w:before="240" w:after="60"/>
      <w:ind w:left="283" w:hanging="283"/>
      <w:outlineLvl w:val="2"/>
    </w:pPr>
    <w:rPr>
      <w:b/>
    </w:rPr>
  </w:style>
  <w:style w:type="paragraph" w:styleId="4">
    <w:name w:val="heading 4"/>
    <w:basedOn w:val="a0"/>
    <w:next w:val="Text4"/>
    <w:link w:val="40"/>
    <w:pPr>
      <w:keepNext/>
      <w:spacing w:after="240"/>
      <w:ind w:left="1984" w:hanging="782"/>
      <w:outlineLvl w:val="3"/>
    </w:pPr>
  </w:style>
  <w:style w:type="paragraph" w:styleId="5">
    <w:name w:val="heading 5"/>
    <w:basedOn w:val="a0"/>
    <w:next w:val="a0"/>
    <w:pPr>
      <w:numPr>
        <w:ilvl w:val="1"/>
        <w:numId w:val="7"/>
      </w:numPr>
      <w:tabs>
        <w:tab w:val="num" w:pos="0"/>
      </w:tabs>
      <w:spacing w:before="240" w:after="60"/>
      <w:outlineLvl w:val="4"/>
    </w:pPr>
    <w:rPr>
      <w:rFonts w:ascii="Arial" w:hAnsi="Arial"/>
    </w:rPr>
  </w:style>
  <w:style w:type="paragraph" w:styleId="6">
    <w:name w:val="heading 6"/>
    <w:basedOn w:val="a0"/>
    <w:next w:val="a0"/>
    <w:pPr>
      <w:numPr>
        <w:ilvl w:val="2"/>
        <w:numId w:val="7"/>
      </w:numPr>
      <w:tabs>
        <w:tab w:val="num" w:pos="0"/>
      </w:tabs>
      <w:spacing w:before="240" w:after="60"/>
      <w:outlineLvl w:val="5"/>
    </w:pPr>
    <w:rPr>
      <w:rFonts w:ascii="Arial" w:hAnsi="Arial"/>
      <w:i/>
    </w:rPr>
  </w:style>
  <w:style w:type="paragraph" w:styleId="7">
    <w:name w:val="heading 7"/>
    <w:basedOn w:val="a0"/>
    <w:next w:val="a0"/>
    <w:pPr>
      <w:numPr>
        <w:ilvl w:val="6"/>
        <w:numId w:val="7"/>
      </w:numPr>
      <w:tabs>
        <w:tab w:val="num" w:pos="0"/>
      </w:tabs>
      <w:spacing w:before="240" w:after="60"/>
      <w:outlineLvl w:val="6"/>
    </w:pPr>
    <w:rPr>
      <w:rFonts w:ascii="Arial" w:hAnsi="Arial"/>
      <w:sz w:val="20"/>
    </w:rPr>
  </w:style>
  <w:style w:type="paragraph" w:styleId="8">
    <w:name w:val="heading 8"/>
    <w:basedOn w:val="a0"/>
    <w:next w:val="a0"/>
    <w:pPr>
      <w:numPr>
        <w:ilvl w:val="7"/>
        <w:numId w:val="7"/>
      </w:numPr>
      <w:tabs>
        <w:tab w:val="num" w:pos="0"/>
      </w:tabs>
      <w:spacing w:before="240" w:after="60"/>
      <w:outlineLvl w:val="7"/>
    </w:pPr>
    <w:rPr>
      <w:rFonts w:ascii="Arial" w:hAnsi="Arial"/>
      <w:i/>
      <w:sz w:val="20"/>
    </w:rPr>
  </w:style>
  <w:style w:type="paragraph" w:styleId="9">
    <w:name w:val="heading 9"/>
    <w:basedOn w:val="a0"/>
    <w:next w:val="a0"/>
    <w:pPr>
      <w:numPr>
        <w:ilvl w:val="8"/>
        <w:numId w:val="7"/>
      </w:numPr>
      <w:tabs>
        <w:tab w:val="num" w:pos="0"/>
      </w:tabs>
      <w:spacing w:before="240" w:after="6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ext4">
    <w:name w:val="Text 4"/>
    <w:basedOn w:val="a0"/>
    <w:pPr>
      <w:tabs>
        <w:tab w:val="left" w:pos="2302"/>
      </w:tabs>
      <w:spacing w:after="240"/>
      <w:ind w:left="1202"/>
    </w:pPr>
  </w:style>
  <w:style w:type="character" w:customStyle="1" w:styleId="40">
    <w:name w:val="כותרת 4 תו"/>
    <w:link w:val="4"/>
    <w:rsid w:val="008109C1"/>
    <w:rPr>
      <w:snapToGrid w:val="0"/>
      <w:sz w:val="24"/>
      <w:lang w:eastAsia="en-US"/>
    </w:rPr>
  </w:style>
  <w:style w:type="paragraph" w:customStyle="1" w:styleId="Application1">
    <w:name w:val="Application1"/>
    <w:basedOn w:val="1"/>
    <w:next w:val="Application2"/>
    <w:pPr>
      <w:pageBreakBefore/>
      <w:widowControl w:val="0"/>
      <w:numPr>
        <w:numId w:val="3"/>
      </w:numPr>
      <w:spacing w:before="0" w:after="480"/>
    </w:pPr>
    <w:rPr>
      <w:caps/>
    </w:rPr>
  </w:style>
  <w:style w:type="paragraph" w:customStyle="1" w:styleId="Application2">
    <w:name w:val="Application2"/>
    <w:basedOn w:val="a0"/>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a0"/>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4"/>
    <w:next w:val="Text4"/>
    <w:pPr>
      <w:keepNext w:val="0"/>
    </w:pPr>
  </w:style>
  <w:style w:type="paragraph" w:styleId="a4">
    <w:name w:val="Title"/>
    <w:basedOn w:val="a0"/>
    <w:next w:val="SubTitle1"/>
    <w:pPr>
      <w:spacing w:after="480"/>
      <w:jc w:val="center"/>
    </w:pPr>
    <w:rPr>
      <w:b/>
      <w:sz w:val="48"/>
    </w:rPr>
  </w:style>
  <w:style w:type="paragraph" w:customStyle="1" w:styleId="SubTitle1">
    <w:name w:val="SubTitle 1"/>
    <w:basedOn w:val="a0"/>
    <w:next w:val="SubTitle2"/>
    <w:pPr>
      <w:spacing w:after="240"/>
      <w:jc w:val="center"/>
    </w:pPr>
    <w:rPr>
      <w:b/>
      <w:sz w:val="40"/>
    </w:rPr>
  </w:style>
  <w:style w:type="paragraph" w:customStyle="1" w:styleId="SubTitle2">
    <w:name w:val="SubTitle 2"/>
    <w:basedOn w:val="a0"/>
    <w:pPr>
      <w:spacing w:after="240"/>
      <w:jc w:val="center"/>
    </w:pPr>
    <w:rPr>
      <w:b/>
      <w:sz w:val="32"/>
    </w:rPr>
  </w:style>
  <w:style w:type="paragraph" w:customStyle="1" w:styleId="PartTitle">
    <w:name w:val="PartTitle"/>
    <w:basedOn w:val="a0"/>
    <w:next w:val="a0"/>
    <w:pPr>
      <w:keepNext/>
      <w:pageBreakBefore/>
      <w:spacing w:after="480"/>
      <w:jc w:val="center"/>
    </w:pPr>
    <w:rPr>
      <w:b/>
      <w:sz w:val="36"/>
    </w:rPr>
  </w:style>
  <w:style w:type="paragraph" w:customStyle="1" w:styleId="SectionTitle">
    <w:name w:val="SectionTitle"/>
    <w:basedOn w:val="a0"/>
    <w:next w:val="1"/>
    <w:pPr>
      <w:keepNext/>
      <w:spacing w:after="480"/>
      <w:jc w:val="center"/>
    </w:pPr>
    <w:rPr>
      <w:b/>
      <w:smallCaps/>
      <w:sz w:val="28"/>
    </w:rPr>
  </w:style>
  <w:style w:type="paragraph" w:styleId="TOC1">
    <w:name w:val="toc 1"/>
    <w:basedOn w:val="a0"/>
    <w:next w:val="a0"/>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a0"/>
    <w:next w:val="a0"/>
    <w:autoRedefine/>
    <w:uiPriority w:val="39"/>
    <w:rsid w:val="00EF1DCD"/>
    <w:pPr>
      <w:tabs>
        <w:tab w:val="left" w:pos="709"/>
        <w:tab w:val="right" w:leader="dot" w:pos="9628"/>
      </w:tabs>
      <w:spacing w:after="80"/>
      <w:ind w:left="709" w:hanging="425"/>
    </w:pPr>
  </w:style>
  <w:style w:type="paragraph" w:styleId="TOC3">
    <w:name w:val="toc 3"/>
    <w:basedOn w:val="a0"/>
    <w:next w:val="a0"/>
    <w:autoRedefine/>
    <w:uiPriority w:val="39"/>
    <w:rsid w:val="00EF1DCD"/>
    <w:pPr>
      <w:tabs>
        <w:tab w:val="left" w:pos="1134"/>
        <w:tab w:val="right" w:leader="dot" w:pos="9628"/>
      </w:tabs>
      <w:spacing w:after="40"/>
      <w:ind w:left="1701" w:hanging="1134"/>
    </w:pPr>
    <w:rPr>
      <w:noProof/>
      <w:sz w:val="20"/>
    </w:rPr>
  </w:style>
  <w:style w:type="paragraph" w:styleId="TOC4">
    <w:name w:val="toc 4"/>
    <w:basedOn w:val="a0"/>
    <w:next w:val="a0"/>
    <w:autoRedefine/>
    <w:semiHidden/>
    <w:pPr>
      <w:ind w:left="480"/>
    </w:pPr>
    <w:rPr>
      <w:sz w:val="20"/>
    </w:rPr>
  </w:style>
  <w:style w:type="paragraph" w:customStyle="1" w:styleId="AnnexTOC">
    <w:name w:val="AnnexTOC"/>
    <w:basedOn w:val="TOC1"/>
  </w:style>
  <w:style w:type="paragraph" w:customStyle="1" w:styleId="Guidelines1">
    <w:name w:val="Guidelines 1"/>
    <w:basedOn w:val="a0"/>
    <w:autoRedefine/>
    <w:qFormat/>
    <w:rsid w:val="00D97BE7"/>
    <w:pPr>
      <w:widowControl w:val="0"/>
      <w:numPr>
        <w:numId w:val="13"/>
      </w:numPr>
      <w:spacing w:after="360"/>
    </w:pPr>
    <w:rPr>
      <w:rFonts w:ascii="Times New Roman Bold" w:hAnsi="Times New Roman Bold"/>
      <w:b/>
      <w:caps/>
    </w:rPr>
  </w:style>
  <w:style w:type="paragraph" w:customStyle="1" w:styleId="Guidelines2">
    <w:name w:val="Guidelines 2"/>
    <w:basedOn w:val="a0"/>
    <w:next w:val="a0"/>
    <w:autoRedefine/>
    <w:qFormat/>
    <w:rsid w:val="004741A1"/>
    <w:pPr>
      <w:numPr>
        <w:ilvl w:val="1"/>
        <w:numId w:val="13"/>
      </w:numPr>
      <w:spacing w:before="240" w:after="120"/>
      <w:outlineLvl w:val="0"/>
    </w:pPr>
    <w:rPr>
      <w:rFonts w:ascii="Times New Roman Bold" w:hAnsi="Times New Roman Bold"/>
      <w:b/>
      <w:smallCaps/>
      <w:sz w:val="24"/>
    </w:rPr>
  </w:style>
  <w:style w:type="paragraph" w:customStyle="1" w:styleId="Text1">
    <w:name w:val="Text 1"/>
    <w:basedOn w:val="a0"/>
    <w:pPr>
      <w:spacing w:after="240"/>
      <w:ind w:left="482"/>
    </w:pPr>
  </w:style>
  <w:style w:type="paragraph" w:customStyle="1" w:styleId="Guidelines3">
    <w:name w:val="Guidelines 3"/>
    <w:basedOn w:val="a0"/>
    <w:next w:val="a0"/>
    <w:autoRedefine/>
    <w:qFormat/>
    <w:rsid w:val="004B7BC2"/>
    <w:pPr>
      <w:keepNext/>
      <w:numPr>
        <w:ilvl w:val="2"/>
        <w:numId w:val="1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a0"/>
    <w:pPr>
      <w:tabs>
        <w:tab w:val="left" w:pos="2161"/>
      </w:tabs>
      <w:spacing w:after="240"/>
      <w:ind w:left="1202"/>
    </w:pPr>
  </w:style>
  <w:style w:type="paragraph" w:customStyle="1" w:styleId="p3">
    <w:name w:val="p3"/>
    <w:basedOn w:val="a0"/>
    <w:pPr>
      <w:widowControl w:val="0"/>
      <w:tabs>
        <w:tab w:val="left" w:pos="1420"/>
      </w:tabs>
      <w:spacing w:line="260" w:lineRule="atLeast"/>
      <w:ind w:left="360"/>
    </w:pPr>
  </w:style>
  <w:style w:type="paragraph" w:customStyle="1" w:styleId="Guidelines4">
    <w:name w:val="Guidelines 4"/>
    <w:basedOn w:val="a0"/>
    <w:next w:val="a0"/>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a0"/>
    <w:next w:val="a0"/>
    <w:pPr>
      <w:spacing w:after="240"/>
      <w:ind w:left="5103"/>
    </w:pPr>
    <w:rPr>
      <w:sz w:val="20"/>
    </w:rPr>
  </w:style>
  <w:style w:type="paragraph" w:styleId="a5">
    <w:name w:val="footnote text"/>
    <w:aliases w:val="single space,ft,Footnote Text Char Char,Testo nota a piè di pagina Carattere,Footnote Text Char Char Char Char,Footnote Text Char Char Char,Fußnotentextf,Char,Fodnotetekst Tegn,Funotentext Char Char2,Char Char1 Char2"/>
    <w:basedOn w:val="a0"/>
    <w:link w:val="a6"/>
    <w:autoRedefine/>
    <w:uiPriority w:val="99"/>
    <w:qFormat/>
    <w:rsid w:val="00D11783"/>
    <w:pPr>
      <w:spacing w:after="60"/>
    </w:pPr>
    <w:rPr>
      <w:sz w:val="20"/>
    </w:rPr>
  </w:style>
  <w:style w:type="character" w:customStyle="1" w:styleId="a6">
    <w:name w:val="טקסט הערת שוליים תו"/>
    <w:aliases w:val="single space תו,ft תו,Footnote Text Char Char תו,Testo nota a piè di pagina Carattere תו,Footnote Text Char Char Char Char תו,Footnote Text Char Char Char תו,Fußnotentextf תו,Char תו,Fodnotetekst Tegn תו,Funotentext Char Char2 תו"/>
    <w:link w:val="a5"/>
    <w:uiPriority w:val="99"/>
    <w:rsid w:val="00D11783"/>
    <w:rPr>
      <w:snapToGrid w:val="0"/>
      <w:lang w:eastAsia="en-US"/>
    </w:rPr>
  </w:style>
  <w:style w:type="paragraph" w:styleId="a7">
    <w:name w:val="header"/>
    <w:basedOn w:val="a0"/>
    <w:pPr>
      <w:tabs>
        <w:tab w:val="center" w:pos="4153"/>
        <w:tab w:val="right" w:pos="8306"/>
      </w:tabs>
      <w:spacing w:after="240"/>
    </w:pPr>
  </w:style>
  <w:style w:type="character" w:styleId="a8">
    <w:name w:val="page number"/>
    <w:basedOn w:val="a1"/>
  </w:style>
  <w:style w:type="paragraph" w:styleId="a9">
    <w:name w:val="footer"/>
    <w:basedOn w:val="a0"/>
    <w:link w:val="aa"/>
    <w:uiPriority w:val="99"/>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a0"/>
    <w:pPr>
      <w:tabs>
        <w:tab w:val="left" w:pos="2302"/>
      </w:tabs>
      <w:spacing w:after="240"/>
      <w:ind w:left="1202"/>
    </w:pPr>
  </w:style>
  <w:style w:type="paragraph" w:styleId="ab">
    <w:name w:val="Body Text Indent"/>
    <w:basedOn w:val="a0"/>
    <w:link w:val="ac"/>
  </w:style>
  <w:style w:type="character" w:customStyle="1" w:styleId="ac">
    <w:name w:val="כניסה בגוף טקסט תו"/>
    <w:link w:val="ab"/>
    <w:rsid w:val="0090351E"/>
    <w:rPr>
      <w:snapToGrid w:val="0"/>
      <w:sz w:val="24"/>
      <w:lang w:eastAsia="en-US"/>
    </w:rPr>
  </w:style>
  <w:style w:type="paragraph" w:styleId="TOC5">
    <w:name w:val="toc 5"/>
    <w:basedOn w:val="a0"/>
    <w:next w:val="a0"/>
    <w:autoRedefine/>
    <w:semiHidden/>
    <w:pPr>
      <w:ind w:left="720"/>
    </w:pPr>
    <w:rPr>
      <w:sz w:val="20"/>
    </w:rPr>
  </w:style>
  <w:style w:type="paragraph" w:styleId="TOC6">
    <w:name w:val="toc 6"/>
    <w:basedOn w:val="a0"/>
    <w:next w:val="a0"/>
    <w:autoRedefine/>
    <w:semiHidden/>
    <w:pPr>
      <w:ind w:left="960"/>
    </w:pPr>
    <w:rPr>
      <w:sz w:val="20"/>
    </w:rPr>
  </w:style>
  <w:style w:type="paragraph" w:styleId="TOC7">
    <w:name w:val="toc 7"/>
    <w:basedOn w:val="a0"/>
    <w:next w:val="a0"/>
    <w:autoRedefine/>
    <w:semiHidden/>
    <w:pPr>
      <w:ind w:left="1200"/>
    </w:pPr>
    <w:rPr>
      <w:sz w:val="20"/>
    </w:rPr>
  </w:style>
  <w:style w:type="paragraph" w:styleId="TOC8">
    <w:name w:val="toc 8"/>
    <w:basedOn w:val="a0"/>
    <w:next w:val="a0"/>
    <w:autoRedefine/>
    <w:semiHidden/>
    <w:pPr>
      <w:ind w:left="1440"/>
    </w:pPr>
    <w:rPr>
      <w:sz w:val="20"/>
    </w:rPr>
  </w:style>
  <w:style w:type="paragraph" w:styleId="TOC9">
    <w:name w:val="toc 9"/>
    <w:basedOn w:val="a0"/>
    <w:next w:val="a0"/>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20"/>
    <w:next w:val="Text2"/>
    <w:pPr>
      <w:keepNext w:val="0"/>
      <w:keepLines w:val="0"/>
      <w:numPr>
        <w:numId w:val="1"/>
      </w:numPr>
      <w:tabs>
        <w:tab w:val="num" w:pos="360"/>
      </w:tabs>
      <w:spacing w:after="240"/>
      <w:ind w:left="360"/>
      <w:outlineLvl w:val="9"/>
    </w:pPr>
    <w:rPr>
      <w:b w:val="0"/>
      <w:lang w:val="fr-FR"/>
    </w:rPr>
  </w:style>
  <w:style w:type="paragraph" w:styleId="50">
    <w:name w:val="List Bullet 5"/>
    <w:basedOn w:val="a0"/>
    <w:autoRedefine/>
    <w:pPr>
      <w:numPr>
        <w:numId w:val="2"/>
      </w:numPr>
      <w:spacing w:after="240"/>
    </w:pPr>
    <w:rPr>
      <w:lang w:val="fr-FR"/>
    </w:rPr>
  </w:style>
  <w:style w:type="paragraph" w:styleId="a">
    <w:name w:val="List Bullet"/>
    <w:basedOn w:val="a0"/>
    <w:link w:val="ad"/>
    <w:rsid w:val="00684AFF"/>
    <w:pPr>
      <w:numPr>
        <w:numId w:val="9"/>
      </w:numPr>
      <w:spacing w:after="240"/>
    </w:pPr>
    <w:rPr>
      <w:snapToGrid/>
      <w:lang w:eastAsia="en-GB"/>
    </w:rPr>
  </w:style>
  <w:style w:type="character" w:customStyle="1" w:styleId="ad">
    <w:name w:val="רשימה מתובלטת תו"/>
    <w:link w:val="a"/>
    <w:rsid w:val="00CF6359"/>
    <w:rPr>
      <w:sz w:val="22"/>
    </w:rPr>
  </w:style>
  <w:style w:type="paragraph" w:customStyle="1" w:styleId="TOC30">
    <w:name w:val="TOC3"/>
    <w:basedOn w:val="a0"/>
    <w:rsid w:val="00D67AFE"/>
  </w:style>
  <w:style w:type="paragraph" w:customStyle="1" w:styleId="ListDash2">
    <w:name w:val="List Dash 2"/>
    <w:basedOn w:val="Text2"/>
    <w:rsid w:val="00A636FE"/>
    <w:pPr>
      <w:numPr>
        <w:numId w:val="10"/>
      </w:numPr>
      <w:tabs>
        <w:tab w:val="clear" w:pos="2161"/>
      </w:tabs>
    </w:pPr>
    <w:rPr>
      <w:snapToGrid/>
    </w:rPr>
  </w:style>
  <w:style w:type="table" w:styleId="ae">
    <w:name w:val="Table Grid"/>
    <w:basedOn w:val="a2"/>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0"/>
    <w:link w:val="af0"/>
    <w:uiPriority w:val="11"/>
    <w:rsid w:val="006A7719"/>
    <w:pPr>
      <w:spacing w:before="120" w:after="120"/>
      <w:jc w:val="center"/>
    </w:pPr>
    <w:rPr>
      <w:rFonts w:ascii="Arial" w:hAnsi="Arial"/>
      <w:b/>
      <w:sz w:val="28"/>
      <w:lang w:val="fr-BE"/>
    </w:rPr>
  </w:style>
  <w:style w:type="paragraph" w:customStyle="1" w:styleId="StyleListBullet11pt">
    <w:name w:val="Style List Bullet + 11 pt"/>
    <w:basedOn w:val="a"/>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af1">
    <w:name w:val="annotation subject"/>
    <w:basedOn w:val="a0"/>
    <w:semiHidden/>
    <w:rsid w:val="0090351E"/>
    <w:rPr>
      <w:b/>
      <w:bCs/>
      <w:sz w:val="20"/>
    </w:rPr>
  </w:style>
  <w:style w:type="character" w:customStyle="1" w:styleId="Style11pt">
    <w:name w:val="Style 11 pt"/>
    <w:rsid w:val="00B41A93"/>
    <w:rPr>
      <w:sz w:val="22"/>
    </w:rPr>
  </w:style>
  <w:style w:type="paragraph" w:customStyle="1" w:styleId="ListDash">
    <w:name w:val="List Dash"/>
    <w:basedOn w:val="a0"/>
    <w:rsid w:val="00B17D2F"/>
    <w:pPr>
      <w:numPr>
        <w:numId w:val="11"/>
      </w:numPr>
      <w:spacing w:after="240"/>
    </w:pPr>
    <w:rPr>
      <w:snapToGrid/>
      <w:lang w:val="fr-FR"/>
    </w:rPr>
  </w:style>
  <w:style w:type="paragraph" w:customStyle="1" w:styleId="Style11ptJustifiedAfter6pt">
    <w:name w:val="Style 11 pt Justified After:  6 pt"/>
    <w:basedOn w:val="a0"/>
    <w:rsid w:val="0022128C"/>
    <w:pPr>
      <w:spacing w:after="120"/>
    </w:pPr>
    <w:rPr>
      <w:snapToGrid/>
      <w:szCs w:val="22"/>
      <w:lang w:eastAsia="en-GB"/>
    </w:rPr>
  </w:style>
  <w:style w:type="paragraph" w:styleId="2">
    <w:name w:val="List Number 2"/>
    <w:basedOn w:val="Text2"/>
    <w:rsid w:val="0022128C"/>
    <w:pPr>
      <w:numPr>
        <w:numId w:val="12"/>
      </w:numPr>
      <w:tabs>
        <w:tab w:val="clear" w:pos="2161"/>
      </w:tabs>
    </w:pPr>
    <w:rPr>
      <w:snapToGrid/>
    </w:rPr>
  </w:style>
  <w:style w:type="paragraph" w:customStyle="1" w:styleId="ListNumber2Level2">
    <w:name w:val="List Number 2 (Level 2)"/>
    <w:basedOn w:val="Text2"/>
    <w:rsid w:val="0022128C"/>
    <w:pPr>
      <w:numPr>
        <w:ilvl w:val="1"/>
        <w:numId w:val="12"/>
      </w:numPr>
      <w:tabs>
        <w:tab w:val="clear" w:pos="2161"/>
      </w:tabs>
    </w:pPr>
    <w:rPr>
      <w:snapToGrid/>
    </w:rPr>
  </w:style>
  <w:style w:type="paragraph" w:customStyle="1" w:styleId="ListNumber2Level3">
    <w:name w:val="List Number 2 (Level 3)"/>
    <w:basedOn w:val="Text2"/>
    <w:rsid w:val="0022128C"/>
    <w:pPr>
      <w:numPr>
        <w:ilvl w:val="2"/>
        <w:numId w:val="12"/>
      </w:numPr>
      <w:tabs>
        <w:tab w:val="clear" w:pos="2161"/>
      </w:tabs>
    </w:pPr>
    <w:rPr>
      <w:snapToGrid/>
    </w:rPr>
  </w:style>
  <w:style w:type="paragraph" w:customStyle="1" w:styleId="ListNumber2Level4">
    <w:name w:val="List Number 2 (Level 4)"/>
    <w:basedOn w:val="Text2"/>
    <w:rsid w:val="0022128C"/>
    <w:pPr>
      <w:numPr>
        <w:ilvl w:val="3"/>
        <w:numId w:val="12"/>
      </w:numPr>
      <w:tabs>
        <w:tab w:val="clear" w:pos="2161"/>
      </w:tabs>
    </w:pPr>
    <w:rPr>
      <w:snapToGrid/>
    </w:rPr>
  </w:style>
  <w:style w:type="character" w:styleId="af2">
    <w:name w:val="Strong"/>
    <w:rsid w:val="005D1CFA"/>
    <w:rPr>
      <w:b/>
      <w:bCs/>
    </w:rPr>
  </w:style>
  <w:style w:type="paragraph" w:styleId="af3">
    <w:name w:val="Revision"/>
    <w:hidden/>
    <w:uiPriority w:val="99"/>
    <w:semiHidden/>
    <w:rsid w:val="008B4F07"/>
    <w:rPr>
      <w:snapToGrid w:val="0"/>
      <w:sz w:val="24"/>
      <w:lang w:eastAsia="en-US"/>
    </w:rPr>
  </w:style>
  <w:style w:type="paragraph" w:styleId="af4">
    <w:name w:val="List Paragraph"/>
    <w:basedOn w:val="a0"/>
    <w:uiPriority w:val="34"/>
    <w:rsid w:val="00495849"/>
    <w:pPr>
      <w:ind w:left="708"/>
    </w:pPr>
  </w:style>
  <w:style w:type="paragraph" w:styleId="af5">
    <w:name w:val="toa heading"/>
    <w:basedOn w:val="a0"/>
    <w:next w:val="a0"/>
    <w:rsid w:val="0021362B"/>
    <w:pPr>
      <w:spacing w:before="120"/>
    </w:pPr>
    <w:rPr>
      <w:rFonts w:ascii="Cambria" w:hAnsi="Cambria"/>
      <w:b/>
      <w:bCs/>
      <w:szCs w:val="24"/>
    </w:rPr>
  </w:style>
  <w:style w:type="character" w:styleId="af6">
    <w:name w:val="footnote reference"/>
    <w:aliases w:val="BVI fnr,ftref,16 Point,Superscript 6 Point,ftref Char,BVI fnr Char,BVI fnr Car Char,Char Char Car Char,Char Char Char Char Char Char Char Char Char Char Char Char Char Char Char Char Char Char Char Char Car Char,16 Point Char"/>
    <w:link w:val="Char2"/>
    <w:uiPriority w:val="99"/>
    <w:qFormat/>
    <w:rsid w:val="004D357E"/>
    <w:rPr>
      <w:sz w:val="24"/>
      <w:vertAlign w:val="superscript"/>
    </w:rPr>
  </w:style>
  <w:style w:type="paragraph" w:styleId="af7">
    <w:name w:val="Balloon Text"/>
    <w:basedOn w:val="a0"/>
    <w:link w:val="af8"/>
    <w:rsid w:val="00AF32BC"/>
    <w:pPr>
      <w:spacing w:after="0"/>
    </w:pPr>
    <w:rPr>
      <w:rFonts w:ascii="Tahoma" w:hAnsi="Tahoma" w:cs="Tahoma"/>
      <w:sz w:val="16"/>
      <w:szCs w:val="16"/>
    </w:rPr>
  </w:style>
  <w:style w:type="character" w:customStyle="1" w:styleId="af8">
    <w:name w:val="טקסט בלונים תו"/>
    <w:link w:val="af7"/>
    <w:rsid w:val="00AF32BC"/>
    <w:rPr>
      <w:rFonts w:ascii="Tahoma" w:hAnsi="Tahoma" w:cs="Tahoma"/>
      <w:snapToGrid w:val="0"/>
      <w:sz w:val="16"/>
      <w:szCs w:val="16"/>
      <w:lang w:eastAsia="en-US"/>
    </w:rPr>
  </w:style>
  <w:style w:type="character" w:styleId="af9">
    <w:name w:val="annotation reference"/>
    <w:uiPriority w:val="99"/>
    <w:rsid w:val="00A6227D"/>
    <w:rPr>
      <w:sz w:val="16"/>
      <w:szCs w:val="16"/>
    </w:rPr>
  </w:style>
  <w:style w:type="paragraph" w:styleId="afa">
    <w:name w:val="annotation text"/>
    <w:basedOn w:val="a0"/>
    <w:link w:val="afb"/>
    <w:uiPriority w:val="99"/>
    <w:rsid w:val="00A6227D"/>
    <w:rPr>
      <w:sz w:val="20"/>
    </w:rPr>
  </w:style>
  <w:style w:type="character" w:customStyle="1" w:styleId="afb">
    <w:name w:val="טקסט הערה תו"/>
    <w:link w:val="afa"/>
    <w:uiPriority w:val="99"/>
    <w:rsid w:val="00A6227D"/>
    <w:rPr>
      <w:snapToGrid w:val="0"/>
      <w:lang w:eastAsia="en-US"/>
    </w:rPr>
  </w:style>
  <w:style w:type="paragraph" w:customStyle="1" w:styleId="Char2">
    <w:name w:val="Char2"/>
    <w:basedOn w:val="a0"/>
    <w:link w:val="af6"/>
    <w:uiPriority w:val="99"/>
    <w:rsid w:val="00DB57AE"/>
    <w:pPr>
      <w:spacing w:before="120" w:after="160" w:line="240" w:lineRule="exact"/>
      <w:jc w:val="left"/>
    </w:pPr>
    <w:rPr>
      <w:snapToGrid/>
      <w:sz w:val="24"/>
      <w:vertAlign w:val="superscript"/>
      <w:lang w:eastAsia="en-GB"/>
    </w:rPr>
  </w:style>
  <w:style w:type="paragraph" w:styleId="afc">
    <w:name w:val="Body Text"/>
    <w:basedOn w:val="a0"/>
    <w:link w:val="afd"/>
    <w:rsid w:val="005C3A15"/>
    <w:pPr>
      <w:spacing w:after="120"/>
    </w:pPr>
  </w:style>
  <w:style w:type="character" w:customStyle="1" w:styleId="afd">
    <w:name w:val="גוף טקסט תו"/>
    <w:link w:val="afc"/>
    <w:rsid w:val="005C3A15"/>
    <w:rPr>
      <w:snapToGrid w:val="0"/>
      <w:sz w:val="22"/>
      <w:lang w:eastAsia="en-US"/>
    </w:rPr>
  </w:style>
  <w:style w:type="paragraph" w:customStyle="1" w:styleId="Blockquote">
    <w:name w:val="Blockquote"/>
    <w:basedOn w:val="a0"/>
    <w:rsid w:val="004E7253"/>
    <w:pPr>
      <w:widowControl w:val="0"/>
      <w:spacing w:before="100" w:after="100"/>
      <w:ind w:left="360" w:right="360"/>
      <w:jc w:val="left"/>
    </w:pPr>
    <w:rPr>
      <w:sz w:val="24"/>
      <w:lang w:val="en-US"/>
    </w:rPr>
  </w:style>
  <w:style w:type="character" w:styleId="afe">
    <w:name w:val="Emphasis"/>
    <w:qFormat/>
    <w:rsid w:val="004E7253"/>
    <w:rPr>
      <w:i/>
    </w:rPr>
  </w:style>
  <w:style w:type="character" w:customStyle="1" w:styleId="af0">
    <w:name w:val="כותרת משנה תו"/>
    <w:link w:val="af"/>
    <w:uiPriority w:val="11"/>
    <w:locked/>
    <w:rsid w:val="00350F1E"/>
    <w:rPr>
      <w:rFonts w:ascii="Arial" w:hAnsi="Arial"/>
      <w:b/>
      <w:snapToGrid w:val="0"/>
      <w:sz w:val="28"/>
      <w:lang w:val="fr-BE" w:eastAsia="en-US"/>
    </w:rPr>
  </w:style>
  <w:style w:type="paragraph" w:customStyle="1" w:styleId="Default">
    <w:name w:val="Default"/>
    <w:rsid w:val="00350F1E"/>
    <w:pPr>
      <w:autoSpaceDE w:val="0"/>
      <w:autoSpaceDN w:val="0"/>
      <w:adjustRightInd w:val="0"/>
    </w:pPr>
    <w:rPr>
      <w:color w:val="000000"/>
      <w:sz w:val="24"/>
      <w:szCs w:val="24"/>
    </w:rPr>
  </w:style>
  <w:style w:type="character" w:customStyle="1" w:styleId="Caractresdenotedebasdepage">
    <w:name w:val="Caractères de note de bas de page"/>
    <w:rsid w:val="00165771"/>
    <w:rPr>
      <w:vertAlign w:val="superscript"/>
    </w:rPr>
  </w:style>
  <w:style w:type="character" w:customStyle="1" w:styleId="aa">
    <w:name w:val="כותרת תחתונה תו"/>
    <w:basedOn w:val="a1"/>
    <w:link w:val="a9"/>
    <w:uiPriority w:val="99"/>
    <w:locked/>
    <w:rsid w:val="004748F5"/>
    <w:rPr>
      <w:rFonts w:ascii="Arial" w:hAnsi="Arial"/>
      <w:snapToGrid w:val="0"/>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65819538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EuropeAid-IT-support@ec.europa.eu" TargetMode="External"/><Relationship Id="rId26" Type="http://schemas.openxmlformats.org/officeDocument/2006/relationships/hyperlink" Target="http://ec.europa.eu/europeaid/funding/about-procurement-contracts/procedures-and-practical-guide-prag/diems_en" TargetMode="External"/><Relationship Id="rId3" Type="http://schemas.openxmlformats.org/officeDocument/2006/relationships/styles" Target="styles.xml"/><Relationship Id="rId21" Type="http://schemas.openxmlformats.org/officeDocument/2006/relationships/hyperlink" Target="mailto:EuropeAid-IT-support@ec.europa.e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c.europa.eu/europeaid/pador_en" TargetMode="External"/><Relationship Id="rId25" Type="http://schemas.openxmlformats.org/officeDocument/2006/relationships/hyperlink" Target="https://webgate.ec.europa.eu/europeaid/online-services/index.cfm?do=publi.welcome" TargetMode="External"/><Relationship Id="rId2" Type="http://schemas.openxmlformats.org/officeDocument/2006/relationships/numbering" Target="numbering.xml"/><Relationship Id="rId16" Type="http://schemas.openxmlformats.org/officeDocument/2006/relationships/hyperlink" Target="http://ec.europa.eu/europeaid/funding/communication-and-visibility-manual-eu-external-actions_en" TargetMode="External"/><Relationship Id="rId20" Type="http://schemas.openxmlformats.org/officeDocument/2006/relationships/hyperlink" Target="https://webgate.ec.europa.eu/europeaid/online-services/index.cfm?do=publi.welcome" TargetMode="External"/><Relationship Id="rId29" Type="http://schemas.openxmlformats.org/officeDocument/2006/relationships/hyperlink" Target="http://ec.europa.eu/europeaid/funding/procedures-beneficiary-countries-and-partners/financial-management-toolkit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fpfis/wikis/display/devcoiskb/e-Learning+Videos+-+e-Calls+PROPECT" TargetMode="External"/><Relationship Id="rId24" Type="http://schemas.openxmlformats.org/officeDocument/2006/relationships/hyperlink" Target="mailto:EuropeAid-IT-support@ec.europa.eu" TargetMode="External"/><Relationship Id="rId5" Type="http://schemas.openxmlformats.org/officeDocument/2006/relationships/webSettings" Target="webSettings.xml"/><Relationship Id="rId15" Type="http://schemas.openxmlformats.org/officeDocument/2006/relationships/hyperlink" Target="http://ec.europa.eu/europeaid/prag/document.do?locale=en" TargetMode="External"/><Relationship Id="rId23" Type="http://schemas.openxmlformats.org/officeDocument/2006/relationships/hyperlink" Target="https://webgate.ec.europa.eu/europeaid/online-services/index.cfm?do=publi.welcome" TargetMode="External"/><Relationship Id="rId28" Type="http://schemas.openxmlformats.org/officeDocument/2006/relationships/hyperlink" Target="http://ec.europa.eu/europeaid/companion/document.do?nodeNumber=19&amp;locale=en" TargetMode="External"/><Relationship Id="rId10" Type="http://schemas.openxmlformats.org/officeDocument/2006/relationships/hyperlink" Target="https://webgate.ec.europa.eu/fpfis/wikis/pages/viewpage.action?spaceKey=devcoiskb&amp;title=Manual+for+Applicants+-+e-Calls+PROSPECT" TargetMode="External"/><Relationship Id="rId19" Type="http://schemas.openxmlformats.org/officeDocument/2006/relationships/hyperlink" Target="https://webgate.ec.europa.eu/europeaid/prospe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3.xml"/><Relationship Id="rId22" Type="http://schemas.openxmlformats.org/officeDocument/2006/relationships/hyperlink" Target="https://webgate.ec.europa.eu/europeaid/prospect" TargetMode="External"/><Relationship Id="rId27" Type="http://schemas.openxmlformats.org/officeDocument/2006/relationships/hyperlink" Target="https://ec.europa.eu/europeaid/aid-delivery-methods-project-cycle-management-guidelines-vol-1_en"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3991-2018-INIT/en/pdf" TargetMode="External"/><Relationship Id="rId2" Type="http://schemas.openxmlformats.org/officeDocument/2006/relationships/hyperlink" Target="mailto:EuropeAid-IT-support@ec.europa.eu" TargetMode="External"/><Relationship Id="rId1" Type="http://schemas.openxmlformats.org/officeDocument/2006/relationships/hyperlink" Target="http://www.timeanddate.com/worldclock/converter.html" TargetMode="External"/><Relationship Id="rId5" Type="http://schemas.openxmlformats.org/officeDocument/2006/relationships/hyperlink" Target="http://www.timeanddate.com/worldclock/converter.html" TargetMode="External"/><Relationship Id="rId4"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E75E-4694-4C46-A94F-87485B2E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14332</Words>
  <Characters>71664</Characters>
  <Application>Microsoft Office Word</Application>
  <DocSecurity>0</DocSecurity>
  <Lines>597</Lines>
  <Paragraphs>171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European Commission</Company>
  <LinksUpToDate>false</LinksUpToDate>
  <CharactersWithSpaces>85825</CharactersWithSpaces>
  <SharedDoc>false</SharedDoc>
  <HLinks>
    <vt:vector size="288" baseType="variant">
      <vt:variant>
        <vt:i4>2293837</vt:i4>
      </vt:variant>
      <vt:variant>
        <vt:i4>210</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207</vt:i4>
      </vt:variant>
      <vt:variant>
        <vt:i4>0</vt:i4>
      </vt:variant>
      <vt:variant>
        <vt:i4>5</vt:i4>
      </vt:variant>
      <vt:variant>
        <vt:lpwstr>http://ec.europa.eu/europeaid/companion/document.do?nodeNumber=19&amp;locale=en</vt:lpwstr>
      </vt:variant>
      <vt:variant>
        <vt:lpwstr/>
      </vt:variant>
      <vt:variant>
        <vt:i4>7274589</vt:i4>
      </vt:variant>
      <vt:variant>
        <vt:i4>204</vt:i4>
      </vt:variant>
      <vt:variant>
        <vt:i4>0</vt:i4>
      </vt:variant>
      <vt:variant>
        <vt:i4>5</vt:i4>
      </vt:variant>
      <vt:variant>
        <vt:lpwstr>https://ec.europa.eu/europeaid/aid-delivery-methods-project-cycle-management-guidelines-vol-1_en</vt:lpwstr>
      </vt:variant>
      <vt:variant>
        <vt:lpwstr/>
      </vt:variant>
      <vt:variant>
        <vt:i4>1376311</vt:i4>
      </vt:variant>
      <vt:variant>
        <vt:i4>201</vt:i4>
      </vt:variant>
      <vt:variant>
        <vt:i4>0</vt:i4>
      </vt:variant>
      <vt:variant>
        <vt:i4>5</vt:i4>
      </vt:variant>
      <vt:variant>
        <vt:lpwstr>http://ec.europa.eu/europeaid/funding/about-procurement-contracts/procedures-and-practical-guide-prag/diems_en</vt:lpwstr>
      </vt:variant>
      <vt:variant>
        <vt:lpwstr/>
      </vt:variant>
      <vt:variant>
        <vt:i4>4784206</vt:i4>
      </vt:variant>
      <vt:variant>
        <vt:i4>198</vt:i4>
      </vt:variant>
      <vt:variant>
        <vt:i4>0</vt:i4>
      </vt:variant>
      <vt:variant>
        <vt:i4>5</vt:i4>
      </vt:variant>
      <vt:variant>
        <vt:lpwstr>https://webgate.ec.europa.eu/europeaid/online-services/index.cfm?do=publi.welcome</vt:lpwstr>
      </vt:variant>
      <vt:variant>
        <vt:lpwstr/>
      </vt:variant>
      <vt:variant>
        <vt:i4>2883656</vt:i4>
      </vt:variant>
      <vt:variant>
        <vt:i4>195</vt:i4>
      </vt:variant>
      <vt:variant>
        <vt:i4>0</vt:i4>
      </vt:variant>
      <vt:variant>
        <vt:i4>5</vt:i4>
      </vt:variant>
      <vt:variant>
        <vt:lpwstr>mailto:EuropeAid-IT-support@ec.europa.eu</vt:lpwstr>
      </vt:variant>
      <vt:variant>
        <vt:lpwstr/>
      </vt:variant>
      <vt:variant>
        <vt:i4>4784206</vt:i4>
      </vt:variant>
      <vt:variant>
        <vt:i4>192</vt:i4>
      </vt:variant>
      <vt:variant>
        <vt:i4>0</vt:i4>
      </vt:variant>
      <vt:variant>
        <vt:i4>5</vt:i4>
      </vt:variant>
      <vt:variant>
        <vt:lpwstr>https://webgate.ec.europa.eu/europeaid/online-services/index.cfm?do=publi.welcome</vt:lpwstr>
      </vt:variant>
      <vt:variant>
        <vt:lpwstr/>
      </vt:variant>
      <vt:variant>
        <vt:i4>7864438</vt:i4>
      </vt:variant>
      <vt:variant>
        <vt:i4>189</vt:i4>
      </vt:variant>
      <vt:variant>
        <vt:i4>0</vt:i4>
      </vt:variant>
      <vt:variant>
        <vt:i4>5</vt:i4>
      </vt:variant>
      <vt:variant>
        <vt:lpwstr>https://webgate.ec.europa.eu/europeaid/prospect</vt:lpwstr>
      </vt:variant>
      <vt:variant>
        <vt:lpwstr/>
      </vt:variant>
      <vt:variant>
        <vt:i4>2883656</vt:i4>
      </vt:variant>
      <vt:variant>
        <vt:i4>186</vt:i4>
      </vt:variant>
      <vt:variant>
        <vt:i4>0</vt:i4>
      </vt:variant>
      <vt:variant>
        <vt:i4>5</vt:i4>
      </vt:variant>
      <vt:variant>
        <vt:lpwstr>mailto:EuropeAid-IT-support@ec.europa.eu</vt:lpwstr>
      </vt:variant>
      <vt:variant>
        <vt:lpwstr/>
      </vt:variant>
      <vt:variant>
        <vt:i4>4784206</vt:i4>
      </vt:variant>
      <vt:variant>
        <vt:i4>183</vt:i4>
      </vt:variant>
      <vt:variant>
        <vt:i4>0</vt:i4>
      </vt:variant>
      <vt:variant>
        <vt:i4>5</vt:i4>
      </vt:variant>
      <vt:variant>
        <vt:lpwstr>https://webgate.ec.europa.eu/europeaid/online-services/index.cfm?do=publi.welcome</vt:lpwstr>
      </vt:variant>
      <vt:variant>
        <vt:lpwstr/>
      </vt:variant>
      <vt:variant>
        <vt:i4>7864438</vt:i4>
      </vt:variant>
      <vt:variant>
        <vt:i4>180</vt:i4>
      </vt:variant>
      <vt:variant>
        <vt:i4>0</vt:i4>
      </vt:variant>
      <vt:variant>
        <vt:i4>5</vt:i4>
      </vt:variant>
      <vt:variant>
        <vt:lpwstr>https://webgate.ec.europa.eu/europeaid/prospect</vt:lpwstr>
      </vt:variant>
      <vt:variant>
        <vt:lpwstr/>
      </vt:variant>
      <vt:variant>
        <vt:i4>2883656</vt:i4>
      </vt:variant>
      <vt:variant>
        <vt:i4>177</vt:i4>
      </vt:variant>
      <vt:variant>
        <vt:i4>0</vt:i4>
      </vt:variant>
      <vt:variant>
        <vt:i4>5</vt:i4>
      </vt:variant>
      <vt:variant>
        <vt:lpwstr>mailto:EuropeAid-IT-support@ec.europa.eu</vt:lpwstr>
      </vt:variant>
      <vt:variant>
        <vt:lpwstr/>
      </vt:variant>
      <vt:variant>
        <vt:i4>5701687</vt:i4>
      </vt:variant>
      <vt:variant>
        <vt:i4>174</vt:i4>
      </vt:variant>
      <vt:variant>
        <vt:i4>0</vt:i4>
      </vt:variant>
      <vt:variant>
        <vt:i4>5</vt:i4>
      </vt:variant>
      <vt:variant>
        <vt:lpwstr>http://ec.europa.eu/europeaid/pador_en</vt:lpwstr>
      </vt:variant>
      <vt:variant>
        <vt:lpwstr/>
      </vt:variant>
      <vt:variant>
        <vt:i4>8061010</vt:i4>
      </vt:variant>
      <vt:variant>
        <vt:i4>171</vt:i4>
      </vt:variant>
      <vt:variant>
        <vt:i4>0</vt:i4>
      </vt:variant>
      <vt:variant>
        <vt:i4>5</vt:i4>
      </vt:variant>
      <vt:variant>
        <vt:lpwstr>http://ec.europa.eu/europeaid/funding/communication-and-visibility-manual-eu-external-actions_en</vt:lpwstr>
      </vt:variant>
      <vt:variant>
        <vt:lpwstr/>
      </vt:variant>
      <vt:variant>
        <vt:i4>524372</vt:i4>
      </vt:variant>
      <vt:variant>
        <vt:i4>168</vt:i4>
      </vt:variant>
      <vt:variant>
        <vt:i4>0</vt:i4>
      </vt:variant>
      <vt:variant>
        <vt:i4>5</vt:i4>
      </vt:variant>
      <vt:variant>
        <vt:lpwstr>http://ec.europa.eu/europeaid/prag/document.do?locale=en</vt:lpwstr>
      </vt:variant>
      <vt:variant>
        <vt:lpwstr/>
      </vt:variant>
      <vt:variant>
        <vt:i4>2752515</vt:i4>
      </vt:variant>
      <vt:variant>
        <vt:i4>161</vt:i4>
      </vt:variant>
      <vt:variant>
        <vt:i4>0</vt:i4>
      </vt:variant>
      <vt:variant>
        <vt:i4>5</vt:i4>
      </vt:variant>
      <vt:variant>
        <vt:lpwstr/>
      </vt:variant>
      <vt:variant>
        <vt:lpwstr>_Toc1059749</vt:lpwstr>
      </vt:variant>
      <vt:variant>
        <vt:i4>2752515</vt:i4>
      </vt:variant>
      <vt:variant>
        <vt:i4>155</vt:i4>
      </vt:variant>
      <vt:variant>
        <vt:i4>0</vt:i4>
      </vt:variant>
      <vt:variant>
        <vt:i4>5</vt:i4>
      </vt:variant>
      <vt:variant>
        <vt:lpwstr/>
      </vt:variant>
      <vt:variant>
        <vt:lpwstr>_Toc1059748</vt:lpwstr>
      </vt:variant>
      <vt:variant>
        <vt:i4>2752515</vt:i4>
      </vt:variant>
      <vt:variant>
        <vt:i4>149</vt:i4>
      </vt:variant>
      <vt:variant>
        <vt:i4>0</vt:i4>
      </vt:variant>
      <vt:variant>
        <vt:i4>5</vt:i4>
      </vt:variant>
      <vt:variant>
        <vt:lpwstr/>
      </vt:variant>
      <vt:variant>
        <vt:lpwstr>_Toc1059747</vt:lpwstr>
      </vt:variant>
      <vt:variant>
        <vt:i4>2752515</vt:i4>
      </vt:variant>
      <vt:variant>
        <vt:i4>143</vt:i4>
      </vt:variant>
      <vt:variant>
        <vt:i4>0</vt:i4>
      </vt:variant>
      <vt:variant>
        <vt:i4>5</vt:i4>
      </vt:variant>
      <vt:variant>
        <vt:lpwstr/>
      </vt:variant>
      <vt:variant>
        <vt:lpwstr>_Toc1059746</vt:lpwstr>
      </vt:variant>
      <vt:variant>
        <vt:i4>2752515</vt:i4>
      </vt:variant>
      <vt:variant>
        <vt:i4>137</vt:i4>
      </vt:variant>
      <vt:variant>
        <vt:i4>0</vt:i4>
      </vt:variant>
      <vt:variant>
        <vt:i4>5</vt:i4>
      </vt:variant>
      <vt:variant>
        <vt:lpwstr/>
      </vt:variant>
      <vt:variant>
        <vt:lpwstr>_Toc1059745</vt:lpwstr>
      </vt:variant>
      <vt:variant>
        <vt:i4>2752515</vt:i4>
      </vt:variant>
      <vt:variant>
        <vt:i4>131</vt:i4>
      </vt:variant>
      <vt:variant>
        <vt:i4>0</vt:i4>
      </vt:variant>
      <vt:variant>
        <vt:i4>5</vt:i4>
      </vt:variant>
      <vt:variant>
        <vt:lpwstr/>
      </vt:variant>
      <vt:variant>
        <vt:lpwstr>_Toc1059744</vt:lpwstr>
      </vt:variant>
      <vt:variant>
        <vt:i4>2752515</vt:i4>
      </vt:variant>
      <vt:variant>
        <vt:i4>125</vt:i4>
      </vt:variant>
      <vt:variant>
        <vt:i4>0</vt:i4>
      </vt:variant>
      <vt:variant>
        <vt:i4>5</vt:i4>
      </vt:variant>
      <vt:variant>
        <vt:lpwstr/>
      </vt:variant>
      <vt:variant>
        <vt:lpwstr>_Toc1059743</vt:lpwstr>
      </vt:variant>
      <vt:variant>
        <vt:i4>2752515</vt:i4>
      </vt:variant>
      <vt:variant>
        <vt:i4>119</vt:i4>
      </vt:variant>
      <vt:variant>
        <vt:i4>0</vt:i4>
      </vt:variant>
      <vt:variant>
        <vt:i4>5</vt:i4>
      </vt:variant>
      <vt:variant>
        <vt:lpwstr/>
      </vt:variant>
      <vt:variant>
        <vt:lpwstr>_Toc1059742</vt:lpwstr>
      </vt:variant>
      <vt:variant>
        <vt:i4>2752515</vt:i4>
      </vt:variant>
      <vt:variant>
        <vt:i4>113</vt:i4>
      </vt:variant>
      <vt:variant>
        <vt:i4>0</vt:i4>
      </vt:variant>
      <vt:variant>
        <vt:i4>5</vt:i4>
      </vt:variant>
      <vt:variant>
        <vt:lpwstr/>
      </vt:variant>
      <vt:variant>
        <vt:lpwstr>_Toc1059741</vt:lpwstr>
      </vt:variant>
      <vt:variant>
        <vt:i4>2752515</vt:i4>
      </vt:variant>
      <vt:variant>
        <vt:i4>107</vt:i4>
      </vt:variant>
      <vt:variant>
        <vt:i4>0</vt:i4>
      </vt:variant>
      <vt:variant>
        <vt:i4>5</vt:i4>
      </vt:variant>
      <vt:variant>
        <vt:lpwstr/>
      </vt:variant>
      <vt:variant>
        <vt:lpwstr>_Toc1059740</vt:lpwstr>
      </vt:variant>
      <vt:variant>
        <vt:i4>2949123</vt:i4>
      </vt:variant>
      <vt:variant>
        <vt:i4>101</vt:i4>
      </vt:variant>
      <vt:variant>
        <vt:i4>0</vt:i4>
      </vt:variant>
      <vt:variant>
        <vt:i4>5</vt:i4>
      </vt:variant>
      <vt:variant>
        <vt:lpwstr/>
      </vt:variant>
      <vt:variant>
        <vt:lpwstr>_Toc1059739</vt:lpwstr>
      </vt:variant>
      <vt:variant>
        <vt:i4>2949123</vt:i4>
      </vt:variant>
      <vt:variant>
        <vt:i4>95</vt:i4>
      </vt:variant>
      <vt:variant>
        <vt:i4>0</vt:i4>
      </vt:variant>
      <vt:variant>
        <vt:i4>5</vt:i4>
      </vt:variant>
      <vt:variant>
        <vt:lpwstr/>
      </vt:variant>
      <vt:variant>
        <vt:lpwstr>_Toc1059738</vt:lpwstr>
      </vt:variant>
      <vt:variant>
        <vt:i4>2949123</vt:i4>
      </vt:variant>
      <vt:variant>
        <vt:i4>89</vt:i4>
      </vt:variant>
      <vt:variant>
        <vt:i4>0</vt:i4>
      </vt:variant>
      <vt:variant>
        <vt:i4>5</vt:i4>
      </vt:variant>
      <vt:variant>
        <vt:lpwstr/>
      </vt:variant>
      <vt:variant>
        <vt:lpwstr>_Toc1059737</vt:lpwstr>
      </vt:variant>
      <vt:variant>
        <vt:i4>2949123</vt:i4>
      </vt:variant>
      <vt:variant>
        <vt:i4>83</vt:i4>
      </vt:variant>
      <vt:variant>
        <vt:i4>0</vt:i4>
      </vt:variant>
      <vt:variant>
        <vt:i4>5</vt:i4>
      </vt:variant>
      <vt:variant>
        <vt:lpwstr/>
      </vt:variant>
      <vt:variant>
        <vt:lpwstr>_Toc1059736</vt:lpwstr>
      </vt:variant>
      <vt:variant>
        <vt:i4>2949123</vt:i4>
      </vt:variant>
      <vt:variant>
        <vt:i4>77</vt:i4>
      </vt:variant>
      <vt:variant>
        <vt:i4>0</vt:i4>
      </vt:variant>
      <vt:variant>
        <vt:i4>5</vt:i4>
      </vt:variant>
      <vt:variant>
        <vt:lpwstr/>
      </vt:variant>
      <vt:variant>
        <vt:lpwstr>_Toc1059735</vt:lpwstr>
      </vt:variant>
      <vt:variant>
        <vt:i4>2949123</vt:i4>
      </vt:variant>
      <vt:variant>
        <vt:i4>71</vt:i4>
      </vt:variant>
      <vt:variant>
        <vt:i4>0</vt:i4>
      </vt:variant>
      <vt:variant>
        <vt:i4>5</vt:i4>
      </vt:variant>
      <vt:variant>
        <vt:lpwstr/>
      </vt:variant>
      <vt:variant>
        <vt:lpwstr>_Toc1059734</vt:lpwstr>
      </vt:variant>
      <vt:variant>
        <vt:i4>2949123</vt:i4>
      </vt:variant>
      <vt:variant>
        <vt:i4>65</vt:i4>
      </vt:variant>
      <vt:variant>
        <vt:i4>0</vt:i4>
      </vt:variant>
      <vt:variant>
        <vt:i4>5</vt:i4>
      </vt:variant>
      <vt:variant>
        <vt:lpwstr/>
      </vt:variant>
      <vt:variant>
        <vt:lpwstr>_Toc1059733</vt:lpwstr>
      </vt:variant>
      <vt:variant>
        <vt:i4>2949123</vt:i4>
      </vt:variant>
      <vt:variant>
        <vt:i4>59</vt:i4>
      </vt:variant>
      <vt:variant>
        <vt:i4>0</vt:i4>
      </vt:variant>
      <vt:variant>
        <vt:i4>5</vt:i4>
      </vt:variant>
      <vt:variant>
        <vt:lpwstr/>
      </vt:variant>
      <vt:variant>
        <vt:lpwstr>_Toc1059732</vt:lpwstr>
      </vt:variant>
      <vt:variant>
        <vt:i4>2949123</vt:i4>
      </vt:variant>
      <vt:variant>
        <vt:i4>53</vt:i4>
      </vt:variant>
      <vt:variant>
        <vt:i4>0</vt:i4>
      </vt:variant>
      <vt:variant>
        <vt:i4>5</vt:i4>
      </vt:variant>
      <vt:variant>
        <vt:lpwstr/>
      </vt:variant>
      <vt:variant>
        <vt:lpwstr>_Toc1059731</vt:lpwstr>
      </vt:variant>
      <vt:variant>
        <vt:i4>2949123</vt:i4>
      </vt:variant>
      <vt:variant>
        <vt:i4>47</vt:i4>
      </vt:variant>
      <vt:variant>
        <vt:i4>0</vt:i4>
      </vt:variant>
      <vt:variant>
        <vt:i4>5</vt:i4>
      </vt:variant>
      <vt:variant>
        <vt:lpwstr/>
      </vt:variant>
      <vt:variant>
        <vt:lpwstr>_Toc1059730</vt:lpwstr>
      </vt:variant>
      <vt:variant>
        <vt:i4>2883587</vt:i4>
      </vt:variant>
      <vt:variant>
        <vt:i4>41</vt:i4>
      </vt:variant>
      <vt:variant>
        <vt:i4>0</vt:i4>
      </vt:variant>
      <vt:variant>
        <vt:i4>5</vt:i4>
      </vt:variant>
      <vt:variant>
        <vt:lpwstr/>
      </vt:variant>
      <vt:variant>
        <vt:lpwstr>_Toc1059729</vt:lpwstr>
      </vt:variant>
      <vt:variant>
        <vt:i4>2883587</vt:i4>
      </vt:variant>
      <vt:variant>
        <vt:i4>35</vt:i4>
      </vt:variant>
      <vt:variant>
        <vt:i4>0</vt:i4>
      </vt:variant>
      <vt:variant>
        <vt:i4>5</vt:i4>
      </vt:variant>
      <vt:variant>
        <vt:lpwstr/>
      </vt:variant>
      <vt:variant>
        <vt:lpwstr>_Toc1059728</vt:lpwstr>
      </vt:variant>
      <vt:variant>
        <vt:i4>2883587</vt:i4>
      </vt:variant>
      <vt:variant>
        <vt:i4>29</vt:i4>
      </vt:variant>
      <vt:variant>
        <vt:i4>0</vt:i4>
      </vt:variant>
      <vt:variant>
        <vt:i4>5</vt:i4>
      </vt:variant>
      <vt:variant>
        <vt:lpwstr/>
      </vt:variant>
      <vt:variant>
        <vt:lpwstr>_Toc1059727</vt:lpwstr>
      </vt:variant>
      <vt:variant>
        <vt:i4>2883587</vt:i4>
      </vt:variant>
      <vt:variant>
        <vt:i4>23</vt:i4>
      </vt:variant>
      <vt:variant>
        <vt:i4>0</vt:i4>
      </vt:variant>
      <vt:variant>
        <vt:i4>5</vt:i4>
      </vt:variant>
      <vt:variant>
        <vt:lpwstr/>
      </vt:variant>
      <vt:variant>
        <vt:lpwstr>_Toc1059726</vt:lpwstr>
      </vt:variant>
      <vt:variant>
        <vt:i4>2883587</vt:i4>
      </vt:variant>
      <vt:variant>
        <vt:i4>17</vt:i4>
      </vt:variant>
      <vt:variant>
        <vt:i4>0</vt:i4>
      </vt:variant>
      <vt:variant>
        <vt:i4>5</vt:i4>
      </vt:variant>
      <vt:variant>
        <vt:lpwstr/>
      </vt:variant>
      <vt:variant>
        <vt:lpwstr>_Toc1059725</vt:lpwstr>
      </vt:variant>
      <vt:variant>
        <vt:i4>2883587</vt:i4>
      </vt:variant>
      <vt:variant>
        <vt:i4>11</vt:i4>
      </vt:variant>
      <vt:variant>
        <vt:i4>0</vt:i4>
      </vt:variant>
      <vt:variant>
        <vt:i4>5</vt:i4>
      </vt:variant>
      <vt:variant>
        <vt:lpwstr/>
      </vt:variant>
      <vt:variant>
        <vt:lpwstr>_Toc1059724</vt:lpwstr>
      </vt:variant>
      <vt:variant>
        <vt:i4>2883587</vt:i4>
      </vt:variant>
      <vt:variant>
        <vt:i4>5</vt:i4>
      </vt:variant>
      <vt:variant>
        <vt:i4>0</vt:i4>
      </vt:variant>
      <vt:variant>
        <vt:i4>5</vt:i4>
      </vt:variant>
      <vt:variant>
        <vt:lpwstr/>
      </vt:variant>
      <vt:variant>
        <vt:lpwstr>_Toc1059723</vt:lpwstr>
      </vt:variant>
      <vt:variant>
        <vt:i4>4456515</vt:i4>
      </vt:variant>
      <vt:variant>
        <vt:i4>0</vt:i4>
      </vt:variant>
      <vt:variant>
        <vt:i4>0</vt:i4>
      </vt:variant>
      <vt:variant>
        <vt:i4>5</vt:i4>
      </vt:variant>
      <vt:variant>
        <vt:lpwstr>http://www.timeanddate.com/worldclock/converter.html</vt:lpwstr>
      </vt:variant>
      <vt:variant>
        <vt:lpwstr/>
      </vt:variant>
      <vt:variant>
        <vt:i4>4456515</vt:i4>
      </vt:variant>
      <vt:variant>
        <vt:i4>12</vt:i4>
      </vt:variant>
      <vt:variant>
        <vt:i4>0</vt:i4>
      </vt:variant>
      <vt:variant>
        <vt:i4>5</vt:i4>
      </vt:variant>
      <vt:variant>
        <vt:lpwstr>http://www.timeanddate.com/worldclock/converter.html</vt:lpwstr>
      </vt:variant>
      <vt:variant>
        <vt:lpwstr/>
      </vt:variant>
      <vt:variant>
        <vt:i4>6553645</vt:i4>
      </vt:variant>
      <vt:variant>
        <vt:i4>9</vt:i4>
      </vt:variant>
      <vt:variant>
        <vt:i4>0</vt:i4>
      </vt:variant>
      <vt:variant>
        <vt:i4>5</vt:i4>
      </vt:variant>
      <vt:variant>
        <vt:lpwstr>http://www.sanctionsmap.eu/</vt:lpwstr>
      </vt:variant>
      <vt:variant>
        <vt:lpwstr/>
      </vt:variant>
      <vt:variant>
        <vt:i4>6422574</vt:i4>
      </vt:variant>
      <vt:variant>
        <vt:i4>6</vt:i4>
      </vt:variant>
      <vt:variant>
        <vt:i4>0</vt:i4>
      </vt:variant>
      <vt:variant>
        <vt:i4>5</vt:i4>
      </vt:variant>
      <vt:variant>
        <vt:lpwstr>http://data.consilium.europa.eu/doc/document/ST-13991-2018-INIT/en/pdf</vt:lpwstr>
      </vt:variant>
      <vt:variant>
        <vt:lpwstr/>
      </vt:variant>
      <vt:variant>
        <vt:i4>2883656</vt:i4>
      </vt:variant>
      <vt:variant>
        <vt:i4>3</vt:i4>
      </vt:variant>
      <vt:variant>
        <vt:i4>0</vt:i4>
      </vt:variant>
      <vt:variant>
        <vt:i4>5</vt:i4>
      </vt:variant>
      <vt:variant>
        <vt:lpwstr>mailto:EuropeAid-IT-support@ec.europa.eu</vt:lpwstr>
      </vt:variant>
      <vt:variant>
        <vt:lpwstr/>
      </vt:variant>
      <vt:variant>
        <vt:i4>4456515</vt:i4>
      </vt:variant>
      <vt:variant>
        <vt:i4>0</vt:i4>
      </vt:variant>
      <vt:variant>
        <vt:i4>0</vt:i4>
      </vt:variant>
      <vt:variant>
        <vt:i4>5</vt:i4>
      </vt:variant>
      <vt:variant>
        <vt:lpwstr>http://www.timeanddate.com/worldclock/converter.html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Yonat Keren - Chamber of Commerce</cp:lastModifiedBy>
  <cp:revision>2</cp:revision>
  <cp:lastPrinted>2019-02-26T09:20:00Z</cp:lastPrinted>
  <dcterms:created xsi:type="dcterms:W3CDTF">2019-04-30T06:45:00Z</dcterms:created>
  <dcterms:modified xsi:type="dcterms:W3CDTF">2019-04-30T06:45:00Z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