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C0" w:rsidRDefault="00AA7EC0" w:rsidP="00722C14">
      <w:pPr>
        <w:pStyle w:val="1"/>
        <w:keepNext w:val="0"/>
        <w:keepLines w:val="0"/>
      </w:pPr>
      <w:r>
        <w:rPr>
          <w:rtl/>
        </w:rPr>
        <w:t>טיוטת תקנות</w:t>
      </w:r>
    </w:p>
    <w:p w:rsidR="00AA7EC0" w:rsidRDefault="00AA7EC0" w:rsidP="00722C14">
      <w:pPr>
        <w:rPr>
          <w:rtl/>
        </w:rPr>
      </w:pPr>
    </w:p>
    <w:p w:rsidR="00AA7EC0" w:rsidRDefault="00AA7EC0" w:rsidP="00F24A78">
      <w:pPr>
        <w:pStyle w:val="4"/>
        <w:rPr>
          <w:rtl/>
        </w:rPr>
      </w:pPr>
      <w:r>
        <w:rPr>
          <w:rFonts w:hint="cs"/>
          <w:rtl/>
        </w:rPr>
        <w:t>שם התקנות המוצעות</w:t>
      </w:r>
    </w:p>
    <w:p w:rsidR="00AA7EC0" w:rsidRDefault="00AA7EC0" w:rsidP="00722C14">
      <w:r>
        <w:rPr>
          <w:rFonts w:hint="cs"/>
          <w:rtl/>
        </w:rPr>
        <w:t xml:space="preserve">תקנות </w:t>
      </w:r>
      <w:r w:rsidR="00110CB4" w:rsidRPr="00AA7EC0">
        <w:rPr>
          <w:rFonts w:hint="cs"/>
          <w:rtl/>
        </w:rPr>
        <w:t xml:space="preserve">הקרינה הבלתי מייננת (תיקון), </w:t>
      </w:r>
      <w:r w:rsidR="00110CB4" w:rsidRPr="00AA7EC0">
        <w:rPr>
          <w:rtl/>
        </w:rPr>
        <w:t>התש</w:t>
      </w:r>
      <w:r w:rsidR="00110CB4" w:rsidRPr="00AA7EC0">
        <w:rPr>
          <w:rFonts w:hint="cs"/>
          <w:rtl/>
        </w:rPr>
        <w:t>ע"</w:t>
      </w:r>
      <w:r w:rsidR="00110CB4">
        <w:rPr>
          <w:rFonts w:hint="cs"/>
          <w:rtl/>
        </w:rPr>
        <w:t>ט</w:t>
      </w:r>
      <w:r w:rsidR="00110CB4" w:rsidRPr="00AA7EC0">
        <w:rPr>
          <w:rtl/>
        </w:rPr>
        <w:t>-</w:t>
      </w:r>
      <w:r w:rsidR="00110CB4" w:rsidRPr="00AA7EC0">
        <w:rPr>
          <w:rFonts w:hint="cs"/>
          <w:rtl/>
        </w:rPr>
        <w:t>2018</w:t>
      </w:r>
    </w:p>
    <w:p w:rsidR="00AA7EC0" w:rsidRDefault="00AA7EC0" w:rsidP="00722C14">
      <w:pPr>
        <w:rPr>
          <w:rtl/>
        </w:rPr>
      </w:pPr>
    </w:p>
    <w:p w:rsidR="00AA7EC0" w:rsidRDefault="00AA7EC0" w:rsidP="00722C14">
      <w:pPr>
        <w:rPr>
          <w:rtl/>
        </w:rPr>
      </w:pPr>
    </w:p>
    <w:p w:rsidR="00AA7EC0" w:rsidRDefault="00AA7EC0" w:rsidP="004A26E2">
      <w:pPr>
        <w:pStyle w:val="4"/>
        <w:rPr>
          <w:rtl/>
        </w:rPr>
      </w:pPr>
      <w:r>
        <w:rPr>
          <w:rFonts w:hint="cs"/>
          <w:rtl/>
        </w:rPr>
        <w:t xml:space="preserve">מטרת התקנות המוצעות והצורך בהן </w:t>
      </w:r>
      <w:r w:rsidR="00693CA9">
        <w:rPr>
          <w:rFonts w:hint="cs"/>
          <w:rtl/>
        </w:rPr>
        <w:t xml:space="preserve"> </w:t>
      </w:r>
    </w:p>
    <w:p w:rsidR="004A26E2" w:rsidRDefault="004A26E2" w:rsidP="00927ADA">
      <w:pPr>
        <w:pStyle w:val="Hesber1st"/>
        <w:tabs>
          <w:tab w:val="clear" w:pos="680"/>
        </w:tabs>
        <w:rPr>
          <w:snapToGrid/>
          <w:rtl/>
        </w:rPr>
      </w:pPr>
      <w:bookmarkStart w:id="0" w:name="_GoBack"/>
      <w:r w:rsidRPr="004A26E2">
        <w:rPr>
          <w:rFonts w:hint="cs"/>
          <w:rtl/>
        </w:rPr>
        <w:t>מתקני חשמל מייצרים סביבם קרינה המורכבת משדה מגנטי ומשדה חשמלי</w:t>
      </w:r>
      <w:r w:rsidR="00927ADA">
        <w:rPr>
          <w:rFonts w:hint="cs"/>
          <w:rtl/>
        </w:rPr>
        <w:t>,</w:t>
      </w:r>
      <w:r w:rsidRPr="004A26E2">
        <w:rPr>
          <w:rFonts w:hint="cs"/>
          <w:rtl/>
        </w:rPr>
        <w:t xml:space="preserve"> </w:t>
      </w:r>
      <w:r>
        <w:rPr>
          <w:rFonts w:hint="cs"/>
          <w:rtl/>
        </w:rPr>
        <w:t>ו</w:t>
      </w:r>
      <w:r w:rsidRPr="004A26E2">
        <w:rPr>
          <w:rFonts w:hint="cs"/>
          <w:rtl/>
        </w:rPr>
        <w:t>הם מקורות קרינה שהקמתם והפעלתם טעונות היתר על פי חוק הקרינה הבלתי מייננת.</w:t>
      </w:r>
      <w:r>
        <w:rPr>
          <w:rFonts w:hint="cs"/>
          <w:rtl/>
        </w:rPr>
        <w:t xml:space="preserve"> </w:t>
      </w:r>
    </w:p>
    <w:p w:rsidR="00927ADA" w:rsidRPr="004A26E2" w:rsidRDefault="00927ADA" w:rsidP="00927ADA">
      <w:pPr>
        <w:pStyle w:val="Hesber1st"/>
        <w:tabs>
          <w:tab w:val="clear" w:pos="680"/>
        </w:tabs>
        <w:rPr>
          <w:snapToGrid/>
          <w:rtl/>
        </w:rPr>
      </w:pPr>
      <w:r>
        <w:rPr>
          <w:rFonts w:hint="cs"/>
          <w:rtl/>
        </w:rPr>
        <w:t>על פי הוראות חוק הקרינה הבלתי מייננת, עד להתקנת תקנות בנושא, החלטות של הממונה בעניינים הנוגעים למשק החשמל מתקבלות בהתאם להמלצות שב</w:t>
      </w:r>
      <w:r w:rsidRPr="00E83B44">
        <w:rPr>
          <w:rFonts w:hint="cs"/>
          <w:rtl/>
        </w:rPr>
        <w:t>דוח ועדת המומחים</w:t>
      </w:r>
      <w:r>
        <w:rPr>
          <w:rFonts w:hint="cs"/>
          <w:rtl/>
        </w:rPr>
        <w:t xml:space="preserve"> משנת 2005 לעניין שדות מגנטיים מרשת החשמל</w:t>
      </w:r>
      <w:r>
        <w:rPr>
          <w:rFonts w:hint="cs"/>
          <w:snapToGrid/>
          <w:rtl/>
        </w:rPr>
        <w:t>.</w:t>
      </w:r>
    </w:p>
    <w:p w:rsidR="00AA7EC0" w:rsidRDefault="00927ADA" w:rsidP="00927ADA">
      <w:pPr>
        <w:pStyle w:val="Hesber"/>
        <w:rPr>
          <w:rtl/>
        </w:rPr>
      </w:pPr>
      <w:r>
        <w:rPr>
          <w:rFonts w:hint="cs"/>
          <w:rtl/>
        </w:rPr>
        <w:t>מטרת התקנות המוצעות היא לאמץ את עיקרי ההמלצות שבדוח ועדת המומחים - לקבוע סף חשיפה לגבי שהייה קצרת מועד בקרבת מתקן חשמל, ולגבי חשיפה ממושכת, מוצע לקבוע סדרה של אמצעים שיש לנקוט לשם צמצומה, ותקציבים שעל הגורמים העוסקים בהקמה ובהפעלה של מתקני חשמל להקצות לשם כך.</w:t>
      </w:r>
    </w:p>
    <w:bookmarkEnd w:id="0"/>
    <w:p w:rsidR="00AA7EC0" w:rsidRDefault="00AA7EC0" w:rsidP="00722C14">
      <w:pPr>
        <w:rPr>
          <w:rtl/>
        </w:rPr>
      </w:pPr>
    </w:p>
    <w:p w:rsidR="00AA7EC0" w:rsidRDefault="00AA7EC0" w:rsidP="00F24A78">
      <w:pPr>
        <w:pStyle w:val="4"/>
      </w:pPr>
      <w:r>
        <w:rPr>
          <w:rFonts w:hint="cs"/>
          <w:rtl/>
        </w:rPr>
        <w:t xml:space="preserve">להלן נוסח טיוטת התקנות המוצעות: </w:t>
      </w:r>
    </w:p>
    <w:p w:rsidR="00AA7EC0" w:rsidRPr="00413170" w:rsidRDefault="00AA7EC0" w:rsidP="00722C14">
      <w:pPr>
        <w:bidi w:val="0"/>
        <w:rPr>
          <w:rFonts w:asciiTheme="minorHAnsi" w:hAnsiTheme="minorHAnsi"/>
        </w:rPr>
      </w:pPr>
      <w:r>
        <w:rPr>
          <w:rtl/>
        </w:rPr>
        <w:br w:type="page"/>
      </w:r>
    </w:p>
    <w:p w:rsidR="00AA7EC0" w:rsidRDefault="00AA7EC0" w:rsidP="00AA7EC0">
      <w:pPr>
        <w:pStyle w:val="HeadMitparsemetBaze"/>
        <w:keepNext w:val="0"/>
        <w:keepLines w:val="0"/>
        <w:pageBreakBefore w:val="0"/>
        <w:rPr>
          <w:rtl/>
        </w:rPr>
      </w:pPr>
      <w:r>
        <w:rPr>
          <w:rtl/>
        </w:rPr>
        <w:lastRenderedPageBreak/>
        <w:t xml:space="preserve">טיוטת תקנות מטעם </w:t>
      </w:r>
      <w:r>
        <w:rPr>
          <w:rFonts w:hint="cs"/>
          <w:rtl/>
        </w:rPr>
        <w:t>ה</w:t>
      </w:r>
      <w:r>
        <w:rPr>
          <w:rtl/>
        </w:rPr>
        <w:t>משרד</w:t>
      </w:r>
      <w:r>
        <w:rPr>
          <w:rFonts w:hint="cs"/>
          <w:rtl/>
        </w:rPr>
        <w:t xml:space="preserve"> להגנת הסביבה </w:t>
      </w:r>
      <w:r>
        <w:rPr>
          <w:rtl/>
        </w:rPr>
        <w:t xml:space="preserve">: </w:t>
      </w:r>
    </w:p>
    <w:p w:rsidR="00AA7EC0" w:rsidRDefault="00AA7EC0" w:rsidP="00AA7EC0">
      <w:pPr>
        <w:pStyle w:val="HeadHatzaotHok"/>
        <w:keepNext w:val="0"/>
        <w:keepLines w:val="0"/>
        <w:rPr>
          <w:rtl/>
        </w:rPr>
      </w:pPr>
      <w:r>
        <w:rPr>
          <w:rtl/>
        </w:rPr>
        <w:t xml:space="preserve">טיוטת תקנות </w:t>
      </w:r>
      <w:r w:rsidRPr="00AA7EC0">
        <w:rPr>
          <w:rFonts w:hint="cs"/>
          <w:rtl/>
        </w:rPr>
        <w:t xml:space="preserve">הקרינה הבלתי מייננת (תיקון), </w:t>
      </w:r>
      <w:r w:rsidRPr="00AA7EC0">
        <w:rPr>
          <w:rtl/>
        </w:rPr>
        <w:t>התש</w:t>
      </w:r>
      <w:r w:rsidRPr="00AA7EC0">
        <w:rPr>
          <w:rFonts w:hint="cs"/>
          <w:rtl/>
        </w:rPr>
        <w:t>ע"</w:t>
      </w:r>
      <w:r>
        <w:rPr>
          <w:rFonts w:hint="cs"/>
          <w:rtl/>
        </w:rPr>
        <w:t>ט</w:t>
      </w:r>
      <w:r w:rsidRPr="00AA7EC0">
        <w:rPr>
          <w:rtl/>
        </w:rPr>
        <w:t>-</w:t>
      </w:r>
      <w:r w:rsidRPr="00AA7EC0">
        <w:rPr>
          <w:rFonts w:hint="cs"/>
          <w:rtl/>
        </w:rPr>
        <w:t>2018</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AA7EC0" w:rsidTr="00AE74F7">
        <w:trPr>
          <w:cantSplit/>
          <w:trHeight w:val="60"/>
        </w:trPr>
        <w:tc>
          <w:tcPr>
            <w:tcW w:w="1871" w:type="dxa"/>
          </w:tcPr>
          <w:p w:rsidR="00AA7EC0" w:rsidRDefault="00AA7EC0">
            <w:pPr>
              <w:pStyle w:val="TableSideHeading"/>
              <w:rPr>
                <w:rtl/>
              </w:rPr>
            </w:pPr>
          </w:p>
        </w:tc>
        <w:tc>
          <w:tcPr>
            <w:tcW w:w="624" w:type="dxa"/>
          </w:tcPr>
          <w:p w:rsidR="00AA7EC0" w:rsidRDefault="00AA7EC0">
            <w:pPr>
              <w:pStyle w:val="TableText"/>
            </w:pPr>
          </w:p>
        </w:tc>
        <w:tc>
          <w:tcPr>
            <w:tcW w:w="7146" w:type="dxa"/>
            <w:gridSpan w:val="6"/>
            <w:hideMark/>
          </w:tcPr>
          <w:p w:rsidR="00AA7EC0" w:rsidRDefault="00AE74F7">
            <w:pPr>
              <w:pStyle w:val="TableBlock"/>
            </w:pPr>
            <w:r w:rsidRPr="00E14FD8">
              <w:rPr>
                <w:rFonts w:ascii="David" w:hAnsi="David" w:hint="cs"/>
                <w:rtl/>
              </w:rPr>
              <w:t>בתוקף סמכותי לפי סעי</w:t>
            </w:r>
            <w:r>
              <w:rPr>
                <w:rFonts w:ascii="David" w:hAnsi="David" w:hint="cs"/>
                <w:rtl/>
              </w:rPr>
              <w:t>ף</w:t>
            </w:r>
            <w:r w:rsidRPr="00E14FD8">
              <w:rPr>
                <w:rFonts w:ascii="David" w:hAnsi="David" w:hint="cs"/>
                <w:rtl/>
              </w:rPr>
              <w:t xml:space="preserve"> 25(א) לחוק הקרינה הבלתי מייננת, התשס"ו-2006</w:t>
            </w:r>
            <w:r>
              <w:rPr>
                <w:rStyle w:val="a7"/>
                <w:rFonts w:ascii="David" w:hAnsi="David"/>
                <w:rtl/>
              </w:rPr>
              <w:footnoteReference w:id="1"/>
            </w:r>
            <w:r w:rsidRPr="00E14FD8">
              <w:rPr>
                <w:rFonts w:ascii="David" w:hAnsi="David" w:hint="cs"/>
                <w:rtl/>
              </w:rPr>
              <w:t xml:space="preserve"> (להלן-החוק), בהתייעצות עם שר הבריאות</w:t>
            </w:r>
            <w:r>
              <w:rPr>
                <w:rFonts w:ascii="David" w:hAnsi="David" w:hint="cs"/>
                <w:rtl/>
              </w:rPr>
              <w:t>, ובהסכמת</w:t>
            </w:r>
            <w:r w:rsidRPr="00E14FD8">
              <w:rPr>
                <w:rFonts w:ascii="David" w:hAnsi="David" w:hint="cs"/>
                <w:rtl/>
              </w:rPr>
              <w:t xml:space="preserve"> שר </w:t>
            </w:r>
            <w:r>
              <w:rPr>
                <w:rFonts w:ascii="David" w:hAnsi="David" w:hint="cs"/>
                <w:rtl/>
              </w:rPr>
              <w:t xml:space="preserve">האנרגיה ושר האוצר </w:t>
            </w:r>
            <w:proofErr w:type="spellStart"/>
            <w:r>
              <w:rPr>
                <w:rFonts w:ascii="David" w:hAnsi="David" w:hint="cs"/>
                <w:rtl/>
              </w:rPr>
              <w:t>לענין</w:t>
            </w:r>
            <w:proofErr w:type="spellEnd"/>
            <w:r>
              <w:rPr>
                <w:rFonts w:ascii="David" w:hAnsi="David" w:hint="cs"/>
                <w:rtl/>
              </w:rPr>
              <w:t xml:space="preserve"> סעיף 25(א)(2), </w:t>
            </w:r>
            <w:r w:rsidRPr="00E14FD8">
              <w:rPr>
                <w:rFonts w:ascii="David" w:hAnsi="David" w:hint="cs"/>
                <w:rtl/>
              </w:rPr>
              <w:t>לפי סעיף 25(</w:t>
            </w:r>
            <w:r>
              <w:rPr>
                <w:rFonts w:ascii="David" w:hAnsi="David" w:hint="cs"/>
                <w:rtl/>
              </w:rPr>
              <w:t>ג</w:t>
            </w:r>
            <w:r w:rsidRPr="00E14FD8">
              <w:rPr>
                <w:rFonts w:ascii="David" w:hAnsi="David" w:hint="cs"/>
                <w:rtl/>
              </w:rPr>
              <w:t>) לחוק, ובאישור ועדת הפנים והגנת הסביבה של הכנסת, אני מתקין תקנות אלה:</w:t>
            </w:r>
          </w:p>
        </w:tc>
      </w:tr>
      <w:tr w:rsidR="00AA7EC0" w:rsidTr="00AE74F7">
        <w:trPr>
          <w:cantSplit/>
          <w:trHeight w:val="60"/>
        </w:trPr>
        <w:tc>
          <w:tcPr>
            <w:tcW w:w="1871" w:type="dxa"/>
          </w:tcPr>
          <w:p w:rsidR="00AA7EC0" w:rsidRDefault="00AE74F7">
            <w:pPr>
              <w:pStyle w:val="TableSideHeading"/>
            </w:pPr>
            <w:r>
              <w:rPr>
                <w:rFonts w:hint="cs"/>
                <w:rtl/>
              </w:rPr>
              <w:t>תיקון תקנה 1</w:t>
            </w:r>
          </w:p>
        </w:tc>
        <w:tc>
          <w:tcPr>
            <w:tcW w:w="624" w:type="dxa"/>
          </w:tcPr>
          <w:p w:rsidR="00AA7EC0" w:rsidRDefault="003213E3" w:rsidP="000627FC">
            <w:pPr>
              <w:pStyle w:val="TableText"/>
            </w:pPr>
            <w:r>
              <w:rPr>
                <w:rFonts w:hint="cs"/>
                <w:rtl/>
              </w:rPr>
              <w:t>1.</w:t>
            </w:r>
          </w:p>
        </w:tc>
        <w:tc>
          <w:tcPr>
            <w:tcW w:w="7146" w:type="dxa"/>
            <w:gridSpan w:val="6"/>
          </w:tcPr>
          <w:p w:rsidR="00AA7EC0" w:rsidRDefault="00AE74F7" w:rsidP="00E67AA3">
            <w:pPr>
              <w:pStyle w:val="TableBlock"/>
            </w:pPr>
            <w:r>
              <w:rPr>
                <w:rFonts w:hint="cs"/>
                <w:rtl/>
              </w:rPr>
              <w:t>בתקנה 1 לתקנות הקרינה הבלתי מייננת, התשס"ט-2009</w:t>
            </w:r>
            <w:r w:rsidR="00E67AA3">
              <w:rPr>
                <w:rStyle w:val="a7"/>
                <w:rtl/>
              </w:rPr>
              <w:footnoteReference w:id="2"/>
            </w:r>
            <w:r>
              <w:rPr>
                <w:rFonts w:hint="cs"/>
                <w:rtl/>
              </w:rPr>
              <w:t xml:space="preserve"> (להלן- התקנות העיקריות) בסופה יבוא:</w:t>
            </w:r>
          </w:p>
        </w:tc>
      </w:tr>
      <w:tr w:rsidR="00AE74F7" w:rsidTr="00AE74F7">
        <w:trPr>
          <w:cantSplit/>
          <w:trHeight w:val="60"/>
        </w:trPr>
        <w:tc>
          <w:tcPr>
            <w:tcW w:w="1871" w:type="dxa"/>
          </w:tcPr>
          <w:p w:rsidR="00AE74F7" w:rsidRDefault="00AE74F7">
            <w:pPr>
              <w:pStyle w:val="TableSideHeading"/>
              <w:rPr>
                <w:rtl/>
              </w:rPr>
            </w:pPr>
          </w:p>
        </w:tc>
        <w:tc>
          <w:tcPr>
            <w:tcW w:w="624" w:type="dxa"/>
          </w:tcPr>
          <w:p w:rsidR="00AE74F7" w:rsidRDefault="00AE74F7" w:rsidP="000627FC">
            <w:pPr>
              <w:pStyle w:val="TableText"/>
            </w:pPr>
          </w:p>
        </w:tc>
        <w:tc>
          <w:tcPr>
            <w:tcW w:w="7146" w:type="dxa"/>
            <w:gridSpan w:val="6"/>
          </w:tcPr>
          <w:p w:rsidR="00AE74F7" w:rsidRDefault="00AE74F7">
            <w:pPr>
              <w:pStyle w:val="TableBlock"/>
              <w:rPr>
                <w:rtl/>
              </w:rPr>
            </w:pPr>
            <w:r>
              <w:rPr>
                <w:rFonts w:ascii="David" w:hAnsi="David" w:hint="cs"/>
                <w:rtl/>
              </w:rPr>
              <w:t>""</w:t>
            </w:r>
            <w:r w:rsidRPr="00D60AE6">
              <w:rPr>
                <w:rFonts w:hint="cs"/>
                <w:rtl/>
              </w:rPr>
              <w:t>המשרד" - המשרד להגנת הסביבה".</w:t>
            </w:r>
          </w:p>
        </w:tc>
      </w:tr>
      <w:tr w:rsidR="00AE74F7" w:rsidTr="00AE74F7">
        <w:trPr>
          <w:cantSplit/>
          <w:trHeight w:val="60"/>
        </w:trPr>
        <w:tc>
          <w:tcPr>
            <w:tcW w:w="1871" w:type="dxa"/>
          </w:tcPr>
          <w:p w:rsidR="00AE74F7" w:rsidRDefault="00AE74F7" w:rsidP="007E751D">
            <w:pPr>
              <w:pStyle w:val="TableSideHeading"/>
              <w:keepLines w:val="0"/>
            </w:pPr>
            <w:r>
              <w:rPr>
                <w:rFonts w:hint="cs"/>
                <w:rtl/>
              </w:rPr>
              <w:t>הוספת סימן ב1</w:t>
            </w:r>
          </w:p>
        </w:tc>
        <w:tc>
          <w:tcPr>
            <w:tcW w:w="624" w:type="dxa"/>
          </w:tcPr>
          <w:p w:rsidR="00AE74F7" w:rsidRDefault="003213E3" w:rsidP="000627FC">
            <w:pPr>
              <w:pStyle w:val="TableText"/>
            </w:pPr>
            <w:r>
              <w:rPr>
                <w:rFonts w:hint="cs"/>
                <w:rtl/>
              </w:rPr>
              <w:t>2.</w:t>
            </w:r>
          </w:p>
        </w:tc>
        <w:tc>
          <w:tcPr>
            <w:tcW w:w="7146" w:type="dxa"/>
            <w:gridSpan w:val="6"/>
          </w:tcPr>
          <w:p w:rsidR="00AE74F7" w:rsidRPr="00C34DE2" w:rsidRDefault="00AE74F7" w:rsidP="007E751D">
            <w:pPr>
              <w:pStyle w:val="TableBlock"/>
              <w:keepLines w:val="0"/>
            </w:pPr>
            <w:r>
              <w:rPr>
                <w:rFonts w:hint="cs"/>
                <w:rtl/>
              </w:rPr>
              <w:t>אחרי תקנה 4 לתקנות העיקריות, יבוא:</w:t>
            </w:r>
          </w:p>
        </w:tc>
      </w:tr>
      <w:tr w:rsidR="00AE74F7" w:rsidTr="00AE74F7">
        <w:trPr>
          <w:cantSplit/>
          <w:trHeight w:val="60"/>
        </w:trPr>
        <w:tc>
          <w:tcPr>
            <w:tcW w:w="1871" w:type="dxa"/>
          </w:tcPr>
          <w:p w:rsidR="00AE74F7" w:rsidRDefault="00AE74F7">
            <w:pPr>
              <w:pStyle w:val="TableSideHeading"/>
              <w:rPr>
                <w:rtl/>
              </w:rPr>
            </w:pPr>
          </w:p>
        </w:tc>
        <w:tc>
          <w:tcPr>
            <w:tcW w:w="624" w:type="dxa"/>
          </w:tcPr>
          <w:p w:rsidR="00AE74F7" w:rsidRDefault="00AE74F7" w:rsidP="00AE74F7">
            <w:pPr>
              <w:pStyle w:val="TableText"/>
              <w:jc w:val="both"/>
            </w:pPr>
          </w:p>
        </w:tc>
        <w:tc>
          <w:tcPr>
            <w:tcW w:w="7146" w:type="dxa"/>
            <w:gridSpan w:val="6"/>
          </w:tcPr>
          <w:p w:rsidR="00AE74F7" w:rsidRPr="00AE74F7" w:rsidRDefault="00AE74F7" w:rsidP="00AE74F7">
            <w:pPr>
              <w:pStyle w:val="TableHead"/>
              <w:outlineLvl w:val="9"/>
              <w:rPr>
                <w:rtl/>
              </w:rPr>
            </w:pPr>
            <w:r w:rsidRPr="00FE4F2C">
              <w:rPr>
                <w:rFonts w:hint="cs"/>
                <w:rtl/>
              </w:rPr>
              <w:t>"סימן ב</w:t>
            </w:r>
            <w:r>
              <w:rPr>
                <w:rFonts w:hint="cs"/>
                <w:rtl/>
              </w:rPr>
              <w:t>1: הפחתת רמות חשיפה ל</w:t>
            </w:r>
            <w:r w:rsidRPr="00FE4F2C">
              <w:rPr>
                <w:rFonts w:hint="cs"/>
                <w:rtl/>
              </w:rPr>
              <w:t xml:space="preserve">קרינה בתדרי </w:t>
            </w:r>
            <w:r>
              <w:rPr>
                <w:rFonts w:hint="cs"/>
                <w:rtl/>
              </w:rPr>
              <w:t>רשת החשמל</w:t>
            </w:r>
          </w:p>
        </w:tc>
      </w:tr>
      <w:tr w:rsidR="00AE74F7" w:rsidTr="00AE74F7">
        <w:trPr>
          <w:cantSplit/>
          <w:trHeight w:val="60"/>
        </w:trPr>
        <w:tc>
          <w:tcPr>
            <w:tcW w:w="1871" w:type="dxa"/>
          </w:tcPr>
          <w:p w:rsidR="00AE74F7" w:rsidRDefault="00AE74F7">
            <w:pPr>
              <w:pStyle w:val="TableSideHeading"/>
              <w:keepLines w:val="0"/>
            </w:pPr>
          </w:p>
        </w:tc>
        <w:tc>
          <w:tcPr>
            <w:tcW w:w="624" w:type="dxa"/>
          </w:tcPr>
          <w:p w:rsidR="00AE74F7" w:rsidRDefault="00AE74F7" w:rsidP="00F35D5D">
            <w:pPr>
              <w:pStyle w:val="TableText"/>
            </w:pPr>
          </w:p>
        </w:tc>
        <w:tc>
          <w:tcPr>
            <w:tcW w:w="1872" w:type="dxa"/>
            <w:gridSpan w:val="3"/>
          </w:tcPr>
          <w:p w:rsidR="00AE74F7" w:rsidRDefault="00AE74F7">
            <w:pPr>
              <w:pStyle w:val="TableInnerSideHeading"/>
            </w:pPr>
            <w:r>
              <w:rPr>
                <w:rFonts w:hint="cs"/>
                <w:rtl/>
              </w:rPr>
              <w:t>הגדרות</w:t>
            </w:r>
          </w:p>
        </w:tc>
        <w:tc>
          <w:tcPr>
            <w:tcW w:w="624" w:type="dxa"/>
          </w:tcPr>
          <w:p w:rsidR="00AE74F7" w:rsidRDefault="006A6109">
            <w:pPr>
              <w:pStyle w:val="TableText"/>
            </w:pPr>
            <w:r>
              <w:rPr>
                <w:rFonts w:hint="cs"/>
                <w:rtl/>
              </w:rPr>
              <w:t>4א.</w:t>
            </w:r>
          </w:p>
        </w:tc>
        <w:tc>
          <w:tcPr>
            <w:tcW w:w="4650" w:type="dxa"/>
            <w:gridSpan w:val="2"/>
          </w:tcPr>
          <w:p w:rsidR="00AE74F7" w:rsidRDefault="006A6109">
            <w:pPr>
              <w:pStyle w:val="TableBlock"/>
            </w:pPr>
            <w:r>
              <w:rPr>
                <w:rtl/>
              </w:rPr>
              <w:t xml:space="preserve">בסימן זה -   </w:t>
            </w:r>
          </w:p>
        </w:tc>
      </w:tr>
      <w:tr w:rsidR="006A6109">
        <w:trPr>
          <w:cantSplit/>
          <w:trHeight w:val="60"/>
        </w:trPr>
        <w:tc>
          <w:tcPr>
            <w:tcW w:w="1871" w:type="dxa"/>
          </w:tcPr>
          <w:p w:rsidR="006A6109" w:rsidRDefault="006A6109">
            <w:pPr>
              <w:pStyle w:val="TableSideHeading"/>
            </w:pPr>
          </w:p>
        </w:tc>
        <w:tc>
          <w:tcPr>
            <w:tcW w:w="624" w:type="dxa"/>
          </w:tcPr>
          <w:p w:rsidR="006A6109" w:rsidRDefault="006A6109" w:rsidP="00F35D5D">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4650" w:type="dxa"/>
            <w:gridSpan w:val="2"/>
          </w:tcPr>
          <w:p w:rsidR="006A6109" w:rsidRPr="006A6109" w:rsidRDefault="006A6109" w:rsidP="006A6109">
            <w:pPr>
              <w:pStyle w:val="TableBlockOutdent"/>
            </w:pPr>
            <w:r>
              <w:rPr>
                <w:rtl/>
              </w:rPr>
              <w:t>"</w:t>
            </w:r>
            <w:r w:rsidRPr="00322F52">
              <w:rPr>
                <w:rtl/>
              </w:rPr>
              <w:t xml:space="preserve">אמצעים להפחתת רמת החשיפה" </w:t>
            </w:r>
            <w:r>
              <w:rPr>
                <w:rtl/>
              </w:rPr>
              <w:t>–</w:t>
            </w:r>
            <w:r w:rsidRPr="00322F52">
              <w:rPr>
                <w:rtl/>
              </w:rPr>
              <w:t xml:space="preserve"> </w:t>
            </w:r>
            <w:r>
              <w:rPr>
                <w:rFonts w:hint="cs"/>
                <w:rtl/>
              </w:rPr>
              <w:t>כל אחד מאלה :</w:t>
            </w:r>
          </w:p>
        </w:tc>
      </w:tr>
      <w:tr w:rsidR="006A6109">
        <w:trPr>
          <w:cantSplit/>
          <w:trHeight w:val="60"/>
        </w:trPr>
        <w:tc>
          <w:tcPr>
            <w:tcW w:w="1871" w:type="dxa"/>
          </w:tcPr>
          <w:p w:rsidR="006A6109" w:rsidRDefault="006A6109">
            <w:pPr>
              <w:pStyle w:val="TableSideHeading"/>
            </w:pPr>
          </w:p>
        </w:tc>
        <w:tc>
          <w:tcPr>
            <w:tcW w:w="624" w:type="dxa"/>
          </w:tcPr>
          <w:p w:rsidR="006A6109" w:rsidRDefault="006A6109" w:rsidP="00F35D5D">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rsidP="006A6109">
            <w:pPr>
              <w:pStyle w:val="TableText"/>
              <w:tabs>
                <w:tab w:val="clear" w:pos="1247"/>
              </w:tabs>
              <w:jc w:val="both"/>
            </w:pPr>
          </w:p>
        </w:tc>
        <w:tc>
          <w:tcPr>
            <w:tcW w:w="4026" w:type="dxa"/>
          </w:tcPr>
          <w:p w:rsidR="006A6109" w:rsidRPr="006A6109" w:rsidRDefault="006A6109" w:rsidP="00D15EF7">
            <w:pPr>
              <w:pStyle w:val="TableBlock"/>
              <w:numPr>
                <w:ilvl w:val="0"/>
                <w:numId w:val="22"/>
              </w:numPr>
              <w:tabs>
                <w:tab w:val="left" w:pos="624"/>
              </w:tabs>
            </w:pPr>
            <w:r w:rsidRPr="007E29AF">
              <w:rPr>
                <w:rtl/>
              </w:rPr>
              <w:t>אמצעים שגרתיים</w:t>
            </w:r>
            <w:r>
              <w:rPr>
                <w:rFonts w:hint="cs"/>
                <w:rtl/>
              </w:rPr>
              <w:t xml:space="preserve"> </w:t>
            </w:r>
            <w:r w:rsidR="00D15EF7">
              <w:rPr>
                <w:rtl/>
              </w:rPr>
              <w:t xml:space="preserve">המפורטים </w:t>
            </w:r>
            <w:r w:rsidRPr="007E29AF">
              <w:rPr>
                <w:rtl/>
              </w:rPr>
              <w:t xml:space="preserve">בתוספת </w:t>
            </w:r>
            <w:r w:rsidR="00C26B9F">
              <w:rPr>
                <w:rFonts w:hint="cs"/>
                <w:rtl/>
              </w:rPr>
              <w:t>השלישית</w:t>
            </w:r>
            <w:r w:rsidRPr="007E29AF">
              <w:rPr>
                <w:rtl/>
              </w:rPr>
              <w:t>;</w:t>
            </w:r>
          </w:p>
        </w:tc>
      </w:tr>
      <w:tr w:rsidR="006A6109">
        <w:trPr>
          <w:cantSplit/>
          <w:trHeight w:val="60"/>
        </w:trPr>
        <w:tc>
          <w:tcPr>
            <w:tcW w:w="1871" w:type="dxa"/>
          </w:tcPr>
          <w:p w:rsidR="006A6109" w:rsidRDefault="006A6109">
            <w:pPr>
              <w:pStyle w:val="TableSideHeading"/>
            </w:pPr>
          </w:p>
        </w:tc>
        <w:tc>
          <w:tcPr>
            <w:tcW w:w="624" w:type="dxa"/>
          </w:tcPr>
          <w:p w:rsidR="006A6109" w:rsidRDefault="006A6109" w:rsidP="00F35D5D">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rsidP="006A6109">
            <w:pPr>
              <w:pStyle w:val="TableText"/>
              <w:tabs>
                <w:tab w:val="clear" w:pos="1247"/>
              </w:tabs>
              <w:jc w:val="both"/>
            </w:pPr>
          </w:p>
        </w:tc>
        <w:tc>
          <w:tcPr>
            <w:tcW w:w="4026" w:type="dxa"/>
          </w:tcPr>
          <w:p w:rsidR="006A6109" w:rsidRPr="007E29AF" w:rsidRDefault="006A6109" w:rsidP="008A52FF">
            <w:pPr>
              <w:pStyle w:val="TableBlock"/>
              <w:numPr>
                <w:ilvl w:val="0"/>
                <w:numId w:val="22"/>
              </w:numPr>
              <w:tabs>
                <w:tab w:val="left" w:pos="624"/>
              </w:tabs>
              <w:rPr>
                <w:rtl/>
              </w:rPr>
            </w:pPr>
            <w:r w:rsidRPr="007E29AF">
              <w:rPr>
                <w:rtl/>
              </w:rPr>
              <w:t xml:space="preserve">אמצעים שהוסכמו בין הממונה לבין </w:t>
            </w:r>
            <w:r w:rsidR="00BE4212">
              <w:rPr>
                <w:rFonts w:hint="cs"/>
                <w:rtl/>
              </w:rPr>
              <w:t>מבקש</w:t>
            </w:r>
            <w:r w:rsidR="004E7095">
              <w:rPr>
                <w:rFonts w:hint="cs"/>
                <w:rtl/>
              </w:rPr>
              <w:t xml:space="preserve"> או בעל</w:t>
            </w:r>
            <w:r w:rsidR="00BE4212">
              <w:rPr>
                <w:rFonts w:hint="cs"/>
                <w:rtl/>
              </w:rPr>
              <w:t xml:space="preserve"> היתר ההקמה או היתר ההפעלה</w:t>
            </w:r>
            <w:r>
              <w:rPr>
                <w:rFonts w:hint="cs"/>
                <w:rtl/>
              </w:rPr>
              <w:t>, לפי העניין;</w:t>
            </w:r>
          </w:p>
        </w:tc>
      </w:tr>
      <w:tr w:rsidR="006A6109">
        <w:trPr>
          <w:cantSplit/>
          <w:trHeight w:val="60"/>
        </w:trPr>
        <w:tc>
          <w:tcPr>
            <w:tcW w:w="1871" w:type="dxa"/>
          </w:tcPr>
          <w:p w:rsidR="006A6109" w:rsidRPr="002C57B4" w:rsidRDefault="006A6109" w:rsidP="00413170">
            <w:pPr>
              <w:pStyle w:val="TableSideHeading"/>
            </w:pPr>
          </w:p>
        </w:tc>
        <w:tc>
          <w:tcPr>
            <w:tcW w:w="624" w:type="dxa"/>
          </w:tcPr>
          <w:p w:rsidR="006A6109" w:rsidRDefault="006A6109" w:rsidP="00F35D5D">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rsidP="006A6109">
            <w:pPr>
              <w:pStyle w:val="TableText"/>
              <w:tabs>
                <w:tab w:val="clear" w:pos="1247"/>
              </w:tabs>
              <w:jc w:val="both"/>
            </w:pPr>
          </w:p>
        </w:tc>
        <w:tc>
          <w:tcPr>
            <w:tcW w:w="4026" w:type="dxa"/>
          </w:tcPr>
          <w:p w:rsidR="00BE4212" w:rsidRPr="007E29AF" w:rsidRDefault="006A6109" w:rsidP="00466CA1">
            <w:pPr>
              <w:pStyle w:val="TableBlock"/>
              <w:numPr>
                <w:ilvl w:val="0"/>
                <w:numId w:val="22"/>
              </w:numPr>
              <w:tabs>
                <w:tab w:val="left" w:pos="624"/>
              </w:tabs>
              <w:rPr>
                <w:rtl/>
              </w:rPr>
            </w:pPr>
            <w:r w:rsidRPr="007E29AF">
              <w:rPr>
                <w:rtl/>
              </w:rPr>
              <w:t>אמצעים שנקבעו על ידי הועדה המקצועית.</w:t>
            </w:r>
          </w:p>
        </w:tc>
      </w:tr>
      <w:tr w:rsidR="00D83E4E">
        <w:trPr>
          <w:cantSplit/>
          <w:trHeight w:val="60"/>
        </w:trPr>
        <w:tc>
          <w:tcPr>
            <w:tcW w:w="1871" w:type="dxa"/>
          </w:tcPr>
          <w:p w:rsidR="00D83E4E" w:rsidRDefault="00D83E4E">
            <w:pPr>
              <w:pStyle w:val="TableSideHeading"/>
            </w:pPr>
          </w:p>
        </w:tc>
        <w:tc>
          <w:tcPr>
            <w:tcW w:w="624" w:type="dxa"/>
          </w:tcPr>
          <w:p w:rsidR="00D83E4E" w:rsidRDefault="00D83E4E" w:rsidP="00F35D5D">
            <w:pPr>
              <w:pStyle w:val="TableText"/>
            </w:pPr>
          </w:p>
        </w:tc>
        <w:tc>
          <w:tcPr>
            <w:tcW w:w="624" w:type="dxa"/>
          </w:tcPr>
          <w:p w:rsidR="00D83E4E" w:rsidRDefault="00D83E4E">
            <w:pPr>
              <w:pStyle w:val="TableText"/>
            </w:pPr>
          </w:p>
        </w:tc>
        <w:tc>
          <w:tcPr>
            <w:tcW w:w="624" w:type="dxa"/>
          </w:tcPr>
          <w:p w:rsidR="00D83E4E" w:rsidRDefault="00D83E4E">
            <w:pPr>
              <w:pStyle w:val="TableText"/>
            </w:pPr>
          </w:p>
        </w:tc>
        <w:tc>
          <w:tcPr>
            <w:tcW w:w="624" w:type="dxa"/>
          </w:tcPr>
          <w:p w:rsidR="00D83E4E" w:rsidRDefault="00D83E4E">
            <w:pPr>
              <w:pStyle w:val="TableText"/>
            </w:pPr>
          </w:p>
        </w:tc>
        <w:tc>
          <w:tcPr>
            <w:tcW w:w="624" w:type="dxa"/>
          </w:tcPr>
          <w:p w:rsidR="00D83E4E" w:rsidRDefault="00D83E4E">
            <w:pPr>
              <w:pStyle w:val="TableText"/>
            </w:pPr>
          </w:p>
        </w:tc>
        <w:tc>
          <w:tcPr>
            <w:tcW w:w="4650" w:type="dxa"/>
            <w:gridSpan w:val="2"/>
          </w:tcPr>
          <w:p w:rsidR="00D83E4E" w:rsidRPr="00D83E4E" w:rsidRDefault="00D83E4E" w:rsidP="002C57B4">
            <w:pPr>
              <w:pStyle w:val="TableBlockOutdent"/>
              <w:rPr>
                <w:rtl/>
              </w:rPr>
            </w:pPr>
            <w:r>
              <w:rPr>
                <w:rtl/>
              </w:rPr>
              <w:t>"</w:t>
            </w:r>
            <w:r>
              <w:rPr>
                <w:rFonts w:hint="cs"/>
                <w:rtl/>
              </w:rPr>
              <w:t xml:space="preserve">בעל רישיון חלוקה", </w:t>
            </w:r>
            <w:r>
              <w:rPr>
                <w:rtl/>
              </w:rPr>
              <w:t>"</w:t>
            </w:r>
            <w:r w:rsidR="002C57B4">
              <w:rPr>
                <w:rFonts w:hint="cs"/>
                <w:rtl/>
              </w:rPr>
              <w:t xml:space="preserve">בעל רישיון לניהול </w:t>
            </w:r>
            <w:r>
              <w:rPr>
                <w:rtl/>
              </w:rPr>
              <w:t xml:space="preserve">מערכת" </w:t>
            </w:r>
            <w:r>
              <w:rPr>
                <w:rFonts w:hint="cs"/>
                <w:rtl/>
              </w:rPr>
              <w:t xml:space="preserve">- </w:t>
            </w:r>
            <w:r>
              <w:rPr>
                <w:rtl/>
              </w:rPr>
              <w:t>כהגדרת</w:t>
            </w:r>
            <w:r>
              <w:rPr>
                <w:rFonts w:hint="cs"/>
                <w:rtl/>
              </w:rPr>
              <w:t>ם</w:t>
            </w:r>
            <w:r>
              <w:rPr>
                <w:rtl/>
              </w:rPr>
              <w:t xml:space="preserve"> בחוק משק החשמל, </w:t>
            </w:r>
            <w:proofErr w:type="spellStart"/>
            <w:r>
              <w:rPr>
                <w:rtl/>
              </w:rPr>
              <w:t>התשנ"ו</w:t>
            </w:r>
            <w:proofErr w:type="spellEnd"/>
            <w:r>
              <w:rPr>
                <w:rtl/>
              </w:rPr>
              <w:t xml:space="preserve"> – 1996</w:t>
            </w:r>
            <w:r w:rsidR="00F6704B">
              <w:rPr>
                <w:rStyle w:val="a7"/>
                <w:rtl/>
              </w:rPr>
              <w:footnoteReference w:id="3"/>
            </w:r>
            <w:r>
              <w:rPr>
                <w:rFonts w:hint="cs"/>
                <w:rtl/>
              </w:rPr>
              <w:t>;</w:t>
            </w:r>
          </w:p>
        </w:tc>
      </w:tr>
      <w:tr w:rsidR="006A6109">
        <w:trPr>
          <w:cantSplit/>
          <w:trHeight w:val="60"/>
        </w:trPr>
        <w:tc>
          <w:tcPr>
            <w:tcW w:w="1871" w:type="dxa"/>
          </w:tcPr>
          <w:p w:rsidR="006A6109" w:rsidRDefault="006A6109">
            <w:pPr>
              <w:pStyle w:val="TableSideHeading"/>
            </w:pPr>
          </w:p>
        </w:tc>
        <w:tc>
          <w:tcPr>
            <w:tcW w:w="624" w:type="dxa"/>
          </w:tcPr>
          <w:p w:rsidR="006A6109" w:rsidRDefault="006A6109" w:rsidP="00F35D5D">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4650" w:type="dxa"/>
            <w:gridSpan w:val="2"/>
          </w:tcPr>
          <w:p w:rsidR="006A6109" w:rsidRPr="006A6109" w:rsidRDefault="002C57B4" w:rsidP="0075328D">
            <w:pPr>
              <w:pStyle w:val="TableBlockOutdent"/>
              <w:rPr>
                <w:rtl/>
              </w:rPr>
            </w:pPr>
            <w:r>
              <w:rPr>
                <w:rtl/>
              </w:rPr>
              <w:t>"</w:t>
            </w:r>
            <w:r w:rsidRPr="006A6109">
              <w:rPr>
                <w:rtl/>
              </w:rPr>
              <w:t xml:space="preserve">זרם אופייני" - </w:t>
            </w:r>
            <w:r>
              <w:rPr>
                <w:rtl/>
              </w:rPr>
              <w:t>מחצית מהזרם הנקוב של הקו</w:t>
            </w:r>
            <w:r>
              <w:rPr>
                <w:rFonts w:hint="cs"/>
                <w:rtl/>
              </w:rPr>
              <w:t>;</w:t>
            </w:r>
          </w:p>
        </w:tc>
      </w:tr>
      <w:tr w:rsidR="002C57B4">
        <w:trPr>
          <w:cantSplit/>
          <w:trHeight w:val="60"/>
        </w:trPr>
        <w:tc>
          <w:tcPr>
            <w:tcW w:w="1871" w:type="dxa"/>
          </w:tcPr>
          <w:p w:rsidR="002C57B4" w:rsidRDefault="002C57B4">
            <w:pPr>
              <w:pStyle w:val="TableSideHeading"/>
            </w:pPr>
          </w:p>
        </w:tc>
        <w:tc>
          <w:tcPr>
            <w:tcW w:w="624" w:type="dxa"/>
          </w:tcPr>
          <w:p w:rsidR="002C57B4" w:rsidRDefault="002C57B4" w:rsidP="00F35D5D">
            <w:pPr>
              <w:pStyle w:val="TableText"/>
            </w:pPr>
          </w:p>
        </w:tc>
        <w:tc>
          <w:tcPr>
            <w:tcW w:w="624" w:type="dxa"/>
          </w:tcPr>
          <w:p w:rsidR="002C57B4" w:rsidRDefault="002C57B4">
            <w:pPr>
              <w:pStyle w:val="TableText"/>
            </w:pPr>
          </w:p>
        </w:tc>
        <w:tc>
          <w:tcPr>
            <w:tcW w:w="624" w:type="dxa"/>
          </w:tcPr>
          <w:p w:rsidR="002C57B4" w:rsidRDefault="002C57B4">
            <w:pPr>
              <w:pStyle w:val="TableText"/>
            </w:pPr>
          </w:p>
        </w:tc>
        <w:tc>
          <w:tcPr>
            <w:tcW w:w="624" w:type="dxa"/>
          </w:tcPr>
          <w:p w:rsidR="002C57B4" w:rsidRDefault="002C57B4">
            <w:pPr>
              <w:pStyle w:val="TableText"/>
            </w:pPr>
          </w:p>
        </w:tc>
        <w:tc>
          <w:tcPr>
            <w:tcW w:w="624" w:type="dxa"/>
          </w:tcPr>
          <w:p w:rsidR="002C57B4" w:rsidRDefault="002C57B4">
            <w:pPr>
              <w:pStyle w:val="TableText"/>
            </w:pPr>
          </w:p>
        </w:tc>
        <w:tc>
          <w:tcPr>
            <w:tcW w:w="4650" w:type="dxa"/>
            <w:gridSpan w:val="2"/>
          </w:tcPr>
          <w:p w:rsidR="002C57B4" w:rsidRPr="002C57B4" w:rsidRDefault="002C57B4" w:rsidP="002C57B4">
            <w:pPr>
              <w:pStyle w:val="TableBlock"/>
              <w:rPr>
                <w:rtl/>
              </w:rPr>
            </w:pPr>
            <w:r>
              <w:rPr>
                <w:rtl/>
              </w:rPr>
              <w:t>"זרם נקוב" - הזרם שבעבורו תוכנן הציוד החשמלי והרשום על הציוד ;</w:t>
            </w:r>
          </w:p>
        </w:tc>
      </w:tr>
      <w:tr w:rsidR="00F4230F">
        <w:trPr>
          <w:cantSplit/>
          <w:trHeight w:val="60"/>
        </w:trPr>
        <w:tc>
          <w:tcPr>
            <w:tcW w:w="1871" w:type="dxa"/>
          </w:tcPr>
          <w:p w:rsidR="00F4230F" w:rsidRDefault="00F4230F">
            <w:pPr>
              <w:pStyle w:val="TableSideHeading"/>
            </w:pPr>
          </w:p>
        </w:tc>
        <w:tc>
          <w:tcPr>
            <w:tcW w:w="624" w:type="dxa"/>
          </w:tcPr>
          <w:p w:rsidR="00F4230F" w:rsidRDefault="00F4230F" w:rsidP="00F4230F">
            <w:pPr>
              <w:pStyle w:val="TableText"/>
            </w:pPr>
          </w:p>
        </w:tc>
        <w:tc>
          <w:tcPr>
            <w:tcW w:w="624" w:type="dxa"/>
          </w:tcPr>
          <w:p w:rsidR="00F4230F" w:rsidRDefault="00F4230F">
            <w:pPr>
              <w:pStyle w:val="TableText"/>
            </w:pPr>
          </w:p>
        </w:tc>
        <w:tc>
          <w:tcPr>
            <w:tcW w:w="624" w:type="dxa"/>
          </w:tcPr>
          <w:p w:rsidR="00F4230F" w:rsidRDefault="00F4230F">
            <w:pPr>
              <w:pStyle w:val="TableText"/>
            </w:pPr>
          </w:p>
        </w:tc>
        <w:tc>
          <w:tcPr>
            <w:tcW w:w="624" w:type="dxa"/>
          </w:tcPr>
          <w:p w:rsidR="00F4230F" w:rsidRDefault="00F4230F">
            <w:pPr>
              <w:pStyle w:val="TableText"/>
            </w:pPr>
          </w:p>
        </w:tc>
        <w:tc>
          <w:tcPr>
            <w:tcW w:w="624" w:type="dxa"/>
          </w:tcPr>
          <w:p w:rsidR="00F4230F" w:rsidRDefault="00F4230F">
            <w:pPr>
              <w:pStyle w:val="TableText"/>
            </w:pPr>
          </w:p>
        </w:tc>
        <w:tc>
          <w:tcPr>
            <w:tcW w:w="4650" w:type="dxa"/>
            <w:gridSpan w:val="2"/>
          </w:tcPr>
          <w:p w:rsidR="00F4230F" w:rsidRPr="00F4230F" w:rsidRDefault="00F4230F" w:rsidP="00F4230F">
            <w:pPr>
              <w:pStyle w:val="TableBlockOutdent"/>
              <w:rPr>
                <w:rtl/>
              </w:rPr>
            </w:pPr>
            <w:r>
              <w:rPr>
                <w:rtl/>
              </w:rPr>
              <w:t>"</w:t>
            </w:r>
            <w:r w:rsidRPr="001E5787">
              <w:rPr>
                <w:rtl/>
              </w:rPr>
              <w:t xml:space="preserve">מקור קרינה חדש" - מקור קרינה שניתן לגביו היתר הקמה על פי החוק לאחר יום התחילה או שנעשה בו שינוי המחייב קבלת היתר הפעלה חדש לאחר יום התחילה;  </w:t>
            </w:r>
          </w:p>
        </w:tc>
      </w:tr>
      <w:tr w:rsidR="00F4230F">
        <w:trPr>
          <w:cantSplit/>
          <w:trHeight w:val="60"/>
        </w:trPr>
        <w:tc>
          <w:tcPr>
            <w:tcW w:w="1871" w:type="dxa"/>
          </w:tcPr>
          <w:p w:rsidR="00F4230F" w:rsidRDefault="00F4230F">
            <w:pPr>
              <w:pStyle w:val="TableSideHeading"/>
            </w:pPr>
          </w:p>
        </w:tc>
        <w:tc>
          <w:tcPr>
            <w:tcW w:w="624" w:type="dxa"/>
          </w:tcPr>
          <w:p w:rsidR="00F4230F" w:rsidRDefault="00F4230F" w:rsidP="00F4230F">
            <w:pPr>
              <w:pStyle w:val="TableText"/>
            </w:pPr>
          </w:p>
        </w:tc>
        <w:tc>
          <w:tcPr>
            <w:tcW w:w="624" w:type="dxa"/>
          </w:tcPr>
          <w:p w:rsidR="00F4230F" w:rsidRDefault="00F4230F">
            <w:pPr>
              <w:pStyle w:val="TableText"/>
            </w:pPr>
          </w:p>
        </w:tc>
        <w:tc>
          <w:tcPr>
            <w:tcW w:w="624" w:type="dxa"/>
          </w:tcPr>
          <w:p w:rsidR="00F4230F" w:rsidRDefault="00F4230F">
            <w:pPr>
              <w:pStyle w:val="TableText"/>
            </w:pPr>
          </w:p>
        </w:tc>
        <w:tc>
          <w:tcPr>
            <w:tcW w:w="624" w:type="dxa"/>
          </w:tcPr>
          <w:p w:rsidR="00F4230F" w:rsidRDefault="00F4230F">
            <w:pPr>
              <w:pStyle w:val="TableText"/>
            </w:pPr>
          </w:p>
        </w:tc>
        <w:tc>
          <w:tcPr>
            <w:tcW w:w="624" w:type="dxa"/>
          </w:tcPr>
          <w:p w:rsidR="00F4230F" w:rsidRDefault="00F4230F">
            <w:pPr>
              <w:pStyle w:val="TableText"/>
            </w:pPr>
          </w:p>
        </w:tc>
        <w:tc>
          <w:tcPr>
            <w:tcW w:w="4650" w:type="dxa"/>
            <w:gridSpan w:val="2"/>
          </w:tcPr>
          <w:p w:rsidR="00F4230F" w:rsidRPr="00F4230F" w:rsidRDefault="00F4230F" w:rsidP="00F4230F">
            <w:pPr>
              <w:pStyle w:val="TableBlockOutdent"/>
              <w:rPr>
                <w:rtl/>
              </w:rPr>
            </w:pPr>
            <w:r>
              <w:rPr>
                <w:rtl/>
              </w:rPr>
              <w:t>"</w:t>
            </w:r>
            <w:r w:rsidRPr="001E5787">
              <w:rPr>
                <w:rtl/>
              </w:rPr>
              <w:t xml:space="preserve"> מקור קרינה קיים" - מקור קרינה שניתן לגביו היתר הקמה על פי החוק לפני יום התחילה ושלא נעשה בו שינוי המחייב היתר הפעלה חדש לאחר יום התחילה;</w:t>
            </w:r>
          </w:p>
        </w:tc>
      </w:tr>
      <w:tr w:rsidR="006A6109">
        <w:trPr>
          <w:cantSplit/>
          <w:trHeight w:val="60"/>
        </w:trPr>
        <w:tc>
          <w:tcPr>
            <w:tcW w:w="1871" w:type="dxa"/>
          </w:tcPr>
          <w:p w:rsidR="006A6109" w:rsidRDefault="006A6109">
            <w:pPr>
              <w:pStyle w:val="TableSideHeading"/>
            </w:pPr>
          </w:p>
        </w:tc>
        <w:tc>
          <w:tcPr>
            <w:tcW w:w="624" w:type="dxa"/>
          </w:tcPr>
          <w:p w:rsidR="006A6109" w:rsidRDefault="006A6109" w:rsidP="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624" w:type="dxa"/>
          </w:tcPr>
          <w:p w:rsidR="006A6109" w:rsidRDefault="006A6109">
            <w:pPr>
              <w:pStyle w:val="TableText"/>
            </w:pPr>
          </w:p>
        </w:tc>
        <w:tc>
          <w:tcPr>
            <w:tcW w:w="4650" w:type="dxa"/>
            <w:gridSpan w:val="2"/>
          </w:tcPr>
          <w:p w:rsidR="006A6109" w:rsidRPr="006A6109" w:rsidRDefault="00413170" w:rsidP="004164CA">
            <w:pPr>
              <w:pStyle w:val="TableBlockOutdent"/>
              <w:rPr>
                <w:rtl/>
              </w:rPr>
            </w:pPr>
            <w:r w:rsidRPr="00413170">
              <w:rPr>
                <w:rtl/>
              </w:rPr>
              <w:t>"שהייה ממושכת" – שהייה של בני אדם דרך קבע במבנה מאוכלס שהוקם כדין, במשך 4 שעות לפחות ביממה, במהלך 5 ימים לפחות בשבוע;</w:t>
            </w:r>
          </w:p>
        </w:tc>
      </w:tr>
      <w:tr w:rsidR="001E5787">
        <w:trPr>
          <w:cantSplit/>
          <w:trHeight w:val="60"/>
        </w:trPr>
        <w:tc>
          <w:tcPr>
            <w:tcW w:w="1871" w:type="dxa"/>
          </w:tcPr>
          <w:p w:rsidR="001E5787" w:rsidRDefault="001E5787">
            <w:pPr>
              <w:pStyle w:val="TableSideHeading"/>
            </w:pPr>
          </w:p>
        </w:tc>
        <w:tc>
          <w:tcPr>
            <w:tcW w:w="624" w:type="dxa"/>
          </w:tcPr>
          <w:p w:rsidR="001E5787" w:rsidRDefault="001E5787" w:rsidP="006A6109">
            <w:pPr>
              <w:pStyle w:val="TableText"/>
            </w:pPr>
          </w:p>
        </w:tc>
        <w:tc>
          <w:tcPr>
            <w:tcW w:w="624" w:type="dxa"/>
          </w:tcPr>
          <w:p w:rsidR="001E5787" w:rsidRDefault="001E5787">
            <w:pPr>
              <w:pStyle w:val="TableText"/>
            </w:pPr>
          </w:p>
        </w:tc>
        <w:tc>
          <w:tcPr>
            <w:tcW w:w="624" w:type="dxa"/>
          </w:tcPr>
          <w:p w:rsidR="001E5787" w:rsidRDefault="001E5787">
            <w:pPr>
              <w:pStyle w:val="TableText"/>
            </w:pPr>
          </w:p>
        </w:tc>
        <w:tc>
          <w:tcPr>
            <w:tcW w:w="624" w:type="dxa"/>
          </w:tcPr>
          <w:p w:rsidR="001E5787" w:rsidRDefault="001E5787">
            <w:pPr>
              <w:pStyle w:val="TableText"/>
            </w:pPr>
          </w:p>
        </w:tc>
        <w:tc>
          <w:tcPr>
            <w:tcW w:w="624" w:type="dxa"/>
          </w:tcPr>
          <w:p w:rsidR="001E5787" w:rsidRDefault="001E5787">
            <w:pPr>
              <w:pStyle w:val="TableText"/>
            </w:pPr>
          </w:p>
        </w:tc>
        <w:tc>
          <w:tcPr>
            <w:tcW w:w="4650" w:type="dxa"/>
            <w:gridSpan w:val="2"/>
          </w:tcPr>
          <w:p w:rsidR="001E5787" w:rsidRPr="001E5787" w:rsidRDefault="00413170" w:rsidP="001E5787">
            <w:pPr>
              <w:pStyle w:val="TableBlockOutdent"/>
              <w:rPr>
                <w:rtl/>
              </w:rPr>
            </w:pPr>
            <w:r>
              <w:rPr>
                <w:rtl/>
              </w:rPr>
              <w:t>"</w:t>
            </w:r>
            <w:r w:rsidRPr="001E5787">
              <w:rPr>
                <w:rtl/>
              </w:rPr>
              <w:t xml:space="preserve">שהייה קצרת מועד" - שהייה של בני אדם שאינה עולה כדי שהייה ממושכת;  </w:t>
            </w:r>
          </w:p>
        </w:tc>
      </w:tr>
      <w:tr w:rsidR="001E5787">
        <w:trPr>
          <w:cantSplit/>
          <w:trHeight w:val="60"/>
        </w:trPr>
        <w:tc>
          <w:tcPr>
            <w:tcW w:w="1871" w:type="dxa"/>
          </w:tcPr>
          <w:p w:rsidR="001E5787" w:rsidRDefault="001E5787">
            <w:pPr>
              <w:pStyle w:val="TableSideHeading"/>
              <w:keepLines w:val="0"/>
            </w:pPr>
          </w:p>
        </w:tc>
        <w:tc>
          <w:tcPr>
            <w:tcW w:w="624" w:type="dxa"/>
          </w:tcPr>
          <w:p w:rsidR="001E5787" w:rsidRDefault="001E5787">
            <w:pPr>
              <w:pStyle w:val="TableText"/>
              <w:keepLines w:val="0"/>
            </w:pPr>
          </w:p>
        </w:tc>
        <w:tc>
          <w:tcPr>
            <w:tcW w:w="1872" w:type="dxa"/>
            <w:gridSpan w:val="3"/>
          </w:tcPr>
          <w:p w:rsidR="001E5787" w:rsidRDefault="001E5787">
            <w:pPr>
              <w:pStyle w:val="TableInnerSideHeading"/>
            </w:pPr>
            <w:r w:rsidRPr="00152105">
              <w:rPr>
                <w:rtl/>
              </w:rPr>
              <w:t>מקום שהייה קצרת מועד - רמת חשיפה מרבית מותרת</w:t>
            </w:r>
          </w:p>
        </w:tc>
        <w:tc>
          <w:tcPr>
            <w:tcW w:w="624" w:type="dxa"/>
          </w:tcPr>
          <w:p w:rsidR="001E5787" w:rsidRDefault="001E5787">
            <w:pPr>
              <w:pStyle w:val="TableText"/>
            </w:pPr>
            <w:r>
              <w:rPr>
                <w:rFonts w:hint="cs"/>
                <w:rtl/>
              </w:rPr>
              <w:t>4ב.</w:t>
            </w:r>
          </w:p>
        </w:tc>
        <w:tc>
          <w:tcPr>
            <w:tcW w:w="4650" w:type="dxa"/>
            <w:gridSpan w:val="2"/>
          </w:tcPr>
          <w:p w:rsidR="001E5787" w:rsidRPr="001E5787" w:rsidRDefault="001E5787" w:rsidP="001E5787">
            <w:pPr>
              <w:pStyle w:val="TableBlock"/>
              <w:rPr>
                <w:sz w:val="26"/>
              </w:rPr>
            </w:pPr>
            <w:r w:rsidRPr="00B94D30">
              <w:rPr>
                <w:sz w:val="26"/>
                <w:rtl/>
              </w:rPr>
              <w:t>לא יקים אדם ולא יפעיל מקור קרינה שעקב הפעלתו נוצרת</w:t>
            </w:r>
            <w:r>
              <w:rPr>
                <w:rFonts w:hint="cs"/>
                <w:sz w:val="26"/>
                <w:rtl/>
              </w:rPr>
              <w:t>,</w:t>
            </w:r>
            <w:r w:rsidRPr="00B94D30">
              <w:rPr>
                <w:sz w:val="26"/>
                <w:rtl/>
              </w:rPr>
              <w:t xml:space="preserve"> או עלולה להיווצר</w:t>
            </w:r>
            <w:r>
              <w:rPr>
                <w:rFonts w:hint="cs"/>
                <w:sz w:val="26"/>
                <w:rtl/>
              </w:rPr>
              <w:t>,</w:t>
            </w:r>
            <w:r w:rsidRPr="00B94D30">
              <w:rPr>
                <w:sz w:val="26"/>
                <w:rtl/>
              </w:rPr>
              <w:t xml:space="preserve"> במקום בו תיתכן שהי</w:t>
            </w:r>
            <w:r w:rsidR="0092637D">
              <w:rPr>
                <w:rFonts w:hint="cs"/>
                <w:sz w:val="26"/>
                <w:rtl/>
              </w:rPr>
              <w:t>י</w:t>
            </w:r>
            <w:r w:rsidRPr="00B94D30">
              <w:rPr>
                <w:sz w:val="26"/>
                <w:rtl/>
              </w:rPr>
              <w:t xml:space="preserve">ה של בני אדם, קרינה שיש בה כדי לגרום לחשיפה של בני אדם לשדה מגנטי </w:t>
            </w:r>
            <w:r>
              <w:rPr>
                <w:rFonts w:hint="cs"/>
                <w:sz w:val="26"/>
                <w:rtl/>
              </w:rPr>
              <w:t xml:space="preserve">הומוגני </w:t>
            </w:r>
            <w:r w:rsidRPr="00B94D30">
              <w:rPr>
                <w:sz w:val="26"/>
                <w:rtl/>
              </w:rPr>
              <w:t>העולה על 1,000 מיליגאוס בתנאים של זרם נקוב</w:t>
            </w:r>
            <w:r>
              <w:rPr>
                <w:rFonts w:hint="cs"/>
                <w:sz w:val="26"/>
                <w:rtl/>
              </w:rPr>
              <w:t xml:space="preserve"> ולשדה </w:t>
            </w:r>
            <w:r w:rsidRPr="001E5787">
              <w:rPr>
                <w:rFonts w:hint="cs"/>
                <w:sz w:val="26"/>
                <w:rtl/>
              </w:rPr>
              <w:t>חשמלי</w:t>
            </w:r>
            <w:r>
              <w:rPr>
                <w:rFonts w:hint="cs"/>
                <w:sz w:val="26"/>
                <w:rtl/>
              </w:rPr>
              <w:t xml:space="preserve"> העולה על 5,000 וולט למטר בתדר הרשת</w:t>
            </w:r>
            <w:r w:rsidRPr="00B94D30">
              <w:rPr>
                <w:sz w:val="26"/>
                <w:rtl/>
              </w:rPr>
              <w:t>.</w:t>
            </w:r>
            <w:r>
              <w:rPr>
                <w:rFonts w:hint="cs"/>
                <w:sz w:val="26"/>
                <w:rtl/>
              </w:rPr>
              <w:t xml:space="preserve"> בתקנה זו, "תדר הרשת" - </w:t>
            </w:r>
            <w:r>
              <w:rPr>
                <w:sz w:val="26"/>
              </w:rPr>
              <w:t>47hz-52hz</w:t>
            </w:r>
            <w:r>
              <w:rPr>
                <w:rFonts w:hint="cs"/>
                <w:sz w:val="26"/>
                <w:rtl/>
              </w:rPr>
              <w:t>.</w:t>
            </w:r>
          </w:p>
        </w:tc>
      </w:tr>
      <w:tr w:rsidR="005505DD">
        <w:trPr>
          <w:cantSplit/>
          <w:trHeight w:val="60"/>
        </w:trPr>
        <w:tc>
          <w:tcPr>
            <w:tcW w:w="1871" w:type="dxa"/>
          </w:tcPr>
          <w:p w:rsidR="005505DD" w:rsidRDefault="005505DD">
            <w:pPr>
              <w:pStyle w:val="TableSideHeading"/>
              <w:keepLines w:val="0"/>
            </w:pPr>
          </w:p>
        </w:tc>
        <w:tc>
          <w:tcPr>
            <w:tcW w:w="624" w:type="dxa"/>
          </w:tcPr>
          <w:p w:rsidR="005505DD" w:rsidRDefault="005505DD">
            <w:pPr>
              <w:pStyle w:val="TableText"/>
              <w:keepLines w:val="0"/>
            </w:pPr>
          </w:p>
        </w:tc>
        <w:tc>
          <w:tcPr>
            <w:tcW w:w="1872" w:type="dxa"/>
            <w:gridSpan w:val="3"/>
          </w:tcPr>
          <w:p w:rsidR="005505DD" w:rsidRDefault="005505DD" w:rsidP="00CF1551">
            <w:pPr>
              <w:pStyle w:val="TableInnerSideHeading"/>
            </w:pPr>
            <w:r w:rsidRPr="00152105">
              <w:rPr>
                <w:rtl/>
              </w:rPr>
              <w:t>מקום שהייה ממושכת</w:t>
            </w:r>
            <w:r w:rsidR="00CF1551">
              <w:rPr>
                <w:rFonts w:hint="cs"/>
                <w:rtl/>
              </w:rPr>
              <w:t xml:space="preserve"> - הפחתת רמת חשיפה ממקורות קרינה חדשים</w:t>
            </w:r>
          </w:p>
        </w:tc>
        <w:tc>
          <w:tcPr>
            <w:tcW w:w="624" w:type="dxa"/>
          </w:tcPr>
          <w:p w:rsidR="005505DD" w:rsidRDefault="005505DD">
            <w:pPr>
              <w:pStyle w:val="TableText"/>
            </w:pPr>
            <w:r>
              <w:rPr>
                <w:rFonts w:hint="cs"/>
                <w:rtl/>
              </w:rPr>
              <w:t>4ג.</w:t>
            </w:r>
          </w:p>
        </w:tc>
        <w:tc>
          <w:tcPr>
            <w:tcW w:w="4650" w:type="dxa"/>
            <w:gridSpan w:val="2"/>
          </w:tcPr>
          <w:p w:rsidR="005505DD" w:rsidRDefault="005505DD" w:rsidP="00A33DB7">
            <w:pPr>
              <w:pStyle w:val="TableBlock"/>
              <w:numPr>
                <w:ilvl w:val="0"/>
                <w:numId w:val="26"/>
              </w:numPr>
              <w:tabs>
                <w:tab w:val="left" w:pos="624"/>
              </w:tabs>
            </w:pPr>
            <w:r>
              <w:rPr>
                <w:rFonts w:hint="cs"/>
                <w:rtl/>
              </w:rPr>
              <w:t xml:space="preserve">לא יקים אדם ולא יפעיל מקור קרינה חדש, אלא </w:t>
            </w:r>
            <w:r w:rsidRPr="00D60AE6">
              <w:rPr>
                <w:rtl/>
              </w:rPr>
              <w:t>אם ננקטו ב</w:t>
            </w:r>
            <w:r>
              <w:rPr>
                <w:rFonts w:hint="cs"/>
                <w:rtl/>
              </w:rPr>
              <w:t xml:space="preserve">יחס </w:t>
            </w:r>
            <w:r w:rsidRPr="00D60AE6">
              <w:rPr>
                <w:rtl/>
              </w:rPr>
              <w:t xml:space="preserve">לאותו מקור אמצעים להפחתת </w:t>
            </w:r>
            <w:r w:rsidR="00BE4212">
              <w:rPr>
                <w:rFonts w:hint="cs"/>
                <w:rtl/>
              </w:rPr>
              <w:t>רמת החשיפה</w:t>
            </w:r>
            <w:r w:rsidR="004164CA">
              <w:rPr>
                <w:rFonts w:hint="cs"/>
                <w:rtl/>
              </w:rPr>
              <w:t xml:space="preserve"> </w:t>
            </w:r>
            <w:r w:rsidR="00D52899">
              <w:rPr>
                <w:rFonts w:hint="cs"/>
                <w:rtl/>
              </w:rPr>
              <w:t>שמקורה</w:t>
            </w:r>
            <w:r w:rsidR="004164CA">
              <w:rPr>
                <w:rFonts w:hint="cs"/>
                <w:rtl/>
              </w:rPr>
              <w:t xml:space="preserve"> </w:t>
            </w:r>
            <w:r w:rsidR="00D52899">
              <w:rPr>
                <w:rFonts w:hint="cs"/>
                <w:rtl/>
              </w:rPr>
              <w:t>ב</w:t>
            </w:r>
            <w:r w:rsidRPr="00D60AE6">
              <w:rPr>
                <w:rtl/>
              </w:rPr>
              <w:t>שדות המגנטיים והחשמליים בתדרי רשת החשמל</w:t>
            </w:r>
            <w:r>
              <w:rPr>
                <w:rFonts w:hint="cs"/>
                <w:rtl/>
              </w:rPr>
              <w:t xml:space="preserve"> </w:t>
            </w:r>
            <w:r w:rsidRPr="00D60AE6">
              <w:rPr>
                <w:rtl/>
              </w:rPr>
              <w:t>אליהם נחשף הציבור</w:t>
            </w:r>
            <w:r>
              <w:rPr>
                <w:rFonts w:hint="cs"/>
                <w:rtl/>
              </w:rPr>
              <w:t xml:space="preserve"> במקום שהייה ממושכת, </w:t>
            </w:r>
            <w:r w:rsidR="00EF1202">
              <w:rPr>
                <w:rFonts w:hint="cs"/>
                <w:rtl/>
              </w:rPr>
              <w:t>ובלבד</w:t>
            </w:r>
            <w:r w:rsidRPr="00D60AE6">
              <w:rPr>
                <w:rtl/>
              </w:rPr>
              <w:t xml:space="preserve"> </w:t>
            </w:r>
            <w:r w:rsidR="00EF1202">
              <w:rPr>
                <w:rFonts w:hint="cs"/>
                <w:rtl/>
              </w:rPr>
              <w:t>שה</w:t>
            </w:r>
            <w:r>
              <w:rPr>
                <w:rFonts w:hint="cs"/>
                <w:rtl/>
              </w:rPr>
              <w:t>עלויות סבירות</w:t>
            </w:r>
            <w:r w:rsidRPr="00D60AE6">
              <w:rPr>
                <w:rtl/>
              </w:rPr>
              <w:t xml:space="preserve">. </w:t>
            </w:r>
            <w:r w:rsidR="00A75438">
              <w:rPr>
                <w:rtl/>
              </w:rPr>
              <w:br/>
            </w:r>
            <w:r>
              <w:rPr>
                <w:rFonts w:hint="cs"/>
                <w:rtl/>
              </w:rPr>
              <w:t xml:space="preserve">בתקנה זו : </w:t>
            </w:r>
            <w:r w:rsidRPr="00D60AE6">
              <w:rPr>
                <w:rtl/>
              </w:rPr>
              <w:t>"</w:t>
            </w:r>
            <w:r w:rsidRPr="00D60AE6">
              <w:rPr>
                <w:rFonts w:hint="eastAsia"/>
                <w:rtl/>
              </w:rPr>
              <w:t>עלויות</w:t>
            </w:r>
            <w:r w:rsidRPr="00D60AE6">
              <w:rPr>
                <w:rtl/>
              </w:rPr>
              <w:t xml:space="preserve"> </w:t>
            </w:r>
            <w:r w:rsidRPr="00D60AE6">
              <w:rPr>
                <w:rFonts w:hint="eastAsia"/>
                <w:rtl/>
              </w:rPr>
              <w:t>סבירות</w:t>
            </w:r>
            <w:r w:rsidRPr="00D60AE6">
              <w:rPr>
                <w:rtl/>
              </w:rPr>
              <w:t>" – עלויות שאינן עול</w:t>
            </w:r>
            <w:r>
              <w:rPr>
                <w:rtl/>
              </w:rPr>
              <w:t>ות על 4% מהעלות הכוללת</w:t>
            </w:r>
            <w:r>
              <w:rPr>
                <w:rFonts w:hint="cs"/>
                <w:rtl/>
              </w:rPr>
              <w:t>,</w:t>
            </w:r>
            <w:r>
              <w:rPr>
                <w:rtl/>
              </w:rPr>
              <w:t xml:space="preserve"> </w:t>
            </w:r>
            <w:r w:rsidRPr="00D60AE6">
              <w:rPr>
                <w:rtl/>
              </w:rPr>
              <w:t>לרבות חומרים ועבודה</w:t>
            </w:r>
            <w:r>
              <w:rPr>
                <w:rFonts w:hint="cs"/>
                <w:rtl/>
              </w:rPr>
              <w:t xml:space="preserve">, </w:t>
            </w:r>
            <w:r>
              <w:rPr>
                <w:rtl/>
              </w:rPr>
              <w:t xml:space="preserve">של הקמת </w:t>
            </w:r>
            <w:r w:rsidRPr="00D60AE6">
              <w:rPr>
                <w:rtl/>
              </w:rPr>
              <w:t>אותו מקור קרינה</w:t>
            </w:r>
            <w:r w:rsidR="00EF1202">
              <w:rPr>
                <w:rFonts w:hint="cs"/>
                <w:rtl/>
              </w:rPr>
              <w:t xml:space="preserve"> המביאות להפחתה של לפחות 15% ביחס לרמת הקרינה שנמדדה או חושבה עובר לביצוע ההפחתה</w:t>
            </w:r>
            <w:r w:rsidRPr="00D60AE6">
              <w:rPr>
                <w:rFonts w:hint="cs"/>
                <w:rtl/>
              </w:rPr>
              <w:t xml:space="preserve"> </w:t>
            </w:r>
            <w:r w:rsidRPr="00D60AE6">
              <w:rPr>
                <w:rFonts w:hint="eastAsia"/>
                <w:rtl/>
              </w:rPr>
              <w:t>ובלבד</w:t>
            </w:r>
            <w:r w:rsidRPr="00D60AE6">
              <w:rPr>
                <w:rtl/>
              </w:rPr>
              <w:t xml:space="preserve"> </w:t>
            </w:r>
            <w:r w:rsidRPr="00D60AE6">
              <w:rPr>
                <w:rFonts w:hint="eastAsia"/>
                <w:rtl/>
              </w:rPr>
              <w:t>ש</w:t>
            </w:r>
            <w:r w:rsidR="00EF1202" w:rsidRPr="005D7E71">
              <w:rPr>
                <w:rFonts w:hint="eastAsia"/>
                <w:rtl/>
              </w:rPr>
              <w:t>סך</w:t>
            </w:r>
            <w:r w:rsidR="00EF1202" w:rsidRPr="005D7E71">
              <w:rPr>
                <w:rtl/>
              </w:rPr>
              <w:t xml:space="preserve"> </w:t>
            </w:r>
            <w:r w:rsidR="00EF1202" w:rsidRPr="005D7E71">
              <w:rPr>
                <w:rFonts w:hint="eastAsia"/>
                <w:rtl/>
              </w:rPr>
              <w:t>העלות</w:t>
            </w:r>
            <w:r w:rsidR="00EF1202" w:rsidRPr="005D7E71">
              <w:rPr>
                <w:rtl/>
              </w:rPr>
              <w:t xml:space="preserve"> </w:t>
            </w:r>
            <w:r w:rsidR="00EF1202" w:rsidRPr="005D7E71">
              <w:rPr>
                <w:rFonts w:hint="eastAsia"/>
                <w:rtl/>
              </w:rPr>
              <w:t>להפחתת</w:t>
            </w:r>
            <w:r w:rsidR="00EF1202" w:rsidRPr="005D7E71">
              <w:rPr>
                <w:rtl/>
              </w:rPr>
              <w:t xml:space="preserve"> </w:t>
            </w:r>
            <w:r w:rsidR="00EF1202" w:rsidRPr="005D7E71">
              <w:rPr>
                <w:rFonts w:hint="eastAsia"/>
                <w:rtl/>
              </w:rPr>
              <w:t>הקרינה</w:t>
            </w:r>
            <w:r w:rsidR="00EF1202" w:rsidRPr="005D7E71">
              <w:rPr>
                <w:rtl/>
              </w:rPr>
              <w:t xml:space="preserve"> </w:t>
            </w:r>
            <w:r w:rsidR="00EF1202" w:rsidRPr="005D7E71">
              <w:rPr>
                <w:rFonts w:hint="eastAsia"/>
                <w:rtl/>
              </w:rPr>
              <w:t>מכל</w:t>
            </w:r>
            <w:r w:rsidR="00EF1202" w:rsidRPr="005D7E71">
              <w:rPr>
                <w:rtl/>
              </w:rPr>
              <w:t xml:space="preserve"> </w:t>
            </w:r>
            <w:r w:rsidR="00EF1202" w:rsidRPr="005D7E71">
              <w:rPr>
                <w:rFonts w:hint="eastAsia"/>
                <w:rtl/>
              </w:rPr>
              <w:t>מקורות</w:t>
            </w:r>
            <w:r w:rsidR="00EF1202" w:rsidRPr="005D7E71">
              <w:rPr>
                <w:rtl/>
              </w:rPr>
              <w:t xml:space="preserve"> </w:t>
            </w:r>
            <w:r w:rsidR="00EF1202" w:rsidRPr="005D7E71">
              <w:rPr>
                <w:rFonts w:hint="eastAsia"/>
                <w:rtl/>
              </w:rPr>
              <w:t>הקרינה</w:t>
            </w:r>
            <w:r w:rsidR="00EF1202" w:rsidRPr="005D7E71">
              <w:rPr>
                <w:rtl/>
              </w:rPr>
              <w:t xml:space="preserve"> </w:t>
            </w:r>
            <w:r w:rsidR="00EF1202" w:rsidRPr="005D7E71">
              <w:rPr>
                <w:rFonts w:hint="eastAsia"/>
                <w:rtl/>
              </w:rPr>
              <w:t>לא</w:t>
            </w:r>
            <w:r w:rsidR="00EF1202" w:rsidRPr="005D7E71">
              <w:rPr>
                <w:rtl/>
              </w:rPr>
              <w:t xml:space="preserve"> </w:t>
            </w:r>
            <w:r w:rsidR="00EF1202" w:rsidRPr="005D7E71">
              <w:rPr>
                <w:rFonts w:hint="eastAsia"/>
                <w:rtl/>
              </w:rPr>
              <w:t>יעלה</w:t>
            </w:r>
            <w:r w:rsidR="00EF1202" w:rsidRPr="005D7E71">
              <w:rPr>
                <w:rtl/>
              </w:rPr>
              <w:t xml:space="preserve"> </w:t>
            </w:r>
            <w:r w:rsidR="00EF1202" w:rsidRPr="005D7E71">
              <w:rPr>
                <w:rFonts w:hint="eastAsia"/>
                <w:rtl/>
              </w:rPr>
              <w:t>על</w:t>
            </w:r>
            <w:r w:rsidR="00EF1202" w:rsidRPr="005D7E71">
              <w:rPr>
                <w:rtl/>
              </w:rPr>
              <w:t xml:space="preserve"> </w:t>
            </w:r>
            <w:r w:rsidR="00EF1202">
              <w:rPr>
                <w:rFonts w:hint="cs"/>
                <w:rtl/>
              </w:rPr>
              <w:t>70 מיליון ש"ח בשנתיים</w:t>
            </w:r>
            <w:r w:rsidR="008F5484">
              <w:rPr>
                <w:rFonts w:hint="cs"/>
                <w:rtl/>
              </w:rPr>
              <w:t>.</w:t>
            </w:r>
          </w:p>
        </w:tc>
      </w:tr>
      <w:tr w:rsidR="008F5484">
        <w:trPr>
          <w:cantSplit/>
          <w:trHeight w:val="60"/>
        </w:trPr>
        <w:tc>
          <w:tcPr>
            <w:tcW w:w="1871" w:type="dxa"/>
          </w:tcPr>
          <w:p w:rsidR="008F5484" w:rsidRDefault="008F5484">
            <w:pPr>
              <w:pStyle w:val="TableSideHeading"/>
            </w:pPr>
          </w:p>
        </w:tc>
        <w:tc>
          <w:tcPr>
            <w:tcW w:w="624" w:type="dxa"/>
          </w:tcPr>
          <w:p w:rsidR="008F5484" w:rsidRDefault="008F5484">
            <w:pPr>
              <w:pStyle w:val="TableText"/>
            </w:pPr>
          </w:p>
        </w:tc>
        <w:tc>
          <w:tcPr>
            <w:tcW w:w="624" w:type="dxa"/>
          </w:tcPr>
          <w:p w:rsidR="008F5484" w:rsidRDefault="008F5484">
            <w:pPr>
              <w:pStyle w:val="TableText"/>
            </w:pPr>
          </w:p>
        </w:tc>
        <w:tc>
          <w:tcPr>
            <w:tcW w:w="624" w:type="dxa"/>
          </w:tcPr>
          <w:p w:rsidR="008F5484" w:rsidRDefault="008F5484">
            <w:pPr>
              <w:pStyle w:val="TableText"/>
            </w:pPr>
          </w:p>
        </w:tc>
        <w:tc>
          <w:tcPr>
            <w:tcW w:w="624" w:type="dxa"/>
          </w:tcPr>
          <w:p w:rsidR="008F5484" w:rsidRDefault="008F5484">
            <w:pPr>
              <w:pStyle w:val="TableText"/>
            </w:pPr>
          </w:p>
        </w:tc>
        <w:tc>
          <w:tcPr>
            <w:tcW w:w="624" w:type="dxa"/>
          </w:tcPr>
          <w:p w:rsidR="008F5484" w:rsidRDefault="008F5484">
            <w:pPr>
              <w:pStyle w:val="TableText"/>
            </w:pPr>
          </w:p>
        </w:tc>
        <w:tc>
          <w:tcPr>
            <w:tcW w:w="4650" w:type="dxa"/>
            <w:gridSpan w:val="2"/>
          </w:tcPr>
          <w:p w:rsidR="008F5484" w:rsidRDefault="008F5484" w:rsidP="008F5484">
            <w:pPr>
              <w:pStyle w:val="TableBlock"/>
              <w:numPr>
                <w:ilvl w:val="0"/>
                <w:numId w:val="26"/>
              </w:numPr>
              <w:tabs>
                <w:tab w:val="left" w:pos="624"/>
              </w:tabs>
            </w:pPr>
            <w:r w:rsidRPr="007D3FDD">
              <w:rPr>
                <w:rFonts w:hint="eastAsia"/>
                <w:rtl/>
              </w:rPr>
              <w:t>לא</w:t>
            </w:r>
            <w:r w:rsidRPr="007D3FDD">
              <w:rPr>
                <w:rtl/>
              </w:rPr>
              <w:t xml:space="preserve"> יקים אדם ולא יפעיל מקור קרינה חדש, אלא אם </w:t>
            </w:r>
            <w:r w:rsidRPr="007D3FDD">
              <w:rPr>
                <w:rFonts w:hint="eastAsia"/>
                <w:rtl/>
              </w:rPr>
              <w:t>נשמרו</w:t>
            </w:r>
            <w:r w:rsidRPr="007D3FDD">
              <w:rPr>
                <w:rtl/>
              </w:rPr>
              <w:t xml:space="preserve"> </w:t>
            </w:r>
            <w:r w:rsidRPr="007D3FDD">
              <w:rPr>
                <w:rFonts w:hint="eastAsia"/>
                <w:rtl/>
              </w:rPr>
              <w:t>מרחקים</w:t>
            </w:r>
            <w:r w:rsidRPr="007D3FDD">
              <w:rPr>
                <w:rtl/>
              </w:rPr>
              <w:t xml:space="preserve"> </w:t>
            </w:r>
            <w:r w:rsidRPr="007D3FDD">
              <w:rPr>
                <w:rFonts w:hint="eastAsia"/>
                <w:rtl/>
              </w:rPr>
              <w:t>בין</w:t>
            </w:r>
            <w:r w:rsidRPr="007D3FDD">
              <w:rPr>
                <w:rtl/>
              </w:rPr>
              <w:t xml:space="preserve"> </w:t>
            </w:r>
            <w:r w:rsidRPr="007D3FDD">
              <w:rPr>
                <w:rFonts w:hint="eastAsia"/>
                <w:rtl/>
              </w:rPr>
              <w:t>מקור</w:t>
            </w:r>
            <w:r w:rsidRPr="007D3FDD">
              <w:rPr>
                <w:rtl/>
              </w:rPr>
              <w:t xml:space="preserve"> </w:t>
            </w:r>
            <w:r w:rsidRPr="007D3FDD">
              <w:rPr>
                <w:rFonts w:hint="eastAsia"/>
                <w:rtl/>
              </w:rPr>
              <w:t>הקרינה</w:t>
            </w:r>
            <w:r w:rsidRPr="007D3FDD">
              <w:rPr>
                <w:rtl/>
              </w:rPr>
              <w:t xml:space="preserve"> </w:t>
            </w:r>
            <w:r w:rsidRPr="007D3FDD">
              <w:rPr>
                <w:rFonts w:hint="eastAsia"/>
                <w:rtl/>
              </w:rPr>
              <w:t>למקומות</w:t>
            </w:r>
            <w:r w:rsidRPr="007D3FDD">
              <w:rPr>
                <w:rtl/>
              </w:rPr>
              <w:t xml:space="preserve"> </w:t>
            </w:r>
            <w:r w:rsidRPr="007D3FDD">
              <w:rPr>
                <w:rFonts w:hint="eastAsia"/>
                <w:rtl/>
              </w:rPr>
              <w:t>שה</w:t>
            </w:r>
            <w:r>
              <w:rPr>
                <w:rFonts w:hint="cs"/>
                <w:rtl/>
              </w:rPr>
              <w:t>י</w:t>
            </w:r>
            <w:r w:rsidRPr="007D3FDD">
              <w:rPr>
                <w:rFonts w:hint="eastAsia"/>
                <w:rtl/>
              </w:rPr>
              <w:t>יה</w:t>
            </w:r>
            <w:r w:rsidRPr="007D3FDD">
              <w:rPr>
                <w:rtl/>
              </w:rPr>
              <w:t xml:space="preserve"> </w:t>
            </w:r>
            <w:r w:rsidRPr="007D3FDD">
              <w:rPr>
                <w:rFonts w:hint="eastAsia"/>
                <w:rtl/>
              </w:rPr>
              <w:t>ממושכת</w:t>
            </w:r>
            <w:r w:rsidRPr="007D3FDD">
              <w:rPr>
                <w:rtl/>
              </w:rPr>
              <w:t xml:space="preserve">, </w:t>
            </w:r>
            <w:r w:rsidRPr="007D3FDD">
              <w:rPr>
                <w:rFonts w:hint="eastAsia"/>
                <w:rtl/>
              </w:rPr>
              <w:t>כמפורט</w:t>
            </w:r>
            <w:r w:rsidRPr="007D3FDD">
              <w:rPr>
                <w:rtl/>
              </w:rPr>
              <w:t xml:space="preserve"> </w:t>
            </w:r>
            <w:r w:rsidRPr="00C26B9F">
              <w:rPr>
                <w:rFonts w:hint="eastAsia"/>
                <w:rtl/>
              </w:rPr>
              <w:t>בתוספת</w:t>
            </w:r>
            <w:r w:rsidRPr="00C26B9F">
              <w:rPr>
                <w:rFonts w:hint="cs"/>
                <w:rtl/>
              </w:rPr>
              <w:t xml:space="preserve"> הרביעית</w:t>
            </w:r>
            <w:r w:rsidRPr="00C26B9F">
              <w:rPr>
                <w:rtl/>
              </w:rPr>
              <w:t>.</w:t>
            </w:r>
            <w:r w:rsidRPr="007D3FDD">
              <w:rPr>
                <w:rFonts w:hint="cs"/>
                <w:rtl/>
              </w:rPr>
              <w:t xml:space="preserve"> הממונה רשאי לצמצם מרחקים אלו</w:t>
            </w:r>
            <w:r>
              <w:rPr>
                <w:rFonts w:hint="cs"/>
                <w:rtl/>
              </w:rPr>
              <w:t>,</w:t>
            </w:r>
            <w:r w:rsidRPr="007D3FDD">
              <w:rPr>
                <w:rFonts w:hint="cs"/>
                <w:rtl/>
              </w:rPr>
              <w:t xml:space="preserve"> אם מצא כי רמת החשיפה לקרינה מאפשרת זאת.</w:t>
            </w:r>
          </w:p>
        </w:tc>
      </w:tr>
      <w:tr w:rsidR="005505DD">
        <w:trPr>
          <w:cantSplit/>
          <w:trHeight w:val="60"/>
        </w:trPr>
        <w:tc>
          <w:tcPr>
            <w:tcW w:w="1871" w:type="dxa"/>
          </w:tcPr>
          <w:p w:rsidR="005505DD" w:rsidRDefault="005505DD">
            <w:pPr>
              <w:pStyle w:val="TableSideHeading"/>
              <w:keepLines w:val="0"/>
            </w:pPr>
          </w:p>
        </w:tc>
        <w:tc>
          <w:tcPr>
            <w:tcW w:w="624" w:type="dxa"/>
          </w:tcPr>
          <w:p w:rsidR="005505DD" w:rsidRDefault="005505DD">
            <w:pPr>
              <w:pStyle w:val="TableText"/>
              <w:keepLines w:val="0"/>
            </w:pPr>
          </w:p>
        </w:tc>
        <w:tc>
          <w:tcPr>
            <w:tcW w:w="1872" w:type="dxa"/>
            <w:gridSpan w:val="3"/>
          </w:tcPr>
          <w:p w:rsidR="005505DD" w:rsidRDefault="005505DD">
            <w:pPr>
              <w:pStyle w:val="TableInnerSideHeading"/>
            </w:pPr>
          </w:p>
        </w:tc>
        <w:tc>
          <w:tcPr>
            <w:tcW w:w="624" w:type="dxa"/>
          </w:tcPr>
          <w:p w:rsidR="005505DD" w:rsidRDefault="005505DD">
            <w:pPr>
              <w:pStyle w:val="TableText"/>
            </w:pPr>
          </w:p>
        </w:tc>
        <w:tc>
          <w:tcPr>
            <w:tcW w:w="4650" w:type="dxa"/>
            <w:gridSpan w:val="2"/>
          </w:tcPr>
          <w:p w:rsidR="00A75438" w:rsidRDefault="00A75438" w:rsidP="00A33DB7">
            <w:pPr>
              <w:pStyle w:val="TableBlock"/>
              <w:numPr>
                <w:ilvl w:val="0"/>
                <w:numId w:val="26"/>
              </w:numPr>
            </w:pPr>
            <w:r>
              <w:rPr>
                <w:rFonts w:hint="cs"/>
                <w:rtl/>
              </w:rPr>
              <w:t>מקור קרינה שלא ניתן לנקוט ביחס אליו באמצעי</w:t>
            </w:r>
            <w:r w:rsidR="006F37C7">
              <w:rPr>
                <w:rFonts w:hint="cs"/>
                <w:rtl/>
              </w:rPr>
              <w:t>ם</w:t>
            </w:r>
            <w:r>
              <w:rPr>
                <w:rFonts w:hint="cs"/>
                <w:rtl/>
              </w:rPr>
              <w:t xml:space="preserve"> להפחתת רמות החשיפה בעלויות סבירות, </w:t>
            </w:r>
            <w:r w:rsidR="005A4709">
              <w:rPr>
                <w:rFonts w:hint="cs"/>
                <w:rtl/>
              </w:rPr>
              <w:t xml:space="preserve">בשל כך </w:t>
            </w:r>
            <w:r w:rsidR="00A33DB7">
              <w:rPr>
                <w:rFonts w:hint="cs"/>
                <w:rtl/>
              </w:rPr>
              <w:t>ש</w:t>
            </w:r>
            <w:r w:rsidR="005A4709">
              <w:rPr>
                <w:rFonts w:hint="cs"/>
                <w:rtl/>
              </w:rPr>
              <w:t>השקעה של</w:t>
            </w:r>
            <w:r w:rsidR="005A4709" w:rsidRPr="00A75438">
              <w:rPr>
                <w:rtl/>
              </w:rPr>
              <w:t xml:space="preserve"> 4% מהעלות הכוללת</w:t>
            </w:r>
            <w:r w:rsidR="005A4709">
              <w:rPr>
                <w:rFonts w:hint="cs"/>
                <w:rtl/>
              </w:rPr>
              <w:t xml:space="preserve"> לא תביא להפחתת הקרינה בהיקף של לפחות </w:t>
            </w:r>
            <w:r w:rsidR="005A4709" w:rsidRPr="00A75438">
              <w:rPr>
                <w:rtl/>
              </w:rPr>
              <w:t xml:space="preserve"> </w:t>
            </w:r>
            <w:r w:rsidR="005A4709" w:rsidRPr="005A4709">
              <w:rPr>
                <w:rtl/>
              </w:rPr>
              <w:t>15</w:t>
            </w:r>
            <w:r w:rsidR="005A4709" w:rsidRPr="008F5484">
              <w:rPr>
                <w:rtl/>
              </w:rPr>
              <w:t>%</w:t>
            </w:r>
            <w:r w:rsidR="005A4709">
              <w:rPr>
                <w:rFonts w:hint="cs"/>
                <w:rtl/>
              </w:rPr>
              <w:t xml:space="preserve">,  יהיה אדם רשאי להקימו </w:t>
            </w:r>
            <w:r w:rsidR="002A07C0">
              <w:rPr>
                <w:rFonts w:hint="cs"/>
                <w:rtl/>
              </w:rPr>
              <w:t xml:space="preserve"> ולהפעילו </w:t>
            </w:r>
            <w:r w:rsidR="005A4709">
              <w:rPr>
                <w:rFonts w:hint="cs"/>
                <w:rtl/>
              </w:rPr>
              <w:t>ללא נקיטת אמצעי</w:t>
            </w:r>
            <w:r w:rsidR="006F37C7">
              <w:rPr>
                <w:rFonts w:hint="cs"/>
                <w:rtl/>
              </w:rPr>
              <w:t>ם</w:t>
            </w:r>
            <w:r w:rsidR="005A4709">
              <w:rPr>
                <w:rFonts w:hint="cs"/>
                <w:rtl/>
              </w:rPr>
              <w:t xml:space="preserve"> להפחתת רמות הקרינה.</w:t>
            </w:r>
          </w:p>
        </w:tc>
      </w:tr>
      <w:tr w:rsidR="006F37C7">
        <w:trPr>
          <w:cantSplit/>
          <w:trHeight w:val="60"/>
        </w:trPr>
        <w:tc>
          <w:tcPr>
            <w:tcW w:w="1871" w:type="dxa"/>
          </w:tcPr>
          <w:p w:rsidR="006F37C7" w:rsidRDefault="006F37C7">
            <w:pPr>
              <w:pStyle w:val="TableSideHeading"/>
            </w:pPr>
          </w:p>
        </w:tc>
        <w:tc>
          <w:tcPr>
            <w:tcW w:w="624" w:type="dxa"/>
          </w:tcPr>
          <w:p w:rsidR="006F37C7" w:rsidRDefault="006F37C7">
            <w:pPr>
              <w:pStyle w:val="TableText"/>
            </w:pPr>
          </w:p>
        </w:tc>
        <w:tc>
          <w:tcPr>
            <w:tcW w:w="624" w:type="dxa"/>
          </w:tcPr>
          <w:p w:rsidR="006F37C7" w:rsidRDefault="006F37C7">
            <w:pPr>
              <w:pStyle w:val="TableText"/>
            </w:pPr>
          </w:p>
        </w:tc>
        <w:tc>
          <w:tcPr>
            <w:tcW w:w="624" w:type="dxa"/>
          </w:tcPr>
          <w:p w:rsidR="006F37C7" w:rsidRDefault="006F37C7">
            <w:pPr>
              <w:pStyle w:val="TableText"/>
            </w:pPr>
          </w:p>
        </w:tc>
        <w:tc>
          <w:tcPr>
            <w:tcW w:w="624" w:type="dxa"/>
          </w:tcPr>
          <w:p w:rsidR="006F37C7" w:rsidRDefault="006F37C7">
            <w:pPr>
              <w:pStyle w:val="TableText"/>
            </w:pPr>
          </w:p>
        </w:tc>
        <w:tc>
          <w:tcPr>
            <w:tcW w:w="624" w:type="dxa"/>
          </w:tcPr>
          <w:p w:rsidR="006F37C7" w:rsidRDefault="006F37C7">
            <w:pPr>
              <w:pStyle w:val="TableText"/>
            </w:pPr>
          </w:p>
        </w:tc>
        <w:tc>
          <w:tcPr>
            <w:tcW w:w="4650" w:type="dxa"/>
            <w:gridSpan w:val="2"/>
          </w:tcPr>
          <w:p w:rsidR="006F37C7" w:rsidRDefault="006F37C7" w:rsidP="008F5484">
            <w:pPr>
              <w:pStyle w:val="TableBlock"/>
              <w:numPr>
                <w:ilvl w:val="0"/>
                <w:numId w:val="26"/>
              </w:numPr>
              <w:tabs>
                <w:tab w:val="left" w:pos="624"/>
              </w:tabs>
            </w:pPr>
            <w:r>
              <w:rPr>
                <w:rFonts w:hint="cs"/>
                <w:rtl/>
              </w:rPr>
              <w:t>מקור קרינה שלא ניתן לנקוט ביחס אליו באמצעי להפחתת רמות החשי</w:t>
            </w:r>
            <w:r w:rsidR="008F5484">
              <w:rPr>
                <w:rFonts w:hint="cs"/>
                <w:rtl/>
              </w:rPr>
              <w:t xml:space="preserve">פה בעלויות סבירות, בשל חריגה מסך </w:t>
            </w:r>
            <w:r>
              <w:rPr>
                <w:rFonts w:hint="cs"/>
                <w:rtl/>
              </w:rPr>
              <w:t>70 מיליון</w:t>
            </w:r>
            <w:r w:rsidR="008F5484">
              <w:rPr>
                <w:rFonts w:hint="cs"/>
                <w:rtl/>
              </w:rPr>
              <w:t xml:space="preserve"> ש"ח בשנתיים</w:t>
            </w:r>
            <w:r>
              <w:rPr>
                <w:rFonts w:hint="cs"/>
                <w:rtl/>
              </w:rPr>
              <w:t>,</w:t>
            </w:r>
            <w:r w:rsidR="008F5484">
              <w:rPr>
                <w:rFonts w:hint="cs"/>
                <w:rtl/>
              </w:rPr>
              <w:t xml:space="preserve"> כאמור בתקנת משנה (א),</w:t>
            </w:r>
            <w:r>
              <w:rPr>
                <w:rFonts w:hint="cs"/>
                <w:rtl/>
              </w:rPr>
              <w:t xml:space="preserve"> יהיה אדם רשאי להקימו  ולהפעילו ללא נקיטת האמצעי להפחתת רמות הקרינה שמביא לחריגה מה</w:t>
            </w:r>
            <w:r w:rsidR="008F5484">
              <w:rPr>
                <w:rFonts w:hint="cs"/>
                <w:rtl/>
              </w:rPr>
              <w:t>סכום האמור</w:t>
            </w:r>
            <w:r>
              <w:rPr>
                <w:rFonts w:hint="cs"/>
                <w:rtl/>
              </w:rPr>
              <w:t>.</w:t>
            </w:r>
          </w:p>
        </w:tc>
      </w:tr>
      <w:tr w:rsidR="00A33DB7">
        <w:trPr>
          <w:cantSplit/>
          <w:trHeight w:val="60"/>
        </w:trPr>
        <w:tc>
          <w:tcPr>
            <w:tcW w:w="1871" w:type="dxa"/>
          </w:tcPr>
          <w:p w:rsidR="00A33DB7" w:rsidRDefault="00A33DB7">
            <w:pPr>
              <w:pStyle w:val="TableSideHeading"/>
            </w:pPr>
          </w:p>
        </w:tc>
        <w:tc>
          <w:tcPr>
            <w:tcW w:w="624" w:type="dxa"/>
          </w:tcPr>
          <w:p w:rsidR="00A33DB7" w:rsidRDefault="00A33DB7" w:rsidP="00A33DB7">
            <w:pPr>
              <w:pStyle w:val="TableText"/>
            </w:pPr>
          </w:p>
        </w:tc>
        <w:tc>
          <w:tcPr>
            <w:tcW w:w="624" w:type="dxa"/>
          </w:tcPr>
          <w:p w:rsidR="00A33DB7" w:rsidRDefault="00A33DB7">
            <w:pPr>
              <w:pStyle w:val="TableText"/>
            </w:pPr>
          </w:p>
        </w:tc>
        <w:tc>
          <w:tcPr>
            <w:tcW w:w="624" w:type="dxa"/>
          </w:tcPr>
          <w:p w:rsidR="00A33DB7" w:rsidRDefault="00A33DB7">
            <w:pPr>
              <w:pStyle w:val="TableText"/>
            </w:pPr>
          </w:p>
        </w:tc>
        <w:tc>
          <w:tcPr>
            <w:tcW w:w="624" w:type="dxa"/>
          </w:tcPr>
          <w:p w:rsidR="00A33DB7" w:rsidRDefault="00A33DB7">
            <w:pPr>
              <w:pStyle w:val="TableText"/>
            </w:pPr>
          </w:p>
        </w:tc>
        <w:tc>
          <w:tcPr>
            <w:tcW w:w="624" w:type="dxa"/>
          </w:tcPr>
          <w:p w:rsidR="00A33DB7" w:rsidRDefault="00A33DB7">
            <w:pPr>
              <w:pStyle w:val="TableText"/>
            </w:pPr>
          </w:p>
        </w:tc>
        <w:tc>
          <w:tcPr>
            <w:tcW w:w="4650" w:type="dxa"/>
            <w:gridSpan w:val="2"/>
          </w:tcPr>
          <w:p w:rsidR="00A33DB7" w:rsidRDefault="00A33DB7" w:rsidP="00A14073">
            <w:pPr>
              <w:pStyle w:val="TableBlock"/>
              <w:numPr>
                <w:ilvl w:val="0"/>
                <w:numId w:val="26"/>
              </w:numPr>
              <w:tabs>
                <w:tab w:val="left" w:pos="624"/>
              </w:tabs>
              <w:rPr>
                <w:rtl/>
              </w:rPr>
            </w:pPr>
            <w:r>
              <w:rPr>
                <w:rFonts w:hint="cs"/>
                <w:rtl/>
              </w:rPr>
              <w:t>עשה הממונה שימוש בסמכותו לפי תקנה 4ו</w:t>
            </w:r>
            <w:r w:rsidR="008F5484">
              <w:rPr>
                <w:rFonts w:hint="cs"/>
                <w:rtl/>
              </w:rPr>
              <w:t>,</w:t>
            </w:r>
            <w:r>
              <w:rPr>
                <w:rFonts w:hint="cs"/>
                <w:rtl/>
              </w:rPr>
              <w:t xml:space="preserve"> יקראו תקנה זו כאילו במקום "70 מיליו</w:t>
            </w:r>
            <w:r w:rsidR="008F5484">
              <w:rPr>
                <w:rFonts w:hint="cs"/>
                <w:rtl/>
              </w:rPr>
              <w:t xml:space="preserve">ן ש"ח </w:t>
            </w:r>
            <w:r>
              <w:rPr>
                <w:rFonts w:hint="cs"/>
                <w:rtl/>
              </w:rPr>
              <w:t>" נכתב "הסכום הכולל המיועד לטיפול במקורות קרינה חדשים שקבע הממונה לפי תקנה 4ו"</w:t>
            </w:r>
            <w:r w:rsidR="008F5484">
              <w:rPr>
                <w:rFonts w:hint="cs"/>
                <w:rtl/>
              </w:rPr>
              <w:t>.</w:t>
            </w:r>
          </w:p>
        </w:tc>
      </w:tr>
      <w:tr w:rsidR="00CF1551">
        <w:trPr>
          <w:cantSplit/>
          <w:trHeight w:val="60"/>
        </w:trPr>
        <w:tc>
          <w:tcPr>
            <w:tcW w:w="1871" w:type="dxa"/>
          </w:tcPr>
          <w:p w:rsidR="00CF1551" w:rsidRDefault="00CF1551">
            <w:pPr>
              <w:pStyle w:val="TableSideHeading"/>
              <w:keepLines w:val="0"/>
            </w:pPr>
          </w:p>
        </w:tc>
        <w:tc>
          <w:tcPr>
            <w:tcW w:w="624" w:type="dxa"/>
          </w:tcPr>
          <w:p w:rsidR="00CF1551" w:rsidRDefault="00CF1551">
            <w:pPr>
              <w:pStyle w:val="TableText"/>
              <w:keepLines w:val="0"/>
            </w:pPr>
          </w:p>
        </w:tc>
        <w:tc>
          <w:tcPr>
            <w:tcW w:w="1872" w:type="dxa"/>
            <w:gridSpan w:val="3"/>
          </w:tcPr>
          <w:p w:rsidR="00CF1551" w:rsidRDefault="00CF1551">
            <w:pPr>
              <w:pStyle w:val="TableInnerSideHeading"/>
            </w:pPr>
            <w:r w:rsidRPr="00152105">
              <w:rPr>
                <w:rtl/>
              </w:rPr>
              <w:t>מקום שהייה ממושכת</w:t>
            </w:r>
            <w:r>
              <w:rPr>
                <w:rFonts w:hint="cs"/>
                <w:rtl/>
              </w:rPr>
              <w:t xml:space="preserve"> - הפחתת רמת חשיפה ממקורות קרינה קיימים</w:t>
            </w:r>
          </w:p>
        </w:tc>
        <w:tc>
          <w:tcPr>
            <w:tcW w:w="624" w:type="dxa"/>
          </w:tcPr>
          <w:p w:rsidR="00CF1551" w:rsidRPr="00CF1551" w:rsidRDefault="00CF1551">
            <w:pPr>
              <w:pStyle w:val="TableText"/>
            </w:pPr>
            <w:r>
              <w:rPr>
                <w:rFonts w:hint="cs"/>
                <w:rtl/>
              </w:rPr>
              <w:t>4ד.</w:t>
            </w:r>
          </w:p>
        </w:tc>
        <w:tc>
          <w:tcPr>
            <w:tcW w:w="4650" w:type="dxa"/>
            <w:gridSpan w:val="2"/>
          </w:tcPr>
          <w:p w:rsidR="00CF1551" w:rsidRDefault="001A5BAC" w:rsidP="00D43502">
            <w:pPr>
              <w:pStyle w:val="TableBlock"/>
              <w:numPr>
                <w:ilvl w:val="0"/>
                <w:numId w:val="27"/>
              </w:numPr>
              <w:tabs>
                <w:tab w:val="left" w:pos="624"/>
              </w:tabs>
            </w:pPr>
            <w:r w:rsidRPr="001355B8">
              <w:rPr>
                <w:rFonts w:ascii="David" w:hAnsi="David" w:hint="eastAsia"/>
                <w:rtl/>
              </w:rPr>
              <w:t>לעניין</w:t>
            </w:r>
            <w:r w:rsidRPr="001355B8">
              <w:rPr>
                <w:rFonts w:ascii="David" w:hAnsi="David"/>
                <w:rtl/>
              </w:rPr>
              <w:t xml:space="preserve"> </w:t>
            </w:r>
            <w:r w:rsidR="00D43502">
              <w:rPr>
                <w:rFonts w:ascii="David" w:hAnsi="David" w:hint="cs"/>
                <w:rtl/>
              </w:rPr>
              <w:t xml:space="preserve">כל </w:t>
            </w:r>
            <w:r w:rsidRPr="001355B8">
              <w:rPr>
                <w:rFonts w:ascii="David" w:hAnsi="David" w:hint="eastAsia"/>
                <w:rtl/>
              </w:rPr>
              <w:t>מקור</w:t>
            </w:r>
            <w:r>
              <w:rPr>
                <w:rFonts w:ascii="David" w:hAnsi="David" w:hint="cs"/>
                <w:rtl/>
              </w:rPr>
              <w:t>ות</w:t>
            </w:r>
            <w:r w:rsidRPr="001355B8">
              <w:rPr>
                <w:rFonts w:ascii="David" w:hAnsi="David"/>
                <w:rtl/>
              </w:rPr>
              <w:t xml:space="preserve"> </w:t>
            </w:r>
            <w:r w:rsidR="00D43502">
              <w:rPr>
                <w:rFonts w:ascii="David" w:hAnsi="David" w:hint="cs"/>
                <w:rtl/>
              </w:rPr>
              <w:t>ה</w:t>
            </w:r>
            <w:r w:rsidRPr="001355B8">
              <w:rPr>
                <w:rFonts w:ascii="David" w:hAnsi="David" w:hint="eastAsia"/>
                <w:rtl/>
              </w:rPr>
              <w:t>קרינה</w:t>
            </w:r>
            <w:r w:rsidRPr="001355B8">
              <w:rPr>
                <w:rFonts w:ascii="David" w:hAnsi="David"/>
                <w:rtl/>
              </w:rPr>
              <w:t xml:space="preserve"> </w:t>
            </w:r>
            <w:r w:rsidR="00D43502">
              <w:rPr>
                <w:rFonts w:ascii="David" w:hAnsi="David" w:hint="cs"/>
                <w:rtl/>
              </w:rPr>
              <w:t>ה</w:t>
            </w:r>
            <w:r w:rsidRPr="001355B8">
              <w:rPr>
                <w:rFonts w:ascii="David" w:hAnsi="David" w:hint="eastAsia"/>
                <w:rtl/>
              </w:rPr>
              <w:t>קיי</w:t>
            </w:r>
            <w:r>
              <w:rPr>
                <w:rFonts w:ascii="David" w:hAnsi="David" w:hint="cs"/>
                <w:rtl/>
              </w:rPr>
              <w:t>מי</w:t>
            </w:r>
            <w:r w:rsidRPr="001355B8">
              <w:rPr>
                <w:rFonts w:ascii="David" w:hAnsi="David" w:hint="eastAsia"/>
                <w:rtl/>
              </w:rPr>
              <w:t>ם</w:t>
            </w:r>
            <w:r w:rsidR="00D43502">
              <w:rPr>
                <w:rFonts w:ascii="David" w:hAnsi="David" w:hint="cs"/>
                <w:rtl/>
              </w:rPr>
              <w:t xml:space="preserve"> המופעלים על ידה</w:t>
            </w:r>
            <w:r w:rsidRPr="001355B8">
              <w:rPr>
                <w:rFonts w:ascii="David" w:hAnsi="David"/>
                <w:rtl/>
              </w:rPr>
              <w:t xml:space="preserve">, </w:t>
            </w:r>
            <w:r w:rsidRPr="001355B8">
              <w:rPr>
                <w:rFonts w:ascii="David" w:hAnsi="David" w:hint="eastAsia"/>
                <w:rtl/>
              </w:rPr>
              <w:t>תקצה</w:t>
            </w:r>
            <w:r w:rsidRPr="001355B8">
              <w:rPr>
                <w:rFonts w:ascii="David" w:hAnsi="David"/>
                <w:rtl/>
              </w:rPr>
              <w:t xml:space="preserve"> </w:t>
            </w:r>
            <w:r w:rsidRPr="001355B8">
              <w:rPr>
                <w:rFonts w:ascii="David" w:hAnsi="David" w:hint="eastAsia"/>
                <w:rtl/>
              </w:rPr>
              <w:t>חברת</w:t>
            </w:r>
            <w:r w:rsidRPr="001355B8">
              <w:rPr>
                <w:rFonts w:ascii="David" w:hAnsi="David"/>
                <w:rtl/>
              </w:rPr>
              <w:t xml:space="preserve"> </w:t>
            </w:r>
            <w:r w:rsidRPr="001355B8">
              <w:rPr>
                <w:rFonts w:ascii="David" w:hAnsi="David" w:hint="eastAsia"/>
                <w:rtl/>
              </w:rPr>
              <w:t>החשמל</w:t>
            </w:r>
            <w:r>
              <w:rPr>
                <w:rFonts w:ascii="David" w:hAnsi="David" w:hint="cs"/>
                <w:rtl/>
              </w:rPr>
              <w:t xml:space="preserve"> לישראל בע"מ </w:t>
            </w:r>
            <w:r w:rsidRPr="001355B8">
              <w:rPr>
                <w:rFonts w:ascii="David" w:hAnsi="David" w:hint="cs"/>
                <w:rtl/>
              </w:rPr>
              <w:t xml:space="preserve">סך של </w:t>
            </w:r>
            <w:r>
              <w:rPr>
                <w:rFonts w:ascii="David" w:hAnsi="David" w:hint="cs"/>
                <w:rtl/>
              </w:rPr>
              <w:t>31</w:t>
            </w:r>
            <w:r w:rsidRPr="001355B8">
              <w:rPr>
                <w:rFonts w:ascii="David" w:hAnsi="David" w:hint="cs"/>
                <w:rtl/>
              </w:rPr>
              <w:t xml:space="preserve"> מיליון </w:t>
            </w:r>
            <w:r>
              <w:rPr>
                <w:rFonts w:ascii="David" w:hAnsi="David" w:hint="cs"/>
                <w:rtl/>
              </w:rPr>
              <w:t>ש"ח</w:t>
            </w:r>
            <w:r w:rsidRPr="001355B8">
              <w:rPr>
                <w:rFonts w:ascii="David" w:hAnsi="David" w:hint="cs"/>
                <w:rtl/>
              </w:rPr>
              <w:t xml:space="preserve"> כל שנתיים, לצורך </w:t>
            </w:r>
            <w:r>
              <w:rPr>
                <w:rFonts w:ascii="David" w:hAnsi="David" w:hint="cs"/>
                <w:rtl/>
              </w:rPr>
              <w:t>נקיטת אמצעים ל</w:t>
            </w:r>
            <w:r w:rsidRPr="001355B8">
              <w:rPr>
                <w:rFonts w:ascii="David" w:hAnsi="David" w:hint="cs"/>
                <w:rtl/>
              </w:rPr>
              <w:t>הפח</w:t>
            </w:r>
            <w:r>
              <w:rPr>
                <w:rFonts w:ascii="David" w:hAnsi="David" w:hint="cs"/>
                <w:rtl/>
              </w:rPr>
              <w:t xml:space="preserve">תת </w:t>
            </w:r>
            <w:r w:rsidR="00BE4212">
              <w:rPr>
                <w:rFonts w:ascii="David" w:hAnsi="David" w:hint="cs"/>
                <w:rtl/>
              </w:rPr>
              <w:t xml:space="preserve">רמת החשיפה </w:t>
            </w:r>
            <w:r w:rsidR="00D52899">
              <w:rPr>
                <w:rFonts w:ascii="David" w:hAnsi="David" w:hint="cs"/>
                <w:rtl/>
              </w:rPr>
              <w:t>שמקורה ב</w:t>
            </w:r>
            <w:r>
              <w:rPr>
                <w:rFonts w:ascii="David" w:hAnsi="David" w:hint="cs"/>
                <w:rtl/>
              </w:rPr>
              <w:t>שדות המגנטיים</w:t>
            </w:r>
            <w:r w:rsidRPr="001355B8">
              <w:rPr>
                <w:rFonts w:ascii="David" w:hAnsi="David" w:hint="cs"/>
                <w:rtl/>
              </w:rPr>
              <w:t xml:space="preserve"> </w:t>
            </w:r>
            <w:r>
              <w:rPr>
                <w:rFonts w:ascii="David" w:hAnsi="David" w:hint="cs"/>
                <w:rtl/>
              </w:rPr>
              <w:t xml:space="preserve">והחשמליים </w:t>
            </w:r>
            <w:r w:rsidRPr="001355B8">
              <w:rPr>
                <w:rFonts w:ascii="David" w:hAnsi="David" w:hint="cs"/>
                <w:rtl/>
              </w:rPr>
              <w:t>אליהם נחשף הציבור</w:t>
            </w:r>
            <w:r>
              <w:rPr>
                <w:rFonts w:ascii="David" w:hAnsi="David" w:hint="cs"/>
                <w:rtl/>
              </w:rPr>
              <w:t xml:space="preserve"> במקומות שה</w:t>
            </w:r>
            <w:r w:rsidR="0092637D">
              <w:rPr>
                <w:rFonts w:ascii="David" w:hAnsi="David" w:hint="cs"/>
                <w:rtl/>
              </w:rPr>
              <w:t>י</w:t>
            </w:r>
            <w:r>
              <w:rPr>
                <w:rFonts w:ascii="David" w:hAnsi="David" w:hint="cs"/>
                <w:rtl/>
              </w:rPr>
              <w:t>יה ממושכת</w:t>
            </w:r>
            <w:r w:rsidRPr="001355B8">
              <w:rPr>
                <w:rFonts w:ascii="David" w:hAnsi="David" w:hint="cs"/>
                <w:rtl/>
              </w:rPr>
              <w:t xml:space="preserve"> ממקורות קרינה קיימים שהיא מפעילה</w:t>
            </w:r>
            <w:r>
              <w:rPr>
                <w:rFonts w:ascii="David" w:hAnsi="David" w:hint="cs"/>
                <w:rtl/>
              </w:rPr>
              <w:t xml:space="preserve"> בתנאים של זרם אופייני</w:t>
            </w:r>
            <w:r>
              <w:rPr>
                <w:rFonts w:hint="cs"/>
                <w:rtl/>
              </w:rPr>
              <w:t>.</w:t>
            </w:r>
          </w:p>
        </w:tc>
      </w:tr>
      <w:tr w:rsidR="001A5BAC">
        <w:trPr>
          <w:cantSplit/>
          <w:trHeight w:val="60"/>
        </w:trPr>
        <w:tc>
          <w:tcPr>
            <w:tcW w:w="1871" w:type="dxa"/>
          </w:tcPr>
          <w:p w:rsidR="001A5BAC" w:rsidRDefault="001A5BAC">
            <w:pPr>
              <w:pStyle w:val="TableSideHeading"/>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650" w:type="dxa"/>
            <w:gridSpan w:val="2"/>
          </w:tcPr>
          <w:p w:rsidR="001A5BAC" w:rsidRDefault="001A5BAC" w:rsidP="001A5BAC">
            <w:pPr>
              <w:pStyle w:val="TableBlock"/>
              <w:numPr>
                <w:ilvl w:val="0"/>
                <w:numId w:val="27"/>
              </w:numPr>
              <w:tabs>
                <w:tab w:val="left" w:pos="624"/>
              </w:tabs>
            </w:pPr>
            <w:r w:rsidRPr="0001745C">
              <w:rPr>
                <w:rFonts w:ascii="David" w:hAnsi="David"/>
                <w:rtl/>
              </w:rPr>
              <w:t xml:space="preserve">סך העלות להפחתת הקרינה מכל מקורות </w:t>
            </w:r>
            <w:r>
              <w:rPr>
                <w:rFonts w:ascii="David" w:hAnsi="David"/>
                <w:rtl/>
              </w:rPr>
              <w:t xml:space="preserve">הקרינה הקיימים המופעלים על ידי </w:t>
            </w:r>
            <w:r w:rsidRPr="0001745C">
              <w:rPr>
                <w:rFonts w:ascii="David" w:hAnsi="David"/>
                <w:rtl/>
              </w:rPr>
              <w:t>בעלי רישיונות חלוקה שאינם חברת החשמל, לא יעלה על מיליון ש"ח בשנתיים.</w:t>
            </w:r>
          </w:p>
        </w:tc>
      </w:tr>
      <w:tr w:rsidR="00CF1551">
        <w:trPr>
          <w:cantSplit/>
          <w:trHeight w:val="60"/>
        </w:trPr>
        <w:tc>
          <w:tcPr>
            <w:tcW w:w="1871" w:type="dxa"/>
          </w:tcPr>
          <w:p w:rsidR="00CF1551" w:rsidRDefault="00CF1551">
            <w:pPr>
              <w:pStyle w:val="TableSideHeading"/>
            </w:pPr>
          </w:p>
        </w:tc>
        <w:tc>
          <w:tcPr>
            <w:tcW w:w="624" w:type="dxa"/>
          </w:tcPr>
          <w:p w:rsidR="00CF1551" w:rsidRPr="00D26EAB" w:rsidRDefault="00CF1551" w:rsidP="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4650" w:type="dxa"/>
            <w:gridSpan w:val="2"/>
          </w:tcPr>
          <w:p w:rsidR="00CF1551" w:rsidRPr="0001745C" w:rsidRDefault="00CF1551" w:rsidP="00D43502">
            <w:pPr>
              <w:pStyle w:val="TableBlock"/>
              <w:numPr>
                <w:ilvl w:val="0"/>
                <w:numId w:val="27"/>
              </w:numPr>
              <w:tabs>
                <w:tab w:val="left" w:pos="624"/>
              </w:tabs>
              <w:rPr>
                <w:rFonts w:ascii="David" w:hAnsi="David"/>
                <w:rtl/>
              </w:rPr>
            </w:pPr>
            <w:r>
              <w:rPr>
                <w:rFonts w:ascii="David" w:hAnsi="David" w:hint="cs"/>
                <w:rtl/>
              </w:rPr>
              <w:t xml:space="preserve">העלויות שיובאו בחשבון לצורך ניצול </w:t>
            </w:r>
            <w:r w:rsidRPr="00DB21EA">
              <w:rPr>
                <w:rFonts w:ascii="David" w:hAnsi="David" w:hint="cs"/>
                <w:rtl/>
              </w:rPr>
              <w:t>התקציב</w:t>
            </w:r>
            <w:r w:rsidRPr="00DB21EA">
              <w:rPr>
                <w:rFonts w:ascii="David" w:hAnsi="David"/>
                <w:rtl/>
              </w:rPr>
              <w:t xml:space="preserve">  הדו שנתי, כאמור </w:t>
            </w:r>
            <w:r w:rsidRPr="00DB21EA">
              <w:rPr>
                <w:rFonts w:ascii="David" w:hAnsi="David" w:hint="cs"/>
                <w:rtl/>
              </w:rPr>
              <w:t>בתקנת</w:t>
            </w:r>
            <w:r w:rsidRPr="00DB21EA">
              <w:rPr>
                <w:rFonts w:ascii="David" w:hAnsi="David"/>
                <w:rtl/>
              </w:rPr>
              <w:t xml:space="preserve"> </w:t>
            </w:r>
            <w:r w:rsidRPr="00DB21EA">
              <w:rPr>
                <w:rFonts w:ascii="David" w:hAnsi="David" w:hint="cs"/>
                <w:rtl/>
              </w:rPr>
              <w:t>משנה</w:t>
            </w:r>
            <w:r w:rsidRPr="00DB21EA">
              <w:rPr>
                <w:rFonts w:ascii="David" w:hAnsi="David"/>
                <w:rtl/>
              </w:rPr>
              <w:t xml:space="preserve"> (א)</w:t>
            </w:r>
            <w:r w:rsidR="00D43502">
              <w:rPr>
                <w:rFonts w:ascii="David" w:hAnsi="David" w:hint="cs"/>
                <w:rtl/>
              </w:rPr>
              <w:t xml:space="preserve"> או (ב) לפי </w:t>
            </w:r>
            <w:proofErr w:type="spellStart"/>
            <w:r w:rsidR="00D43502">
              <w:rPr>
                <w:rFonts w:ascii="David" w:hAnsi="David" w:hint="cs"/>
                <w:rtl/>
              </w:rPr>
              <w:t>הענין</w:t>
            </w:r>
            <w:proofErr w:type="spellEnd"/>
            <w:r>
              <w:rPr>
                <w:rFonts w:ascii="David" w:hAnsi="David" w:hint="cs"/>
                <w:rtl/>
              </w:rPr>
              <w:t>,</w:t>
            </w:r>
            <w:r w:rsidRPr="00C70A31">
              <w:rPr>
                <w:rFonts w:ascii="David" w:hAnsi="David" w:hint="cs"/>
                <w:rtl/>
              </w:rPr>
              <w:t xml:space="preserve"> יכל</w:t>
            </w:r>
            <w:r w:rsidRPr="00DB21EA">
              <w:rPr>
                <w:rFonts w:ascii="David" w:hAnsi="David" w:hint="cs"/>
                <w:rtl/>
              </w:rPr>
              <w:t>ל</w:t>
            </w:r>
            <w:r>
              <w:rPr>
                <w:rFonts w:ascii="David" w:hAnsi="David" w:hint="cs"/>
                <w:rtl/>
              </w:rPr>
              <w:t>ו</w:t>
            </w:r>
            <w:r w:rsidRPr="00DB21EA">
              <w:rPr>
                <w:rFonts w:ascii="David" w:hAnsi="David"/>
                <w:rtl/>
              </w:rPr>
              <w:t xml:space="preserve"> את העלויות הנובעות מהוראות לנ</w:t>
            </w:r>
            <w:r w:rsidRPr="00DB21EA">
              <w:rPr>
                <w:rFonts w:ascii="David" w:hAnsi="David" w:hint="cs"/>
                <w:rtl/>
              </w:rPr>
              <w:t>קיטת</w:t>
            </w:r>
            <w:r w:rsidRPr="00DB21EA">
              <w:rPr>
                <w:rFonts w:ascii="David" w:hAnsi="David"/>
                <w:rtl/>
              </w:rPr>
              <w:t xml:space="preserve"> </w:t>
            </w:r>
            <w:r w:rsidRPr="00DB21EA">
              <w:rPr>
                <w:rFonts w:ascii="David" w:hAnsi="David" w:hint="cs"/>
                <w:rtl/>
              </w:rPr>
              <w:t>אמצעים</w:t>
            </w:r>
            <w:r w:rsidRPr="00DB21EA">
              <w:rPr>
                <w:rFonts w:ascii="David" w:hAnsi="David"/>
                <w:rtl/>
              </w:rPr>
              <w:t xml:space="preserve"> </w:t>
            </w:r>
            <w:r w:rsidRPr="00DB21EA">
              <w:rPr>
                <w:rFonts w:ascii="David" w:hAnsi="David" w:hint="cs"/>
                <w:rtl/>
              </w:rPr>
              <w:t>להפחתת</w:t>
            </w:r>
            <w:r w:rsidRPr="00DB21EA">
              <w:rPr>
                <w:rFonts w:ascii="David" w:hAnsi="David"/>
                <w:rtl/>
              </w:rPr>
              <w:t xml:space="preserve"> </w:t>
            </w:r>
            <w:r w:rsidRPr="00DB21EA">
              <w:rPr>
                <w:rFonts w:ascii="David" w:hAnsi="David" w:hint="cs"/>
                <w:rtl/>
              </w:rPr>
              <w:t>חשיפה</w:t>
            </w:r>
            <w:r w:rsidRPr="00DB21EA">
              <w:rPr>
                <w:rFonts w:ascii="David" w:hAnsi="David"/>
                <w:rtl/>
              </w:rPr>
              <w:t xml:space="preserve"> </w:t>
            </w:r>
            <w:r w:rsidRPr="00DB21EA">
              <w:rPr>
                <w:rFonts w:ascii="David" w:hAnsi="David" w:hint="cs"/>
                <w:rtl/>
              </w:rPr>
              <w:t>לקרינה</w:t>
            </w:r>
            <w:r w:rsidRPr="00DB21EA">
              <w:rPr>
                <w:rFonts w:ascii="David" w:hAnsi="David"/>
                <w:rtl/>
              </w:rPr>
              <w:t xml:space="preserve"> שניתנו באותן שנתיים.</w:t>
            </w:r>
          </w:p>
        </w:tc>
      </w:tr>
      <w:tr w:rsidR="00CF1551">
        <w:trPr>
          <w:cantSplit/>
          <w:trHeight w:val="60"/>
        </w:trPr>
        <w:tc>
          <w:tcPr>
            <w:tcW w:w="1871" w:type="dxa"/>
          </w:tcPr>
          <w:p w:rsidR="00CF1551" w:rsidRDefault="00CF1551">
            <w:pPr>
              <w:pStyle w:val="TableSideHeading"/>
            </w:pPr>
          </w:p>
        </w:tc>
        <w:tc>
          <w:tcPr>
            <w:tcW w:w="624" w:type="dxa"/>
          </w:tcPr>
          <w:p w:rsidR="00CF1551" w:rsidRDefault="00CF1551" w:rsidP="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4650" w:type="dxa"/>
            <w:gridSpan w:val="2"/>
          </w:tcPr>
          <w:p w:rsidR="00CF1551" w:rsidRPr="00CF1551" w:rsidRDefault="00E67AA3" w:rsidP="00E67AA3">
            <w:pPr>
              <w:pStyle w:val="TableBlock"/>
              <w:numPr>
                <w:ilvl w:val="0"/>
                <w:numId w:val="27"/>
              </w:numPr>
              <w:tabs>
                <w:tab w:val="left" w:pos="624"/>
              </w:tabs>
              <w:autoSpaceDE w:val="0"/>
              <w:autoSpaceDN w:val="0"/>
              <w:adjustRightInd w:val="0"/>
              <w:contextualSpacing w:val="0"/>
              <w:textAlignment w:val="center"/>
              <w:rPr>
                <w:rFonts w:ascii="David" w:hAnsi="David"/>
                <w:rtl/>
              </w:rPr>
            </w:pPr>
            <w:r w:rsidRPr="001A5BAC">
              <w:rPr>
                <w:rFonts w:ascii="David" w:hAnsi="David" w:hint="cs"/>
                <w:rtl/>
              </w:rPr>
              <w:t>חברת</w:t>
            </w:r>
            <w:r w:rsidRPr="001A5BAC">
              <w:rPr>
                <w:rFonts w:ascii="David" w:hAnsi="David"/>
                <w:rtl/>
              </w:rPr>
              <w:t xml:space="preserve"> </w:t>
            </w:r>
            <w:r w:rsidRPr="001A5BAC">
              <w:rPr>
                <w:rFonts w:ascii="David" w:hAnsi="David" w:hint="cs"/>
                <w:rtl/>
              </w:rPr>
              <w:t>החשמל</w:t>
            </w:r>
            <w:r w:rsidRPr="001A5BAC">
              <w:rPr>
                <w:rFonts w:ascii="David" w:hAnsi="David"/>
                <w:rtl/>
              </w:rPr>
              <w:t xml:space="preserve"> </w:t>
            </w:r>
            <w:r w:rsidRPr="001A5BAC">
              <w:rPr>
                <w:rFonts w:ascii="David" w:hAnsi="David" w:hint="cs"/>
                <w:rtl/>
              </w:rPr>
              <w:t>תדווח</w:t>
            </w:r>
            <w:r w:rsidRPr="001A5BAC">
              <w:rPr>
                <w:rFonts w:ascii="David" w:hAnsi="David"/>
                <w:rtl/>
              </w:rPr>
              <w:t xml:space="preserve"> </w:t>
            </w:r>
            <w:r w:rsidRPr="001A5BAC">
              <w:rPr>
                <w:rFonts w:ascii="David" w:hAnsi="David" w:hint="cs"/>
                <w:rtl/>
              </w:rPr>
              <w:t>לממונה</w:t>
            </w:r>
            <w:r w:rsidRPr="001A5BAC">
              <w:rPr>
                <w:rFonts w:ascii="David" w:hAnsi="David"/>
                <w:rtl/>
              </w:rPr>
              <w:t xml:space="preserve"> בכתב על הכספים שהוצאו </w:t>
            </w:r>
            <w:r w:rsidRPr="001A5BAC">
              <w:rPr>
                <w:rFonts w:ascii="David" w:hAnsi="David" w:hint="cs"/>
                <w:rtl/>
              </w:rPr>
              <w:t>כאמור</w:t>
            </w:r>
            <w:r w:rsidRPr="001A5BAC">
              <w:rPr>
                <w:rFonts w:ascii="David" w:hAnsi="David"/>
                <w:rtl/>
              </w:rPr>
              <w:t xml:space="preserve"> </w:t>
            </w:r>
            <w:r w:rsidRPr="001A5BAC">
              <w:rPr>
                <w:rFonts w:ascii="David" w:hAnsi="David" w:hint="cs"/>
                <w:rtl/>
              </w:rPr>
              <w:t>בתקנת</w:t>
            </w:r>
            <w:r w:rsidRPr="001A5BAC">
              <w:rPr>
                <w:rFonts w:ascii="David" w:hAnsi="David"/>
                <w:rtl/>
              </w:rPr>
              <w:t xml:space="preserve"> </w:t>
            </w:r>
            <w:r w:rsidRPr="001A5BAC">
              <w:rPr>
                <w:rFonts w:ascii="David" w:hAnsi="David" w:hint="cs"/>
                <w:rtl/>
              </w:rPr>
              <w:t>משנה</w:t>
            </w:r>
            <w:r w:rsidRPr="001A5BAC">
              <w:rPr>
                <w:rFonts w:ascii="David" w:hAnsi="David"/>
                <w:rtl/>
              </w:rPr>
              <w:t xml:space="preserve"> (א), </w:t>
            </w:r>
            <w:r>
              <w:rPr>
                <w:rFonts w:ascii="David" w:hAnsi="David" w:hint="cs"/>
                <w:rtl/>
              </w:rPr>
              <w:t xml:space="preserve">ב- 15 לינואר וב- 15 ליולי </w:t>
            </w:r>
            <w:r w:rsidRPr="001A5BAC">
              <w:rPr>
                <w:rFonts w:ascii="David" w:hAnsi="David" w:hint="cs"/>
                <w:rtl/>
              </w:rPr>
              <w:t>בכל שנה</w:t>
            </w:r>
            <w:r>
              <w:rPr>
                <w:rFonts w:ascii="David" w:hAnsi="David" w:hint="cs"/>
                <w:rtl/>
              </w:rPr>
              <w:t>,</w:t>
            </w:r>
            <w:r w:rsidRPr="001A5BAC">
              <w:rPr>
                <w:rFonts w:ascii="David" w:hAnsi="David" w:hint="cs"/>
                <w:rtl/>
              </w:rPr>
              <w:t xml:space="preserve"> לגבי ששת החודשים שקדמו לדיווח</w:t>
            </w:r>
            <w:r w:rsidRPr="001A5BAC">
              <w:rPr>
                <w:rFonts w:ascii="David" w:hAnsi="David"/>
                <w:rtl/>
              </w:rPr>
              <w:t>.</w:t>
            </w:r>
          </w:p>
        </w:tc>
      </w:tr>
      <w:tr w:rsidR="00CF1551">
        <w:trPr>
          <w:cantSplit/>
          <w:trHeight w:val="60"/>
        </w:trPr>
        <w:tc>
          <w:tcPr>
            <w:tcW w:w="1871" w:type="dxa"/>
          </w:tcPr>
          <w:p w:rsidR="00CF1551" w:rsidRDefault="00CF1551">
            <w:pPr>
              <w:pStyle w:val="TableSideHeading"/>
            </w:pPr>
          </w:p>
        </w:tc>
        <w:tc>
          <w:tcPr>
            <w:tcW w:w="624" w:type="dxa"/>
          </w:tcPr>
          <w:p w:rsidR="00CF1551" w:rsidRDefault="00CF1551" w:rsidP="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624" w:type="dxa"/>
          </w:tcPr>
          <w:p w:rsidR="00CF1551" w:rsidRDefault="00CF1551">
            <w:pPr>
              <w:pStyle w:val="TableText"/>
            </w:pPr>
          </w:p>
        </w:tc>
        <w:tc>
          <w:tcPr>
            <w:tcW w:w="4650" w:type="dxa"/>
            <w:gridSpan w:val="2"/>
          </w:tcPr>
          <w:p w:rsidR="008A52FF" w:rsidRPr="008A52FF" w:rsidRDefault="00E67AA3" w:rsidP="008A52FF">
            <w:pPr>
              <w:pStyle w:val="TableBlock"/>
              <w:numPr>
                <w:ilvl w:val="0"/>
                <w:numId w:val="27"/>
              </w:numPr>
              <w:tabs>
                <w:tab w:val="left" w:pos="624"/>
              </w:tabs>
              <w:autoSpaceDE w:val="0"/>
              <w:autoSpaceDN w:val="0"/>
              <w:adjustRightInd w:val="0"/>
              <w:contextualSpacing w:val="0"/>
              <w:textAlignment w:val="center"/>
              <w:rPr>
                <w:rFonts w:ascii="David" w:hAnsi="David"/>
                <w:rtl/>
              </w:rPr>
            </w:pPr>
            <w:r>
              <w:rPr>
                <w:rFonts w:ascii="David" w:hAnsi="David" w:hint="cs"/>
                <w:rtl/>
              </w:rPr>
              <w:t>בעל רישיון חלוקה שאינו חברת החשמל ידווח לממונה בכתב על כספים שהוצאו כאמור בתקנת משנה (א) בסמוך לאחר הוצאתם.</w:t>
            </w:r>
          </w:p>
        </w:tc>
      </w:tr>
      <w:tr w:rsidR="00F4230F">
        <w:trPr>
          <w:cantSplit/>
          <w:trHeight w:val="60"/>
        </w:trPr>
        <w:tc>
          <w:tcPr>
            <w:tcW w:w="1871" w:type="dxa"/>
          </w:tcPr>
          <w:p w:rsidR="00F4230F" w:rsidRDefault="00F4230F">
            <w:pPr>
              <w:pStyle w:val="TableSideHeading"/>
              <w:keepLines w:val="0"/>
            </w:pPr>
          </w:p>
        </w:tc>
        <w:tc>
          <w:tcPr>
            <w:tcW w:w="624" w:type="dxa"/>
          </w:tcPr>
          <w:p w:rsidR="00F4230F" w:rsidRDefault="00F4230F">
            <w:pPr>
              <w:pStyle w:val="TableText"/>
              <w:keepLines w:val="0"/>
            </w:pPr>
          </w:p>
        </w:tc>
        <w:tc>
          <w:tcPr>
            <w:tcW w:w="1872" w:type="dxa"/>
            <w:gridSpan w:val="3"/>
          </w:tcPr>
          <w:p w:rsidR="00F4230F" w:rsidRDefault="00F4230F">
            <w:pPr>
              <w:pStyle w:val="TableInnerSideHeading"/>
            </w:pPr>
            <w:r>
              <w:rPr>
                <w:rFonts w:hint="cs"/>
                <w:rtl/>
              </w:rPr>
              <w:t>אי שימוש באמצעי להפחתת רמת חשיפה</w:t>
            </w:r>
          </w:p>
        </w:tc>
        <w:tc>
          <w:tcPr>
            <w:tcW w:w="624" w:type="dxa"/>
          </w:tcPr>
          <w:p w:rsidR="00F4230F" w:rsidRDefault="00F4230F">
            <w:pPr>
              <w:pStyle w:val="TableText"/>
            </w:pPr>
            <w:r>
              <w:rPr>
                <w:rFonts w:hint="cs"/>
                <w:rtl/>
              </w:rPr>
              <w:t>4ה.</w:t>
            </w:r>
          </w:p>
        </w:tc>
        <w:tc>
          <w:tcPr>
            <w:tcW w:w="4650" w:type="dxa"/>
            <w:gridSpan w:val="2"/>
          </w:tcPr>
          <w:p w:rsidR="00F4230F" w:rsidRDefault="00F4230F">
            <w:pPr>
              <w:pStyle w:val="TableBlock"/>
              <w:rPr>
                <w:rtl/>
              </w:rPr>
            </w:pPr>
            <w:r>
              <w:rPr>
                <w:rFonts w:hint="cs"/>
                <w:rtl/>
              </w:rPr>
              <w:t xml:space="preserve">בעל רישיון לניהול מערכת </w:t>
            </w:r>
            <w:r w:rsidRPr="008416ED">
              <w:rPr>
                <w:rtl/>
              </w:rPr>
              <w:t>רשאי לקבוע</w:t>
            </w:r>
            <w:r>
              <w:rPr>
                <w:rFonts w:hint="cs"/>
                <w:rtl/>
              </w:rPr>
              <w:t>,</w:t>
            </w:r>
            <w:r w:rsidRPr="008416ED">
              <w:rPr>
                <w:rtl/>
              </w:rPr>
              <w:t xml:space="preserve"> כי לגבי מקור קרינה מסוים לא ייעשה שימוש באמצעי </w:t>
            </w:r>
            <w:r>
              <w:rPr>
                <w:rFonts w:hint="cs"/>
                <w:rtl/>
              </w:rPr>
              <w:t>להפחתת רמת חשיפה</w:t>
            </w:r>
            <w:r w:rsidRPr="008416ED">
              <w:rPr>
                <w:rtl/>
              </w:rPr>
              <w:t>, אם יש בשימוש באמצעי זה כדי לפגוע בשרידות מערכת החשמל או באמינות אספקת החשמל.</w:t>
            </w:r>
          </w:p>
        </w:tc>
      </w:tr>
      <w:tr w:rsidR="007D3FDD">
        <w:trPr>
          <w:cantSplit/>
          <w:trHeight w:val="60"/>
        </w:trPr>
        <w:tc>
          <w:tcPr>
            <w:tcW w:w="1871" w:type="dxa"/>
          </w:tcPr>
          <w:p w:rsidR="007D3FDD" w:rsidRDefault="007D3FDD">
            <w:pPr>
              <w:pStyle w:val="TableSideHeading"/>
              <w:keepLines w:val="0"/>
            </w:pPr>
          </w:p>
        </w:tc>
        <w:tc>
          <w:tcPr>
            <w:tcW w:w="624" w:type="dxa"/>
          </w:tcPr>
          <w:p w:rsidR="007D3FDD" w:rsidRDefault="007D3FDD">
            <w:pPr>
              <w:pStyle w:val="TableText"/>
              <w:keepLines w:val="0"/>
            </w:pPr>
          </w:p>
        </w:tc>
        <w:tc>
          <w:tcPr>
            <w:tcW w:w="1872" w:type="dxa"/>
            <w:gridSpan w:val="3"/>
          </w:tcPr>
          <w:p w:rsidR="007D3FDD" w:rsidRDefault="001A5BAC">
            <w:pPr>
              <w:pStyle w:val="TableInnerSideHeading"/>
            </w:pPr>
            <w:r>
              <w:rPr>
                <w:rFonts w:hint="cs"/>
                <w:rtl/>
              </w:rPr>
              <w:t>ניוד כספים</w:t>
            </w:r>
          </w:p>
        </w:tc>
        <w:tc>
          <w:tcPr>
            <w:tcW w:w="624" w:type="dxa"/>
          </w:tcPr>
          <w:p w:rsidR="007D3FDD" w:rsidRDefault="001A5BAC" w:rsidP="00F4230F">
            <w:pPr>
              <w:pStyle w:val="TableText"/>
            </w:pPr>
            <w:r>
              <w:rPr>
                <w:rFonts w:hint="cs"/>
                <w:rtl/>
              </w:rPr>
              <w:t>4</w:t>
            </w:r>
            <w:r w:rsidR="00F4230F">
              <w:rPr>
                <w:rFonts w:hint="cs"/>
                <w:rtl/>
              </w:rPr>
              <w:t>ו</w:t>
            </w:r>
            <w:r w:rsidR="007D3FDD">
              <w:rPr>
                <w:rFonts w:hint="cs"/>
                <w:rtl/>
              </w:rPr>
              <w:t>.</w:t>
            </w:r>
          </w:p>
        </w:tc>
        <w:tc>
          <w:tcPr>
            <w:tcW w:w="4650" w:type="dxa"/>
            <w:gridSpan w:val="2"/>
          </w:tcPr>
          <w:p w:rsidR="007D3FDD" w:rsidRDefault="001A5BAC" w:rsidP="00894044">
            <w:pPr>
              <w:pStyle w:val="TableBlock"/>
              <w:numPr>
                <w:ilvl w:val="0"/>
                <w:numId w:val="38"/>
              </w:numPr>
              <w:tabs>
                <w:tab w:val="left" w:pos="624"/>
              </w:tabs>
            </w:pPr>
            <w:r>
              <w:rPr>
                <w:rFonts w:ascii="David" w:hAnsi="David" w:hint="cs"/>
                <w:rtl/>
              </w:rPr>
              <w:t>חברת החשמל תעביר, על פי הוראת הממונה, כספים בין התקציבים האמורים בתקנות 4ג(א) ו- 4ד(א).</w:t>
            </w:r>
          </w:p>
        </w:tc>
      </w:tr>
      <w:tr w:rsidR="00A14073">
        <w:trPr>
          <w:cantSplit/>
          <w:trHeight w:val="60"/>
        </w:trPr>
        <w:tc>
          <w:tcPr>
            <w:tcW w:w="1871" w:type="dxa"/>
          </w:tcPr>
          <w:p w:rsidR="00A14073" w:rsidRDefault="00A14073">
            <w:pPr>
              <w:pStyle w:val="TableSideHeading"/>
            </w:pPr>
          </w:p>
        </w:tc>
        <w:tc>
          <w:tcPr>
            <w:tcW w:w="624" w:type="dxa"/>
          </w:tcPr>
          <w:p w:rsidR="00A14073" w:rsidRDefault="00A14073">
            <w:pPr>
              <w:pStyle w:val="TableText"/>
            </w:pPr>
          </w:p>
        </w:tc>
        <w:tc>
          <w:tcPr>
            <w:tcW w:w="624" w:type="dxa"/>
          </w:tcPr>
          <w:p w:rsidR="00A14073" w:rsidRDefault="00A14073">
            <w:pPr>
              <w:pStyle w:val="TableText"/>
            </w:pPr>
          </w:p>
        </w:tc>
        <w:tc>
          <w:tcPr>
            <w:tcW w:w="624" w:type="dxa"/>
          </w:tcPr>
          <w:p w:rsidR="00A14073" w:rsidRDefault="00A14073">
            <w:pPr>
              <w:pStyle w:val="TableText"/>
            </w:pPr>
          </w:p>
        </w:tc>
        <w:tc>
          <w:tcPr>
            <w:tcW w:w="624" w:type="dxa"/>
          </w:tcPr>
          <w:p w:rsidR="00A14073" w:rsidRDefault="00A14073">
            <w:pPr>
              <w:pStyle w:val="TableText"/>
            </w:pPr>
          </w:p>
        </w:tc>
        <w:tc>
          <w:tcPr>
            <w:tcW w:w="624" w:type="dxa"/>
          </w:tcPr>
          <w:p w:rsidR="00A14073" w:rsidRDefault="00A14073">
            <w:pPr>
              <w:pStyle w:val="TableText"/>
            </w:pPr>
          </w:p>
        </w:tc>
        <w:tc>
          <w:tcPr>
            <w:tcW w:w="4650" w:type="dxa"/>
            <w:gridSpan w:val="2"/>
          </w:tcPr>
          <w:p w:rsidR="00A14073" w:rsidRDefault="00A14073" w:rsidP="00894044">
            <w:pPr>
              <w:pStyle w:val="TableBlock"/>
              <w:numPr>
                <w:ilvl w:val="0"/>
                <w:numId w:val="38"/>
              </w:numPr>
              <w:tabs>
                <w:tab w:val="left" w:pos="624"/>
              </w:tabs>
            </w:pPr>
            <w:r>
              <w:rPr>
                <w:rFonts w:hint="cs"/>
                <w:rtl/>
              </w:rPr>
              <w:t>העברת כספים בסך העולה על 10 מיליון ש"ח בשנתיים, מהתקציב האמור בתקנה 4ג(א) לתקציב האמור בתקנה 4(ד)(א), תעשה באישור הועדה המקצועית.</w:t>
            </w:r>
          </w:p>
        </w:tc>
      </w:tr>
      <w:tr w:rsidR="001A5BAC">
        <w:trPr>
          <w:cantSplit/>
          <w:trHeight w:val="60"/>
        </w:trPr>
        <w:tc>
          <w:tcPr>
            <w:tcW w:w="1871" w:type="dxa"/>
          </w:tcPr>
          <w:p w:rsidR="001A5BAC" w:rsidRDefault="001A5BAC">
            <w:pPr>
              <w:pStyle w:val="TableSideHeading"/>
              <w:keepLines w:val="0"/>
            </w:pPr>
          </w:p>
        </w:tc>
        <w:tc>
          <w:tcPr>
            <w:tcW w:w="624" w:type="dxa"/>
          </w:tcPr>
          <w:p w:rsidR="001A5BAC" w:rsidRDefault="001A5BAC">
            <w:pPr>
              <w:pStyle w:val="TableText"/>
              <w:keepLines w:val="0"/>
            </w:pPr>
          </w:p>
        </w:tc>
        <w:tc>
          <w:tcPr>
            <w:tcW w:w="1872" w:type="dxa"/>
            <w:gridSpan w:val="3"/>
          </w:tcPr>
          <w:p w:rsidR="001A5BAC" w:rsidRDefault="001A5BAC">
            <w:pPr>
              <w:pStyle w:val="TableInnerSideHeading"/>
            </w:pPr>
            <w:r>
              <w:rPr>
                <w:rFonts w:hint="cs"/>
                <w:rtl/>
              </w:rPr>
              <w:t>ועדה מקצועית</w:t>
            </w:r>
          </w:p>
        </w:tc>
        <w:tc>
          <w:tcPr>
            <w:tcW w:w="624" w:type="dxa"/>
          </w:tcPr>
          <w:p w:rsidR="001A5BAC" w:rsidRDefault="001A5BAC" w:rsidP="00F4230F">
            <w:pPr>
              <w:pStyle w:val="TableText"/>
            </w:pPr>
            <w:r>
              <w:rPr>
                <w:rFonts w:hint="cs"/>
                <w:rtl/>
              </w:rPr>
              <w:t>4</w:t>
            </w:r>
            <w:r w:rsidR="00F4230F">
              <w:rPr>
                <w:rFonts w:hint="cs"/>
                <w:rtl/>
              </w:rPr>
              <w:t>ז</w:t>
            </w:r>
            <w:r>
              <w:rPr>
                <w:rFonts w:hint="cs"/>
                <w:rtl/>
              </w:rPr>
              <w:t>.</w:t>
            </w:r>
          </w:p>
        </w:tc>
        <w:tc>
          <w:tcPr>
            <w:tcW w:w="4650" w:type="dxa"/>
            <w:gridSpan w:val="2"/>
          </w:tcPr>
          <w:p w:rsidR="001A5BAC" w:rsidRDefault="001A5BAC" w:rsidP="001A5BAC">
            <w:pPr>
              <w:pStyle w:val="TableBlock"/>
              <w:numPr>
                <w:ilvl w:val="0"/>
                <w:numId w:val="29"/>
              </w:numPr>
              <w:tabs>
                <w:tab w:val="left" w:pos="624"/>
              </w:tabs>
            </w:pPr>
            <w:r w:rsidRPr="001D54C9">
              <w:rPr>
                <w:rFonts w:ascii="David" w:hAnsi="David"/>
                <w:rtl/>
              </w:rPr>
              <w:t xml:space="preserve">המנהל הכללי של המשרד יקים ועדה מקצועית שחבריה יהיו </w:t>
            </w:r>
            <w:r>
              <w:rPr>
                <w:rFonts w:ascii="David" w:hAnsi="David" w:hint="cs"/>
                <w:rtl/>
              </w:rPr>
              <w:t>המפורטים להלן</w:t>
            </w:r>
            <w:r>
              <w:rPr>
                <w:rFonts w:hint="cs"/>
                <w:rtl/>
              </w:rPr>
              <w:t xml:space="preserve"> :</w:t>
            </w:r>
          </w:p>
        </w:tc>
      </w:tr>
      <w:tr w:rsidR="001A5BAC">
        <w:trPr>
          <w:cantSplit/>
          <w:trHeight w:val="60"/>
        </w:trPr>
        <w:tc>
          <w:tcPr>
            <w:tcW w:w="1871" w:type="dxa"/>
          </w:tcPr>
          <w:p w:rsidR="001A5BAC" w:rsidRDefault="001A5BAC">
            <w:pPr>
              <w:pStyle w:val="TableSideHeading"/>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026" w:type="dxa"/>
          </w:tcPr>
          <w:p w:rsidR="001A5BAC" w:rsidRDefault="001A5BAC" w:rsidP="001A5BAC">
            <w:pPr>
              <w:pStyle w:val="TableBlock"/>
              <w:numPr>
                <w:ilvl w:val="0"/>
                <w:numId w:val="30"/>
              </w:numPr>
              <w:tabs>
                <w:tab w:val="left" w:pos="624"/>
              </w:tabs>
            </w:pPr>
            <w:r>
              <w:rPr>
                <w:rFonts w:hint="cs"/>
                <w:rtl/>
              </w:rPr>
              <w:t>הממונה, שהוא יהיה היו"ר;</w:t>
            </w:r>
          </w:p>
        </w:tc>
      </w:tr>
      <w:tr w:rsidR="001A5BAC">
        <w:trPr>
          <w:cantSplit/>
          <w:trHeight w:val="60"/>
        </w:trPr>
        <w:tc>
          <w:tcPr>
            <w:tcW w:w="1871" w:type="dxa"/>
          </w:tcPr>
          <w:p w:rsidR="001A5BAC" w:rsidRDefault="001A5BAC">
            <w:pPr>
              <w:pStyle w:val="TableSideHeading"/>
            </w:pPr>
          </w:p>
        </w:tc>
        <w:tc>
          <w:tcPr>
            <w:tcW w:w="624" w:type="dxa"/>
          </w:tcPr>
          <w:p w:rsidR="001A5BAC" w:rsidRDefault="001A5BAC" w:rsidP="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026" w:type="dxa"/>
          </w:tcPr>
          <w:p w:rsidR="001A5BAC" w:rsidRDefault="001A5BAC" w:rsidP="001A5BAC">
            <w:pPr>
              <w:pStyle w:val="TableBlock"/>
              <w:numPr>
                <w:ilvl w:val="0"/>
                <w:numId w:val="30"/>
              </w:numPr>
              <w:tabs>
                <w:tab w:val="left" w:pos="624"/>
              </w:tabs>
              <w:rPr>
                <w:rtl/>
              </w:rPr>
            </w:pPr>
            <w:r>
              <w:rPr>
                <w:rFonts w:hint="cs"/>
                <w:rtl/>
              </w:rPr>
              <w:t>נציג משרד הבריאות;</w:t>
            </w:r>
          </w:p>
        </w:tc>
      </w:tr>
      <w:tr w:rsidR="001A5BAC">
        <w:trPr>
          <w:cantSplit/>
          <w:trHeight w:val="60"/>
        </w:trPr>
        <w:tc>
          <w:tcPr>
            <w:tcW w:w="1871" w:type="dxa"/>
          </w:tcPr>
          <w:p w:rsidR="001A5BAC" w:rsidRDefault="001A5BAC">
            <w:pPr>
              <w:pStyle w:val="TableSideHeading"/>
            </w:pPr>
          </w:p>
        </w:tc>
        <w:tc>
          <w:tcPr>
            <w:tcW w:w="624" w:type="dxa"/>
          </w:tcPr>
          <w:p w:rsidR="001A5BAC" w:rsidRDefault="001A5BAC" w:rsidP="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026" w:type="dxa"/>
          </w:tcPr>
          <w:p w:rsidR="001A5BAC" w:rsidRDefault="001A5BAC" w:rsidP="001A5BAC">
            <w:pPr>
              <w:pStyle w:val="TableBlock"/>
              <w:numPr>
                <w:ilvl w:val="0"/>
                <w:numId w:val="30"/>
              </w:numPr>
              <w:tabs>
                <w:tab w:val="left" w:pos="624"/>
              </w:tabs>
              <w:rPr>
                <w:rtl/>
              </w:rPr>
            </w:pPr>
            <w:r>
              <w:rPr>
                <w:rFonts w:hint="cs"/>
                <w:rtl/>
              </w:rPr>
              <w:t>נציג משרד האוצר ;</w:t>
            </w:r>
          </w:p>
        </w:tc>
      </w:tr>
      <w:tr w:rsidR="001A5BAC">
        <w:trPr>
          <w:cantSplit/>
          <w:trHeight w:val="60"/>
        </w:trPr>
        <w:tc>
          <w:tcPr>
            <w:tcW w:w="1871" w:type="dxa"/>
          </w:tcPr>
          <w:p w:rsidR="001A5BAC" w:rsidRDefault="001A5BAC">
            <w:pPr>
              <w:pStyle w:val="TableSideHeading"/>
            </w:pPr>
          </w:p>
        </w:tc>
        <w:tc>
          <w:tcPr>
            <w:tcW w:w="624" w:type="dxa"/>
          </w:tcPr>
          <w:p w:rsidR="001A5BAC" w:rsidRDefault="001A5BAC" w:rsidP="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026" w:type="dxa"/>
          </w:tcPr>
          <w:p w:rsidR="001A5BAC" w:rsidRDefault="001A5BAC" w:rsidP="001A5BAC">
            <w:pPr>
              <w:pStyle w:val="TableBlock"/>
              <w:numPr>
                <w:ilvl w:val="0"/>
                <w:numId w:val="30"/>
              </w:numPr>
              <w:tabs>
                <w:tab w:val="left" w:pos="624"/>
              </w:tabs>
              <w:rPr>
                <w:rtl/>
              </w:rPr>
            </w:pPr>
            <w:r>
              <w:rPr>
                <w:rFonts w:hint="cs"/>
                <w:rtl/>
              </w:rPr>
              <w:t>נציג רשות החשמל ;</w:t>
            </w:r>
          </w:p>
        </w:tc>
      </w:tr>
      <w:tr w:rsidR="001A5BAC">
        <w:trPr>
          <w:cantSplit/>
          <w:trHeight w:val="60"/>
        </w:trPr>
        <w:tc>
          <w:tcPr>
            <w:tcW w:w="1871" w:type="dxa"/>
          </w:tcPr>
          <w:p w:rsidR="001A5BAC" w:rsidRDefault="001A5BAC">
            <w:pPr>
              <w:pStyle w:val="TableSideHeading"/>
            </w:pPr>
          </w:p>
        </w:tc>
        <w:tc>
          <w:tcPr>
            <w:tcW w:w="624" w:type="dxa"/>
          </w:tcPr>
          <w:p w:rsidR="001A5BAC" w:rsidRDefault="001A5BAC" w:rsidP="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026" w:type="dxa"/>
          </w:tcPr>
          <w:p w:rsidR="001A5BAC" w:rsidRDefault="001A5BAC" w:rsidP="001A5BAC">
            <w:pPr>
              <w:pStyle w:val="TableBlock"/>
              <w:numPr>
                <w:ilvl w:val="0"/>
                <w:numId w:val="30"/>
              </w:numPr>
              <w:tabs>
                <w:tab w:val="left" w:pos="624"/>
              </w:tabs>
              <w:rPr>
                <w:rtl/>
              </w:rPr>
            </w:pPr>
            <w:r>
              <w:rPr>
                <w:rFonts w:hint="cs"/>
                <w:rtl/>
              </w:rPr>
              <w:t xml:space="preserve">נציג מקרב הציבור </w:t>
            </w:r>
            <w:r w:rsidRPr="001D54C9">
              <w:rPr>
                <w:rFonts w:ascii="David" w:hAnsi="David"/>
                <w:rtl/>
              </w:rPr>
              <w:t>בעל מומחיות בתחום הקרינה הבלתי מייננת</w:t>
            </w:r>
            <w:r>
              <w:rPr>
                <w:rFonts w:ascii="David" w:hAnsi="David" w:hint="cs"/>
                <w:rtl/>
              </w:rPr>
              <w:t xml:space="preserve">, </w:t>
            </w:r>
            <w:r>
              <w:rPr>
                <w:rFonts w:hint="cs"/>
                <w:rtl/>
              </w:rPr>
              <w:t>שימנה מנכ"ל המשרד להגנת הסביבה ;</w:t>
            </w:r>
          </w:p>
        </w:tc>
      </w:tr>
      <w:tr w:rsidR="001A5BAC">
        <w:trPr>
          <w:cantSplit/>
          <w:trHeight w:val="60"/>
        </w:trPr>
        <w:tc>
          <w:tcPr>
            <w:tcW w:w="1871" w:type="dxa"/>
          </w:tcPr>
          <w:p w:rsidR="001A5BAC" w:rsidRDefault="001A5BAC">
            <w:pPr>
              <w:pStyle w:val="TableSideHeading"/>
            </w:pPr>
          </w:p>
        </w:tc>
        <w:tc>
          <w:tcPr>
            <w:tcW w:w="624" w:type="dxa"/>
          </w:tcPr>
          <w:p w:rsidR="001A5BAC" w:rsidRDefault="001A5BAC" w:rsidP="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624" w:type="dxa"/>
          </w:tcPr>
          <w:p w:rsidR="001A5BAC" w:rsidRDefault="001A5BAC">
            <w:pPr>
              <w:pStyle w:val="TableText"/>
            </w:pPr>
          </w:p>
        </w:tc>
        <w:tc>
          <w:tcPr>
            <w:tcW w:w="4026" w:type="dxa"/>
          </w:tcPr>
          <w:p w:rsidR="001A5BAC" w:rsidRDefault="00AF51D7" w:rsidP="001A5BAC">
            <w:pPr>
              <w:pStyle w:val="TableBlock"/>
              <w:numPr>
                <w:ilvl w:val="0"/>
                <w:numId w:val="30"/>
              </w:numPr>
              <w:tabs>
                <w:tab w:val="left" w:pos="624"/>
              </w:tabs>
              <w:rPr>
                <w:rtl/>
              </w:rPr>
            </w:pPr>
            <w:r w:rsidRPr="00D62471">
              <w:rPr>
                <w:rtl/>
              </w:rPr>
              <w:t xml:space="preserve">נציג מקרב הציבור בעל מומחיות בתחום הקרינה הבלתי </w:t>
            </w:r>
            <w:r>
              <w:rPr>
                <w:rtl/>
              </w:rPr>
              <w:t xml:space="preserve">מייננת, שימנה </w:t>
            </w:r>
            <w:r>
              <w:rPr>
                <w:rFonts w:hint="cs"/>
                <w:rtl/>
              </w:rPr>
              <w:t>מנכ"ל משרד האנרגיה.</w:t>
            </w:r>
          </w:p>
        </w:tc>
      </w:tr>
      <w:tr w:rsidR="00AF51D7">
        <w:trPr>
          <w:cantSplit/>
          <w:trHeight w:val="60"/>
        </w:trPr>
        <w:tc>
          <w:tcPr>
            <w:tcW w:w="1871" w:type="dxa"/>
          </w:tcPr>
          <w:p w:rsidR="00AF51D7" w:rsidRDefault="00AF51D7">
            <w:pPr>
              <w:pStyle w:val="TableSideHeading"/>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4650" w:type="dxa"/>
            <w:gridSpan w:val="2"/>
          </w:tcPr>
          <w:p w:rsidR="00AF51D7" w:rsidRDefault="00AF51D7" w:rsidP="008E021F">
            <w:pPr>
              <w:pStyle w:val="TableBlock"/>
              <w:numPr>
                <w:ilvl w:val="0"/>
                <w:numId w:val="29"/>
              </w:numPr>
              <w:tabs>
                <w:tab w:val="left" w:pos="624"/>
              </w:tabs>
            </w:pPr>
            <w:r>
              <w:rPr>
                <w:rFonts w:ascii="David" w:hAnsi="David" w:hint="cs"/>
                <w:rtl/>
              </w:rPr>
              <w:t xml:space="preserve">הועדה </w:t>
            </w:r>
            <w:r w:rsidRPr="001D54C9">
              <w:rPr>
                <w:rFonts w:ascii="David" w:hAnsi="David"/>
                <w:rtl/>
              </w:rPr>
              <w:t>תבחן מזמן לזמן את הצורך בעדכון סימן זה</w:t>
            </w:r>
            <w:r>
              <w:rPr>
                <w:rFonts w:ascii="David" w:hAnsi="David" w:hint="cs"/>
                <w:rtl/>
              </w:rPr>
              <w:t xml:space="preserve"> </w:t>
            </w:r>
            <w:r w:rsidRPr="000F5500">
              <w:rPr>
                <w:rFonts w:ascii="David" w:hAnsi="David" w:hint="cs"/>
                <w:highlight w:val="yellow"/>
                <w:rtl/>
              </w:rPr>
              <w:t>והתוספת</w:t>
            </w:r>
            <w:r w:rsidRPr="008E021F">
              <w:rPr>
                <w:rFonts w:ascii="David" w:hAnsi="David" w:hint="cs"/>
                <w:highlight w:val="yellow"/>
                <w:rtl/>
              </w:rPr>
              <w:t xml:space="preserve"> ה</w:t>
            </w:r>
            <w:r w:rsidR="008E021F" w:rsidRPr="008E021F">
              <w:rPr>
                <w:rFonts w:ascii="David" w:hAnsi="David" w:hint="cs"/>
                <w:highlight w:val="yellow"/>
                <w:rtl/>
              </w:rPr>
              <w:t>שלישית</w:t>
            </w:r>
            <w:r w:rsidRPr="001D54C9">
              <w:rPr>
                <w:rFonts w:ascii="David" w:hAnsi="David"/>
                <w:rtl/>
              </w:rPr>
              <w:t>, בין היתר, במקרה שבו ארע שינוי טכנולוגי מהותי</w:t>
            </w:r>
            <w:r>
              <w:rPr>
                <w:rFonts w:ascii="David" w:hAnsi="David" w:hint="cs"/>
                <w:rtl/>
              </w:rPr>
              <w:t>,</w:t>
            </w:r>
            <w:r w:rsidRPr="001D54C9">
              <w:rPr>
                <w:rFonts w:ascii="David" w:hAnsi="David"/>
                <w:rtl/>
              </w:rPr>
              <w:t xml:space="preserve"> או לאור שינוי בהמלצות של הגורמים הבינלאומיים העוסקים בנושא</w:t>
            </w:r>
            <w:r>
              <w:rPr>
                <w:rFonts w:ascii="David" w:hAnsi="David" w:hint="cs"/>
                <w:rtl/>
              </w:rPr>
              <w:t>,</w:t>
            </w:r>
            <w:r w:rsidRPr="001D54C9">
              <w:rPr>
                <w:rFonts w:ascii="David" w:hAnsi="David"/>
                <w:rtl/>
              </w:rPr>
              <w:t xml:space="preserve"> ותגיש את המלצותיה לשר; העתק ההמלצות יפורסם באתר האינטרנט של המשרד.</w:t>
            </w:r>
          </w:p>
        </w:tc>
      </w:tr>
      <w:tr w:rsidR="00AF51D7">
        <w:trPr>
          <w:cantSplit/>
          <w:trHeight w:val="60"/>
        </w:trPr>
        <w:tc>
          <w:tcPr>
            <w:tcW w:w="1871" w:type="dxa"/>
          </w:tcPr>
          <w:p w:rsidR="00AF51D7" w:rsidRDefault="00AF51D7">
            <w:pPr>
              <w:pStyle w:val="TableSideHeading"/>
            </w:pPr>
          </w:p>
        </w:tc>
        <w:tc>
          <w:tcPr>
            <w:tcW w:w="624" w:type="dxa"/>
          </w:tcPr>
          <w:p w:rsidR="00AF51D7" w:rsidRDefault="00AF51D7" w:rsidP="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4650" w:type="dxa"/>
            <w:gridSpan w:val="2"/>
          </w:tcPr>
          <w:p w:rsidR="00AF51D7" w:rsidRDefault="00AF51D7" w:rsidP="00AF51D7">
            <w:pPr>
              <w:pStyle w:val="TableBlock"/>
              <w:numPr>
                <w:ilvl w:val="0"/>
                <w:numId w:val="29"/>
              </w:numPr>
              <w:tabs>
                <w:tab w:val="left" w:pos="624"/>
              </w:tabs>
              <w:rPr>
                <w:rFonts w:ascii="David" w:hAnsi="David"/>
                <w:rtl/>
              </w:rPr>
            </w:pPr>
            <w:r w:rsidRPr="00AF51D7">
              <w:rPr>
                <w:rFonts w:ascii="David" w:hAnsi="David"/>
                <w:rtl/>
              </w:rPr>
              <w:t>הוועדה תקבע את סדרי העדיפות לטיפול במתקנים קיימים, במקרה של צפי לחריגה מהתקציב הדו שנתי</w:t>
            </w:r>
            <w:r>
              <w:rPr>
                <w:rFonts w:ascii="David" w:hAnsi="David" w:hint="cs"/>
                <w:rtl/>
              </w:rPr>
              <w:t>.</w:t>
            </w:r>
          </w:p>
        </w:tc>
      </w:tr>
      <w:tr w:rsidR="00AF51D7">
        <w:trPr>
          <w:cantSplit/>
          <w:trHeight w:val="60"/>
        </w:trPr>
        <w:tc>
          <w:tcPr>
            <w:tcW w:w="1871" w:type="dxa"/>
          </w:tcPr>
          <w:p w:rsidR="00AF51D7" w:rsidRDefault="00AF51D7">
            <w:pPr>
              <w:pStyle w:val="TableSideHeading"/>
            </w:pPr>
          </w:p>
        </w:tc>
        <w:tc>
          <w:tcPr>
            <w:tcW w:w="624" w:type="dxa"/>
          </w:tcPr>
          <w:p w:rsidR="00AF51D7" w:rsidRDefault="00AF51D7" w:rsidP="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4650" w:type="dxa"/>
            <w:gridSpan w:val="2"/>
          </w:tcPr>
          <w:p w:rsidR="00AF51D7" w:rsidRPr="00AF51D7" w:rsidRDefault="00AF51D7" w:rsidP="001A6D66">
            <w:pPr>
              <w:pStyle w:val="TableBlock"/>
              <w:numPr>
                <w:ilvl w:val="0"/>
                <w:numId w:val="29"/>
              </w:numPr>
              <w:tabs>
                <w:tab w:val="left" w:pos="624"/>
              </w:tabs>
              <w:rPr>
                <w:rFonts w:ascii="David" w:hAnsi="David"/>
                <w:rtl/>
              </w:rPr>
            </w:pPr>
            <w:r w:rsidRPr="00AF51D7">
              <w:rPr>
                <w:rFonts w:ascii="David" w:hAnsi="David" w:hint="cs"/>
                <w:rtl/>
              </w:rPr>
              <w:t xml:space="preserve">הועדה תוכל לקבוע כי </w:t>
            </w:r>
            <w:r>
              <w:rPr>
                <w:rFonts w:ascii="David" w:hAnsi="David" w:hint="cs"/>
                <w:rtl/>
              </w:rPr>
              <w:t>לגבי מקור קרינה מסוי</w:t>
            </w:r>
            <w:r w:rsidRPr="00AF51D7">
              <w:rPr>
                <w:rFonts w:ascii="David" w:hAnsi="David" w:hint="cs"/>
                <w:rtl/>
              </w:rPr>
              <w:t xml:space="preserve">ם יש להשתמש באמצעי להפחתת חשיפה שאינו מנוי בתוספת </w:t>
            </w:r>
            <w:r w:rsidR="001A6D66" w:rsidRPr="00AF51D7">
              <w:rPr>
                <w:rFonts w:ascii="David" w:hAnsi="David" w:hint="cs"/>
                <w:rtl/>
              </w:rPr>
              <w:t>ה</w:t>
            </w:r>
            <w:r w:rsidR="001A6D66">
              <w:rPr>
                <w:rFonts w:ascii="David" w:hAnsi="David" w:hint="cs"/>
                <w:rtl/>
              </w:rPr>
              <w:t>שלישית</w:t>
            </w:r>
            <w:r w:rsidRPr="00AF51D7">
              <w:rPr>
                <w:rFonts w:ascii="David" w:hAnsi="David" w:hint="cs"/>
                <w:rtl/>
              </w:rPr>
              <w:t>.</w:t>
            </w:r>
          </w:p>
        </w:tc>
      </w:tr>
      <w:tr w:rsidR="00AF51D7">
        <w:trPr>
          <w:cantSplit/>
          <w:trHeight w:val="60"/>
        </w:trPr>
        <w:tc>
          <w:tcPr>
            <w:tcW w:w="1871" w:type="dxa"/>
          </w:tcPr>
          <w:p w:rsidR="00AF51D7" w:rsidRDefault="00AF51D7">
            <w:pPr>
              <w:pStyle w:val="TableSideHeading"/>
            </w:pPr>
          </w:p>
        </w:tc>
        <w:tc>
          <w:tcPr>
            <w:tcW w:w="624" w:type="dxa"/>
          </w:tcPr>
          <w:p w:rsidR="00AF51D7" w:rsidRDefault="00AF51D7" w:rsidP="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624" w:type="dxa"/>
          </w:tcPr>
          <w:p w:rsidR="00AF51D7" w:rsidRDefault="00AF51D7">
            <w:pPr>
              <w:pStyle w:val="TableText"/>
            </w:pPr>
          </w:p>
        </w:tc>
        <w:tc>
          <w:tcPr>
            <w:tcW w:w="4650" w:type="dxa"/>
            <w:gridSpan w:val="2"/>
          </w:tcPr>
          <w:p w:rsidR="00AF51D7" w:rsidRPr="00AF51D7" w:rsidRDefault="00AF51D7" w:rsidP="00AF51D7">
            <w:pPr>
              <w:pStyle w:val="TableBlock"/>
              <w:numPr>
                <w:ilvl w:val="0"/>
                <w:numId w:val="29"/>
              </w:numPr>
              <w:tabs>
                <w:tab w:val="left" w:pos="624"/>
              </w:tabs>
              <w:rPr>
                <w:rFonts w:ascii="David" w:hAnsi="David"/>
                <w:rtl/>
              </w:rPr>
            </w:pPr>
            <w:r w:rsidRPr="00AF51D7">
              <w:rPr>
                <w:rFonts w:ascii="David" w:hAnsi="David" w:hint="cs"/>
                <w:rtl/>
              </w:rPr>
              <w:t>הועדה תקבל את החלטותיה ברוב של לפחות ארבעה מחברי הועדה.</w:t>
            </w:r>
            <w:r w:rsidR="003213E3">
              <w:rPr>
                <w:rFonts w:ascii="David" w:hAnsi="David" w:hint="cs"/>
                <w:rtl/>
              </w:rPr>
              <w:t>"</w:t>
            </w:r>
          </w:p>
        </w:tc>
      </w:tr>
      <w:tr w:rsidR="00AF51D7">
        <w:trPr>
          <w:cantSplit/>
          <w:trHeight w:val="60"/>
        </w:trPr>
        <w:tc>
          <w:tcPr>
            <w:tcW w:w="1871" w:type="dxa"/>
          </w:tcPr>
          <w:p w:rsidR="00AF51D7" w:rsidRDefault="00AF51D7" w:rsidP="007E751D">
            <w:pPr>
              <w:pStyle w:val="TableSideHeading"/>
              <w:keepLines w:val="0"/>
            </w:pPr>
            <w:r>
              <w:rPr>
                <w:rFonts w:hint="cs"/>
                <w:rtl/>
              </w:rPr>
              <w:t>תיקון תקנה 13</w:t>
            </w:r>
          </w:p>
        </w:tc>
        <w:tc>
          <w:tcPr>
            <w:tcW w:w="624" w:type="dxa"/>
          </w:tcPr>
          <w:p w:rsidR="00AF51D7" w:rsidRDefault="003213E3" w:rsidP="003213E3">
            <w:pPr>
              <w:pStyle w:val="TableText"/>
              <w:keepLines w:val="0"/>
            </w:pPr>
            <w:r>
              <w:rPr>
                <w:rFonts w:hint="cs"/>
                <w:rtl/>
              </w:rPr>
              <w:t>3.</w:t>
            </w:r>
          </w:p>
        </w:tc>
        <w:tc>
          <w:tcPr>
            <w:tcW w:w="7146" w:type="dxa"/>
            <w:gridSpan w:val="6"/>
          </w:tcPr>
          <w:p w:rsidR="00AF51D7" w:rsidRPr="00C34DE2" w:rsidRDefault="00B80177" w:rsidP="00B80177">
            <w:pPr>
              <w:pStyle w:val="TableBlock"/>
              <w:keepLines w:val="0"/>
            </w:pPr>
            <w:r>
              <w:rPr>
                <w:rFonts w:hint="cs"/>
                <w:rtl/>
              </w:rPr>
              <w:t>בתקנה 13 לתקנות העיקריות, בסעיף קטן (א), פסקאות (1) עד (3) יסומנו (3) עד (5), בהתאמה, ולפניהן יבוא:</w:t>
            </w:r>
          </w:p>
        </w:tc>
      </w:tr>
      <w:tr w:rsidR="00B80177">
        <w:trPr>
          <w:cantSplit/>
          <w:trHeight w:val="60"/>
        </w:trPr>
        <w:tc>
          <w:tcPr>
            <w:tcW w:w="1871" w:type="dxa"/>
          </w:tcPr>
          <w:p w:rsidR="00B80177" w:rsidRDefault="00B80177" w:rsidP="007E751D">
            <w:pPr>
              <w:pStyle w:val="TableSideHeading"/>
              <w:keepLines w:val="0"/>
              <w:rPr>
                <w:rtl/>
              </w:rPr>
            </w:pPr>
          </w:p>
        </w:tc>
        <w:tc>
          <w:tcPr>
            <w:tcW w:w="624" w:type="dxa"/>
          </w:tcPr>
          <w:p w:rsidR="00B80177" w:rsidRDefault="00B80177" w:rsidP="00B80177">
            <w:pPr>
              <w:pStyle w:val="TableText"/>
            </w:pPr>
          </w:p>
        </w:tc>
        <w:tc>
          <w:tcPr>
            <w:tcW w:w="7146" w:type="dxa"/>
            <w:gridSpan w:val="6"/>
          </w:tcPr>
          <w:p w:rsidR="00B80177" w:rsidRDefault="0043657C" w:rsidP="0043657C">
            <w:pPr>
              <w:pStyle w:val="TableBlock"/>
              <w:rPr>
                <w:rtl/>
              </w:rPr>
            </w:pPr>
            <w:r>
              <w:rPr>
                <w:rFonts w:ascii="David" w:hAnsi="David" w:hint="cs"/>
                <w:rtl/>
              </w:rPr>
              <w:t xml:space="preserve">"(1) </w:t>
            </w:r>
            <w:r w:rsidR="00B80177" w:rsidRPr="00E14FD8">
              <w:rPr>
                <w:rFonts w:ascii="David" w:hAnsi="David" w:hint="cs"/>
                <w:rtl/>
              </w:rPr>
              <w:t xml:space="preserve">מקים או מפעיל מקור קרינה בניגוד להוראת  תקנה </w:t>
            </w:r>
            <w:r w:rsidR="00B80177">
              <w:rPr>
                <w:rFonts w:ascii="David" w:hAnsi="David" w:hint="cs"/>
                <w:rtl/>
              </w:rPr>
              <w:t>4ג;</w:t>
            </w:r>
          </w:p>
        </w:tc>
      </w:tr>
      <w:tr w:rsidR="00B80177">
        <w:trPr>
          <w:cantSplit/>
          <w:trHeight w:val="60"/>
        </w:trPr>
        <w:tc>
          <w:tcPr>
            <w:tcW w:w="1871" w:type="dxa"/>
          </w:tcPr>
          <w:p w:rsidR="00B80177" w:rsidRDefault="00B80177" w:rsidP="007E751D">
            <w:pPr>
              <w:pStyle w:val="TableSideHeading"/>
              <w:keepLines w:val="0"/>
              <w:rPr>
                <w:rtl/>
              </w:rPr>
            </w:pPr>
          </w:p>
        </w:tc>
        <w:tc>
          <w:tcPr>
            <w:tcW w:w="624" w:type="dxa"/>
          </w:tcPr>
          <w:p w:rsidR="00B80177" w:rsidRDefault="00B80177" w:rsidP="00B80177">
            <w:pPr>
              <w:pStyle w:val="TableText"/>
            </w:pPr>
          </w:p>
        </w:tc>
        <w:tc>
          <w:tcPr>
            <w:tcW w:w="7146" w:type="dxa"/>
            <w:gridSpan w:val="6"/>
          </w:tcPr>
          <w:p w:rsidR="00B80177" w:rsidRPr="00B80177" w:rsidRDefault="0043657C" w:rsidP="0043657C">
            <w:pPr>
              <w:pStyle w:val="TableBlock"/>
              <w:rPr>
                <w:rtl/>
              </w:rPr>
            </w:pPr>
            <w:r>
              <w:rPr>
                <w:rFonts w:hint="cs"/>
                <w:rtl/>
              </w:rPr>
              <w:t xml:space="preserve">(2) </w:t>
            </w:r>
            <w:r w:rsidR="00B80177">
              <w:rPr>
                <w:rFonts w:hint="cs"/>
                <w:rtl/>
              </w:rPr>
              <w:t>אינו מדווח לממונה בניגוד להוראת תקנה 4ד(ד) או 4ד(ה) ;</w:t>
            </w:r>
            <w:r>
              <w:rPr>
                <w:rFonts w:hint="cs"/>
                <w:rtl/>
              </w:rPr>
              <w:t>".</w:t>
            </w:r>
          </w:p>
        </w:tc>
      </w:tr>
      <w:tr w:rsidR="00B80177">
        <w:trPr>
          <w:cantSplit/>
          <w:trHeight w:val="60"/>
        </w:trPr>
        <w:tc>
          <w:tcPr>
            <w:tcW w:w="1871" w:type="dxa"/>
          </w:tcPr>
          <w:p w:rsidR="00B80177" w:rsidRDefault="00B80177" w:rsidP="0043657C">
            <w:pPr>
              <w:pStyle w:val="TableSideHeading"/>
            </w:pPr>
            <w:r>
              <w:rPr>
                <w:rFonts w:hint="cs"/>
                <w:rtl/>
              </w:rPr>
              <w:t xml:space="preserve">הוספת התוספת השלישית </w:t>
            </w:r>
          </w:p>
        </w:tc>
        <w:tc>
          <w:tcPr>
            <w:tcW w:w="624" w:type="dxa"/>
          </w:tcPr>
          <w:p w:rsidR="00B80177" w:rsidRDefault="003213E3" w:rsidP="003213E3">
            <w:pPr>
              <w:pStyle w:val="TableText"/>
              <w:keepLines w:val="0"/>
            </w:pPr>
            <w:r>
              <w:rPr>
                <w:rFonts w:hint="cs"/>
                <w:rtl/>
              </w:rPr>
              <w:t>4.</w:t>
            </w:r>
          </w:p>
        </w:tc>
        <w:tc>
          <w:tcPr>
            <w:tcW w:w="7146" w:type="dxa"/>
            <w:gridSpan w:val="6"/>
          </w:tcPr>
          <w:p w:rsidR="00B80177" w:rsidRPr="00C34DE2" w:rsidRDefault="00B80177" w:rsidP="007E751D">
            <w:pPr>
              <w:pStyle w:val="TableBlock"/>
              <w:keepLines w:val="0"/>
            </w:pPr>
            <w:r>
              <w:rPr>
                <w:rFonts w:hint="cs"/>
                <w:rtl/>
              </w:rPr>
              <w:t xml:space="preserve">אחרי התוספת </w:t>
            </w:r>
            <w:proofErr w:type="spellStart"/>
            <w:r>
              <w:rPr>
                <w:rFonts w:hint="cs"/>
                <w:rtl/>
              </w:rPr>
              <w:t>השניה</w:t>
            </w:r>
            <w:proofErr w:type="spellEnd"/>
            <w:r>
              <w:rPr>
                <w:rFonts w:hint="cs"/>
                <w:rtl/>
              </w:rPr>
              <w:t xml:space="preserve"> לתקנות העיקריות, יבוא:</w:t>
            </w:r>
            <w:r>
              <w:rPr>
                <w:rtl/>
              </w:rPr>
              <w:t xml:space="preserve"> </w:t>
            </w:r>
            <w:r w:rsidRPr="00A757A6">
              <w:rPr>
                <w:rFonts w:hint="cs"/>
                <w:rtl/>
              </w:rPr>
              <w:t xml:space="preserve"> </w:t>
            </w:r>
          </w:p>
        </w:tc>
      </w:tr>
      <w:tr w:rsidR="00AE74F7" w:rsidTr="00AE74F7">
        <w:trPr>
          <w:cantSplit/>
          <w:trHeight w:val="60"/>
        </w:trPr>
        <w:tc>
          <w:tcPr>
            <w:tcW w:w="1871" w:type="dxa"/>
          </w:tcPr>
          <w:p w:rsidR="00AE74F7" w:rsidRDefault="00AE74F7">
            <w:pPr>
              <w:pStyle w:val="TableSideHeading"/>
            </w:pPr>
          </w:p>
        </w:tc>
        <w:tc>
          <w:tcPr>
            <w:tcW w:w="624" w:type="dxa"/>
          </w:tcPr>
          <w:p w:rsidR="00AE74F7" w:rsidRDefault="00AE74F7">
            <w:pPr>
              <w:pStyle w:val="TableText"/>
            </w:pPr>
          </w:p>
        </w:tc>
        <w:tc>
          <w:tcPr>
            <w:tcW w:w="624" w:type="dxa"/>
          </w:tcPr>
          <w:p w:rsidR="00AE74F7" w:rsidRDefault="00AE74F7">
            <w:pPr>
              <w:pStyle w:val="TableText"/>
            </w:pPr>
          </w:p>
        </w:tc>
        <w:tc>
          <w:tcPr>
            <w:tcW w:w="6522" w:type="dxa"/>
            <w:gridSpan w:val="5"/>
          </w:tcPr>
          <w:p w:rsidR="00AE74F7" w:rsidRDefault="00C40571" w:rsidP="00C40571">
            <w:pPr>
              <w:pStyle w:val="TableHead"/>
              <w:outlineLvl w:val="9"/>
            </w:pPr>
            <w:r>
              <w:rPr>
                <w:rFonts w:hint="cs"/>
                <w:u w:val="single"/>
                <w:rtl/>
              </w:rPr>
              <w:t>"</w:t>
            </w:r>
            <w:r w:rsidR="00DB06AB" w:rsidRPr="00A757A6">
              <w:rPr>
                <w:rFonts w:hint="cs"/>
                <w:u w:val="single"/>
                <w:rtl/>
              </w:rPr>
              <w:t>תוספת שלישית</w:t>
            </w:r>
            <w:r w:rsidR="00DB06AB">
              <w:rPr>
                <w:rtl/>
              </w:rPr>
              <w:t xml:space="preserve"> </w:t>
            </w:r>
            <w:r w:rsidR="00DB06AB" w:rsidRPr="00A757A6">
              <w:rPr>
                <w:rFonts w:hint="cs"/>
                <w:rtl/>
              </w:rPr>
              <w:t xml:space="preserve"> </w:t>
            </w:r>
          </w:p>
        </w:tc>
      </w:tr>
      <w:tr w:rsidR="00C40571" w:rsidTr="00AE74F7">
        <w:trPr>
          <w:cantSplit/>
          <w:trHeight w:val="60"/>
        </w:trPr>
        <w:tc>
          <w:tcPr>
            <w:tcW w:w="1871" w:type="dxa"/>
          </w:tcPr>
          <w:p w:rsidR="00C40571" w:rsidRDefault="00C40571">
            <w:pPr>
              <w:pStyle w:val="TableSideHeading"/>
            </w:pPr>
          </w:p>
        </w:tc>
        <w:tc>
          <w:tcPr>
            <w:tcW w:w="624" w:type="dxa"/>
          </w:tcPr>
          <w:p w:rsidR="00C40571" w:rsidRDefault="00C40571">
            <w:pPr>
              <w:pStyle w:val="TableText"/>
            </w:pPr>
          </w:p>
        </w:tc>
        <w:tc>
          <w:tcPr>
            <w:tcW w:w="624" w:type="dxa"/>
          </w:tcPr>
          <w:p w:rsidR="00C40571" w:rsidRDefault="00C40571">
            <w:pPr>
              <w:pStyle w:val="TableText"/>
            </w:pPr>
          </w:p>
        </w:tc>
        <w:tc>
          <w:tcPr>
            <w:tcW w:w="6522" w:type="dxa"/>
            <w:gridSpan w:val="5"/>
          </w:tcPr>
          <w:p w:rsidR="00C40571" w:rsidRPr="00C40571" w:rsidRDefault="00C40571" w:rsidP="000627FC">
            <w:pPr>
              <w:pStyle w:val="TableHead"/>
              <w:outlineLvl w:val="9"/>
              <w:rPr>
                <w:rtl/>
              </w:rPr>
            </w:pPr>
            <w:r w:rsidRPr="00C40571">
              <w:rPr>
                <w:rFonts w:hint="cs"/>
                <w:rtl/>
              </w:rPr>
              <w:t>(תקנה 4א</w:t>
            </w:r>
            <w:r w:rsidR="00F4230F">
              <w:rPr>
                <w:rFonts w:hint="cs"/>
                <w:rtl/>
              </w:rPr>
              <w:t>, 4ז</w:t>
            </w:r>
            <w:r w:rsidR="000627FC">
              <w:rPr>
                <w:rFonts w:hint="cs"/>
                <w:rtl/>
              </w:rPr>
              <w:t>(ב)</w:t>
            </w:r>
            <w:r w:rsidRPr="00C40571">
              <w:rPr>
                <w:rFonts w:hint="cs"/>
                <w:rtl/>
              </w:rPr>
              <w:t>)</w:t>
            </w:r>
            <w:r w:rsidRPr="00C40571">
              <w:rPr>
                <w:rtl/>
              </w:rPr>
              <w:t xml:space="preserve">  </w:t>
            </w:r>
          </w:p>
        </w:tc>
      </w:tr>
      <w:tr w:rsidR="000627FC">
        <w:trPr>
          <w:cantSplit/>
          <w:trHeight w:val="60"/>
        </w:trPr>
        <w:tc>
          <w:tcPr>
            <w:tcW w:w="1871" w:type="dxa"/>
          </w:tcPr>
          <w:p w:rsidR="000627FC" w:rsidRDefault="000627FC">
            <w:pPr>
              <w:pStyle w:val="TableSideHeading"/>
            </w:pPr>
          </w:p>
        </w:tc>
        <w:tc>
          <w:tcPr>
            <w:tcW w:w="624" w:type="dxa"/>
          </w:tcPr>
          <w:p w:rsidR="000627FC" w:rsidRDefault="000627FC">
            <w:pPr>
              <w:pStyle w:val="TableText"/>
            </w:pPr>
          </w:p>
        </w:tc>
        <w:tc>
          <w:tcPr>
            <w:tcW w:w="7146" w:type="dxa"/>
            <w:gridSpan w:val="6"/>
          </w:tcPr>
          <w:p w:rsidR="000627FC" w:rsidRPr="00C34DE2" w:rsidRDefault="000627FC">
            <w:pPr>
              <w:pStyle w:val="TableHead"/>
            </w:pPr>
            <w:r>
              <w:rPr>
                <w:rFonts w:hint="cs"/>
                <w:rtl/>
              </w:rPr>
              <w:t>אמצעים שגרתיים להפחתת רמת חשיפה לקרינה</w:t>
            </w:r>
          </w:p>
        </w:tc>
      </w:tr>
      <w:tr w:rsidR="00AE74F7" w:rsidTr="00AE74F7">
        <w:trPr>
          <w:cantSplit/>
          <w:trHeight w:val="60"/>
        </w:trPr>
        <w:tc>
          <w:tcPr>
            <w:tcW w:w="1871" w:type="dxa"/>
          </w:tcPr>
          <w:p w:rsidR="00AE74F7" w:rsidRDefault="00AE74F7">
            <w:pPr>
              <w:pStyle w:val="TableSideHeading"/>
            </w:pPr>
          </w:p>
        </w:tc>
        <w:tc>
          <w:tcPr>
            <w:tcW w:w="624" w:type="dxa"/>
          </w:tcPr>
          <w:p w:rsidR="00AE74F7" w:rsidRDefault="00AE74F7">
            <w:pPr>
              <w:pStyle w:val="TableText"/>
            </w:pPr>
          </w:p>
        </w:tc>
        <w:tc>
          <w:tcPr>
            <w:tcW w:w="624" w:type="dxa"/>
          </w:tcPr>
          <w:p w:rsidR="00AE74F7" w:rsidRDefault="00AE74F7">
            <w:pPr>
              <w:pStyle w:val="TableText"/>
            </w:pPr>
          </w:p>
        </w:tc>
        <w:tc>
          <w:tcPr>
            <w:tcW w:w="624" w:type="dxa"/>
          </w:tcPr>
          <w:p w:rsidR="00AE74F7" w:rsidRDefault="00AE74F7">
            <w:pPr>
              <w:pStyle w:val="TableText"/>
            </w:pPr>
          </w:p>
        </w:tc>
        <w:tc>
          <w:tcPr>
            <w:tcW w:w="5898" w:type="dxa"/>
            <w:gridSpan w:val="4"/>
          </w:tcPr>
          <w:p w:rsidR="00AE74F7" w:rsidRPr="000E7B21" w:rsidRDefault="000E7B21" w:rsidP="00C40571">
            <w:pPr>
              <w:pStyle w:val="TableBlock"/>
              <w:numPr>
                <w:ilvl w:val="0"/>
                <w:numId w:val="36"/>
              </w:numPr>
              <w:tabs>
                <w:tab w:val="left" w:pos="624"/>
              </w:tabs>
              <w:rPr>
                <w:rFonts w:ascii="David" w:hAnsi="David"/>
              </w:rPr>
            </w:pPr>
            <w:r w:rsidRPr="000E7B21">
              <w:rPr>
                <w:rFonts w:ascii="David" w:hAnsi="David" w:hint="cs"/>
                <w:rtl/>
              </w:rPr>
              <w:t>צמצום</w:t>
            </w:r>
            <w:r w:rsidRPr="000E7B21">
              <w:rPr>
                <w:rFonts w:ascii="David" w:hAnsi="David"/>
                <w:rtl/>
              </w:rPr>
              <w:t xml:space="preserve"> מרחק בין מוליכים במתקנים קיימים</w:t>
            </w:r>
            <w:r w:rsidRPr="000E7B21">
              <w:rPr>
                <w:rFonts w:ascii="David" w:hAnsi="David" w:hint="cs"/>
                <w:rtl/>
              </w:rPr>
              <w:t xml:space="preserve"> ביחס למצבם קודם לצמצום המרחק</w:t>
            </w:r>
            <w:r w:rsidRPr="000E7B21">
              <w:rPr>
                <w:rFonts w:ascii="David" w:hAnsi="David"/>
                <w:rtl/>
              </w:rPr>
              <w:t>.</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0E7B21" w:rsidRDefault="000E7B21" w:rsidP="000E7B21">
            <w:pPr>
              <w:pStyle w:val="af"/>
              <w:numPr>
                <w:ilvl w:val="0"/>
                <w:numId w:val="36"/>
              </w:numPr>
              <w:spacing w:line="360" w:lineRule="auto"/>
              <w:rPr>
                <w:rFonts w:ascii="David" w:eastAsia="Arial Unicode MS" w:hAnsi="David"/>
                <w:snapToGrid w:val="0"/>
                <w:sz w:val="20"/>
                <w:szCs w:val="26"/>
              </w:rPr>
            </w:pPr>
            <w:r w:rsidRPr="000E7B21">
              <w:rPr>
                <w:rFonts w:ascii="David" w:eastAsia="Arial Unicode MS" w:hAnsi="David" w:hint="cs"/>
                <w:snapToGrid w:val="0"/>
                <w:sz w:val="20"/>
                <w:szCs w:val="26"/>
                <w:rtl/>
              </w:rPr>
              <w:t xml:space="preserve">במתקנים חדשים - </w:t>
            </w:r>
            <w:r w:rsidRPr="000E7B21">
              <w:rPr>
                <w:rFonts w:ascii="David" w:eastAsia="Arial Unicode MS" w:hAnsi="David"/>
                <w:snapToGrid w:val="0"/>
                <w:sz w:val="20"/>
                <w:szCs w:val="26"/>
                <w:rtl/>
              </w:rPr>
              <w:t>שימוש בעמודי</w:t>
            </w:r>
            <w:r w:rsidRPr="000E7B21">
              <w:rPr>
                <w:rFonts w:ascii="David" w:eastAsia="Arial Unicode MS" w:hAnsi="David" w:hint="cs"/>
                <w:snapToGrid w:val="0"/>
                <w:sz w:val="20"/>
                <w:szCs w:val="26"/>
                <w:rtl/>
              </w:rPr>
              <w:t xml:space="preserve"> מתח עליון ועל</w:t>
            </w:r>
            <w:r w:rsidRPr="000E7B21">
              <w:rPr>
                <w:rFonts w:ascii="David" w:eastAsia="Arial Unicode MS" w:hAnsi="David"/>
                <w:snapToGrid w:val="0"/>
                <w:sz w:val="20"/>
                <w:szCs w:val="26"/>
                <w:rtl/>
              </w:rPr>
              <w:t xml:space="preserve"> גבוהים </w:t>
            </w:r>
            <w:r w:rsidRPr="000E7B21">
              <w:rPr>
                <w:rFonts w:ascii="David" w:eastAsia="Arial Unicode MS" w:hAnsi="David" w:hint="cs"/>
                <w:snapToGrid w:val="0"/>
                <w:sz w:val="20"/>
                <w:szCs w:val="26"/>
                <w:rtl/>
              </w:rPr>
              <w:t>יותר</w:t>
            </w:r>
            <w:r>
              <w:rPr>
                <w:rFonts w:ascii="David" w:eastAsia="Arial Unicode MS" w:hAnsi="David" w:hint="cs"/>
                <w:snapToGrid w:val="0"/>
                <w:sz w:val="20"/>
                <w:szCs w:val="26"/>
                <w:rtl/>
              </w:rPr>
              <w:t xml:space="preserve"> </w:t>
            </w:r>
            <w:r w:rsidRPr="000E7B21">
              <w:rPr>
                <w:rFonts w:ascii="David" w:eastAsia="Arial Unicode MS" w:hAnsi="David" w:hint="cs"/>
                <w:snapToGrid w:val="0"/>
                <w:sz w:val="20"/>
                <w:szCs w:val="26"/>
                <w:rtl/>
              </w:rPr>
              <w:t>מאלה שהיו בשימוש אלמלא הצורך בהפחתת הקרינה</w:t>
            </w:r>
            <w:r>
              <w:rPr>
                <w:rFonts w:ascii="David" w:eastAsia="Arial Unicode MS" w:hAnsi="David" w:hint="cs"/>
                <w:snapToGrid w:val="0"/>
                <w:sz w:val="20"/>
                <w:szCs w:val="26"/>
                <w:rtl/>
              </w:rPr>
              <w:t>.</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0E7B21" w:rsidRDefault="000E7B21" w:rsidP="000E7B21">
            <w:pPr>
              <w:pStyle w:val="af"/>
              <w:numPr>
                <w:ilvl w:val="0"/>
                <w:numId w:val="36"/>
              </w:numPr>
              <w:spacing w:line="360" w:lineRule="auto"/>
              <w:rPr>
                <w:rFonts w:ascii="David" w:eastAsia="Arial Unicode MS" w:hAnsi="David"/>
                <w:snapToGrid w:val="0"/>
                <w:sz w:val="20"/>
                <w:szCs w:val="26"/>
              </w:rPr>
            </w:pPr>
            <w:r w:rsidRPr="000E7B21">
              <w:rPr>
                <w:rFonts w:ascii="David" w:eastAsia="Arial Unicode MS" w:hAnsi="David" w:hint="cs"/>
                <w:snapToGrid w:val="0"/>
                <w:sz w:val="20"/>
                <w:szCs w:val="26"/>
                <w:rtl/>
              </w:rPr>
              <w:t>הרחקת מוליכי החשמל ממקומות שהייה ממושכת על ידי שימוש בעמודים קומפקטיים ושימוש בכנה.</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0E7B21" w:rsidRDefault="000E7B21" w:rsidP="000E7B21">
            <w:pPr>
              <w:pStyle w:val="af"/>
              <w:numPr>
                <w:ilvl w:val="0"/>
                <w:numId w:val="36"/>
              </w:numPr>
              <w:spacing w:line="360" w:lineRule="auto"/>
              <w:rPr>
                <w:rFonts w:ascii="David" w:eastAsia="Arial Unicode MS" w:hAnsi="David"/>
                <w:snapToGrid w:val="0"/>
                <w:sz w:val="20"/>
                <w:szCs w:val="26"/>
              </w:rPr>
            </w:pPr>
            <w:r w:rsidRPr="000E7B21">
              <w:rPr>
                <w:rFonts w:ascii="David" w:eastAsia="Arial Unicode MS" w:hAnsi="David"/>
                <w:snapToGrid w:val="0"/>
                <w:sz w:val="20"/>
                <w:szCs w:val="26"/>
                <w:rtl/>
              </w:rPr>
              <w:t xml:space="preserve">סידור </w:t>
            </w:r>
            <w:r w:rsidRPr="000E7B21">
              <w:rPr>
                <w:rFonts w:ascii="David" w:eastAsia="Arial Unicode MS" w:hAnsi="David" w:hint="cs"/>
                <w:snapToGrid w:val="0"/>
                <w:sz w:val="20"/>
                <w:szCs w:val="26"/>
                <w:rtl/>
              </w:rPr>
              <w:t xml:space="preserve">של מוליכים </w:t>
            </w:r>
            <w:r w:rsidRPr="000E7B21">
              <w:rPr>
                <w:rFonts w:ascii="David" w:eastAsia="Arial Unicode MS" w:hAnsi="David"/>
                <w:snapToGrid w:val="0"/>
                <w:sz w:val="20"/>
                <w:szCs w:val="26"/>
                <w:rtl/>
              </w:rPr>
              <w:t xml:space="preserve">בקווים </w:t>
            </w:r>
            <w:r w:rsidRPr="000E7B21">
              <w:rPr>
                <w:rFonts w:ascii="David" w:eastAsia="Arial Unicode MS" w:hAnsi="David" w:hint="cs"/>
                <w:snapToGrid w:val="0"/>
                <w:sz w:val="20"/>
                <w:szCs w:val="26"/>
                <w:rtl/>
              </w:rPr>
              <w:t>דו מעגליים באופן המאפשר שמירה על איזון הזרמים וכיוונם.</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0E7B21" w:rsidRDefault="000E7B21" w:rsidP="000E7B21">
            <w:pPr>
              <w:pStyle w:val="af"/>
              <w:numPr>
                <w:ilvl w:val="0"/>
                <w:numId w:val="36"/>
              </w:numPr>
              <w:spacing w:line="360" w:lineRule="auto"/>
              <w:rPr>
                <w:rFonts w:ascii="David" w:eastAsia="Arial Unicode MS" w:hAnsi="David"/>
                <w:snapToGrid w:val="0"/>
                <w:sz w:val="20"/>
                <w:szCs w:val="26"/>
              </w:rPr>
            </w:pPr>
            <w:r w:rsidRPr="000E7B21">
              <w:rPr>
                <w:rFonts w:ascii="David" w:eastAsia="Arial Unicode MS" w:hAnsi="David"/>
                <w:snapToGrid w:val="0"/>
                <w:sz w:val="20"/>
                <w:szCs w:val="26"/>
                <w:rtl/>
              </w:rPr>
              <w:t>פיצול 3</w:t>
            </w:r>
            <w:r w:rsidRPr="000E7B21">
              <w:rPr>
                <w:rFonts w:ascii="David" w:eastAsia="Arial Unicode MS" w:hAnsi="David" w:hint="cs"/>
                <w:snapToGrid w:val="0"/>
                <w:sz w:val="20"/>
                <w:szCs w:val="26"/>
                <w:rtl/>
              </w:rPr>
              <w:t xml:space="preserve"> </w:t>
            </w:r>
            <w:r w:rsidRPr="000E7B21">
              <w:rPr>
                <w:rFonts w:ascii="David" w:eastAsia="Arial Unicode MS" w:hAnsi="David"/>
                <w:snapToGrid w:val="0"/>
                <w:sz w:val="20"/>
                <w:szCs w:val="26"/>
                <w:rtl/>
              </w:rPr>
              <w:t>מוליכים</w:t>
            </w:r>
            <w:r w:rsidRPr="000E7B21">
              <w:rPr>
                <w:rFonts w:ascii="David" w:eastAsia="Arial Unicode MS" w:hAnsi="David" w:hint="cs"/>
                <w:snapToGrid w:val="0"/>
                <w:sz w:val="20"/>
                <w:szCs w:val="26"/>
                <w:rtl/>
              </w:rPr>
              <w:t xml:space="preserve"> במעגל חשמלי ל- 6 מוליכים </w:t>
            </w:r>
            <w:r w:rsidRPr="000E7B21">
              <w:rPr>
                <w:rFonts w:ascii="David" w:eastAsia="Arial Unicode MS" w:hAnsi="David"/>
                <w:snapToGrid w:val="0"/>
                <w:sz w:val="20"/>
                <w:szCs w:val="26"/>
                <w:rtl/>
              </w:rPr>
              <w:t>וסידורם</w:t>
            </w:r>
            <w:r w:rsidRPr="000E7B21">
              <w:rPr>
                <w:rFonts w:ascii="David" w:eastAsia="Arial Unicode MS" w:hAnsi="David" w:hint="cs"/>
                <w:snapToGrid w:val="0"/>
                <w:sz w:val="20"/>
                <w:szCs w:val="26"/>
                <w:rtl/>
              </w:rPr>
              <w:t xml:space="preserve"> באופן המאפשר הפחתת הקרינה.</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Default="000E7B21" w:rsidP="00C40571">
            <w:pPr>
              <w:pStyle w:val="TableBlock"/>
              <w:numPr>
                <w:ilvl w:val="0"/>
                <w:numId w:val="36"/>
              </w:numPr>
              <w:tabs>
                <w:tab w:val="left" w:pos="624"/>
              </w:tabs>
            </w:pPr>
            <w:r w:rsidRPr="000E7B21">
              <w:rPr>
                <w:rFonts w:ascii="David" w:hAnsi="David" w:hint="cs"/>
                <w:rtl/>
              </w:rPr>
              <w:t xml:space="preserve">במתקנים חדשים - </w:t>
            </w:r>
            <w:r w:rsidRPr="000E7B21">
              <w:rPr>
                <w:rFonts w:ascii="David" w:hAnsi="David"/>
                <w:rtl/>
              </w:rPr>
              <w:t>שינוי תצור</w:t>
            </w:r>
            <w:r w:rsidRPr="000E7B21">
              <w:rPr>
                <w:rFonts w:ascii="David" w:hAnsi="David" w:hint="cs"/>
                <w:rtl/>
              </w:rPr>
              <w:t>ת המוליכים</w:t>
            </w:r>
            <w:r w:rsidRPr="000E7B21">
              <w:rPr>
                <w:rFonts w:ascii="David" w:hAnsi="David"/>
                <w:rtl/>
              </w:rPr>
              <w:t xml:space="preserve"> מ</w:t>
            </w:r>
            <w:r w:rsidRPr="000E7B21">
              <w:rPr>
                <w:rFonts w:ascii="David" w:hAnsi="David" w:hint="cs"/>
                <w:rtl/>
              </w:rPr>
              <w:t>התקנה באותו מישור ("התקנה שטוחה") להתקנה בתצורת משולש ("</w:t>
            </w:r>
            <w:r w:rsidRPr="000E7B21">
              <w:rPr>
                <w:rFonts w:ascii="David" w:hAnsi="David"/>
                <w:rtl/>
              </w:rPr>
              <w:t>דלתא קומפקטית</w:t>
            </w:r>
            <w:r>
              <w:rPr>
                <w:rFonts w:hint="cs"/>
                <w:rtl/>
              </w:rPr>
              <w:t>").</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0E7B21" w:rsidRDefault="000E7B21" w:rsidP="000E7B21">
            <w:pPr>
              <w:pStyle w:val="af"/>
              <w:numPr>
                <w:ilvl w:val="0"/>
                <w:numId w:val="36"/>
              </w:numPr>
              <w:rPr>
                <w:rFonts w:ascii="Arial" w:eastAsia="Arial Unicode MS" w:hAnsi="Arial"/>
                <w:snapToGrid w:val="0"/>
                <w:sz w:val="20"/>
                <w:szCs w:val="26"/>
              </w:rPr>
            </w:pPr>
            <w:r w:rsidRPr="000E7B21">
              <w:rPr>
                <w:rFonts w:ascii="Arial" w:eastAsia="Arial Unicode MS" w:hAnsi="Arial"/>
                <w:snapToGrid w:val="0"/>
                <w:sz w:val="20"/>
                <w:szCs w:val="26"/>
                <w:rtl/>
              </w:rPr>
              <w:t>הטמנת כבלים באזורים מאוכלסים – למעט בקווי 400 ק"ו.</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0E7B21" w:rsidRDefault="000E7B21" w:rsidP="000E7B21">
            <w:pPr>
              <w:pStyle w:val="af"/>
              <w:numPr>
                <w:ilvl w:val="0"/>
                <w:numId w:val="36"/>
              </w:numPr>
              <w:spacing w:line="360" w:lineRule="auto"/>
              <w:rPr>
                <w:rFonts w:ascii="Arial" w:eastAsia="Arial Unicode MS" w:hAnsi="Arial"/>
                <w:snapToGrid w:val="0"/>
                <w:sz w:val="20"/>
                <w:szCs w:val="26"/>
              </w:rPr>
            </w:pPr>
            <w:r w:rsidRPr="000E7B21">
              <w:rPr>
                <w:rFonts w:ascii="Arial" w:eastAsia="Arial Unicode MS" w:hAnsi="Arial" w:hint="cs"/>
                <w:snapToGrid w:val="0"/>
                <w:sz w:val="20"/>
                <w:szCs w:val="26"/>
                <w:rtl/>
              </w:rPr>
              <w:t>מיסוך יעיל בחדרי שנאים, ארונות חלוקה ותעלות של כבלים מתח גבוה ונמוך.</w:t>
            </w:r>
          </w:p>
        </w:tc>
      </w:tr>
      <w:tr w:rsidR="000E7B21" w:rsidTr="00AE74F7">
        <w:trPr>
          <w:cantSplit/>
          <w:trHeight w:val="60"/>
        </w:trPr>
        <w:tc>
          <w:tcPr>
            <w:tcW w:w="1871" w:type="dxa"/>
          </w:tcPr>
          <w:p w:rsidR="000E7B21" w:rsidRDefault="000E7B21">
            <w:pPr>
              <w:pStyle w:val="TableSideHeading"/>
            </w:pPr>
          </w:p>
        </w:tc>
        <w:tc>
          <w:tcPr>
            <w:tcW w:w="624" w:type="dxa"/>
          </w:tcPr>
          <w:p w:rsidR="000E7B21" w:rsidRDefault="000E7B21" w:rsidP="000E7B21">
            <w:pPr>
              <w:pStyle w:val="TableText"/>
            </w:pPr>
          </w:p>
        </w:tc>
        <w:tc>
          <w:tcPr>
            <w:tcW w:w="624" w:type="dxa"/>
          </w:tcPr>
          <w:p w:rsidR="000E7B21" w:rsidRDefault="000E7B21">
            <w:pPr>
              <w:pStyle w:val="TableText"/>
            </w:pPr>
          </w:p>
        </w:tc>
        <w:tc>
          <w:tcPr>
            <w:tcW w:w="624" w:type="dxa"/>
          </w:tcPr>
          <w:p w:rsidR="000E7B21" w:rsidRDefault="000E7B21">
            <w:pPr>
              <w:pStyle w:val="TableText"/>
            </w:pPr>
          </w:p>
        </w:tc>
        <w:tc>
          <w:tcPr>
            <w:tcW w:w="5898" w:type="dxa"/>
            <w:gridSpan w:val="4"/>
          </w:tcPr>
          <w:p w:rsidR="000E7B21" w:rsidRPr="008416ED" w:rsidRDefault="008416ED" w:rsidP="008416ED">
            <w:pPr>
              <w:pStyle w:val="af"/>
              <w:numPr>
                <w:ilvl w:val="0"/>
                <w:numId w:val="36"/>
              </w:numPr>
              <w:spacing w:line="360" w:lineRule="auto"/>
              <w:rPr>
                <w:rFonts w:ascii="Arial" w:eastAsia="Arial Unicode MS" w:hAnsi="Arial"/>
                <w:snapToGrid w:val="0"/>
                <w:sz w:val="20"/>
                <w:szCs w:val="26"/>
              </w:rPr>
            </w:pPr>
            <w:r w:rsidRPr="008416ED">
              <w:rPr>
                <w:rFonts w:ascii="Arial" w:eastAsia="Arial Unicode MS" w:hAnsi="Arial" w:hint="cs"/>
                <w:snapToGrid w:val="0"/>
                <w:sz w:val="20"/>
                <w:szCs w:val="26"/>
                <w:rtl/>
              </w:rPr>
              <w:t>סידור פסי צבירה (סרגלים) בארונות חלוקה ובלוחות קיימים באופן המאפשר הפחתת הקרינה</w:t>
            </w:r>
            <w:r>
              <w:rPr>
                <w:rFonts w:ascii="Arial" w:eastAsia="Arial Unicode MS" w:hAnsi="Arial" w:hint="cs"/>
                <w:snapToGrid w:val="0"/>
                <w:sz w:val="20"/>
                <w:szCs w:val="26"/>
                <w:rtl/>
              </w:rPr>
              <w:t>.</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Fonts w:hint="cs"/>
                <w:rtl/>
              </w:rPr>
              <w:t>בתוספת זו :</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tl/>
              </w:rPr>
              <w:t xml:space="preserve">" </w:t>
            </w:r>
            <w:r w:rsidRPr="008416ED">
              <w:rPr>
                <w:rtl/>
              </w:rPr>
              <w:t>ארון חלוקה</w:t>
            </w:r>
            <w:r>
              <w:rPr>
                <w:rFonts w:hint="cs"/>
                <w:rtl/>
              </w:rPr>
              <w:t xml:space="preserve">" </w:t>
            </w:r>
            <w:r w:rsidRPr="008416ED">
              <w:rPr>
                <w:rtl/>
              </w:rPr>
              <w:t>- לוח המוזן ישירות מרשת חלוקה במתח נמוך או ישירות משנאי</w:t>
            </w:r>
            <w:r>
              <w:rPr>
                <w:rFonts w:hint="cs"/>
                <w:rtl/>
              </w:rPr>
              <w:t>,</w:t>
            </w:r>
            <w:r w:rsidRPr="008416ED">
              <w:rPr>
                <w:rtl/>
              </w:rPr>
              <w:t xml:space="preserve"> ומותקן בשטח המיועד לצורכי ציבור בתכנית לפי חוק התכנון והבניה, התשכ"ה-1965, הכולל קווי חלוקה היוצאים ממנו להזנת מיתקן חשמלי</w:t>
            </w:r>
            <w:r>
              <w:rPr>
                <w:rFonts w:hint="cs"/>
                <w:rtl/>
              </w:rPr>
              <w:t>;</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tl/>
              </w:rPr>
              <w:t xml:space="preserve">" </w:t>
            </w:r>
            <w:r w:rsidRPr="008416ED">
              <w:rPr>
                <w:rtl/>
              </w:rPr>
              <w:t>כנה</w:t>
            </w:r>
            <w:r>
              <w:rPr>
                <w:rFonts w:hint="cs"/>
                <w:rtl/>
              </w:rPr>
              <w:t>"</w:t>
            </w:r>
            <w:r>
              <w:rPr>
                <w:rtl/>
              </w:rPr>
              <w:t xml:space="preserve"> </w:t>
            </w:r>
            <w:r>
              <w:rPr>
                <w:rFonts w:hint="cs"/>
                <w:rtl/>
              </w:rPr>
              <w:t>-</w:t>
            </w:r>
            <w:r w:rsidRPr="008416ED">
              <w:rPr>
                <w:rtl/>
              </w:rPr>
              <w:t xml:space="preserve"> זרוע המיועדת לנשיאת תיל או כבל</w:t>
            </w:r>
            <w:r>
              <w:rPr>
                <w:rFonts w:hint="cs"/>
                <w:rtl/>
              </w:rPr>
              <w:t>;</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tl/>
              </w:rPr>
              <w:t>"</w:t>
            </w:r>
            <w:r w:rsidRPr="008416ED">
              <w:rPr>
                <w:rtl/>
              </w:rPr>
              <w:t>לוח</w:t>
            </w:r>
            <w:r>
              <w:rPr>
                <w:rFonts w:hint="cs"/>
                <w:rtl/>
              </w:rPr>
              <w:t xml:space="preserve">" </w:t>
            </w:r>
            <w:r w:rsidRPr="008416ED">
              <w:rPr>
                <w:rtl/>
              </w:rPr>
              <w:t>- מסד וציוד חשמלי המורכב עליו לפיקוד ולפקוח על מיתקן חשמל</w:t>
            </w:r>
            <w:r>
              <w:rPr>
                <w:rtl/>
              </w:rPr>
              <w:t>י</w:t>
            </w:r>
            <w:r>
              <w:rPr>
                <w:rFonts w:hint="cs"/>
                <w:rtl/>
              </w:rPr>
              <w:t>;</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tl/>
              </w:rPr>
              <w:t>"מוליך</w:t>
            </w:r>
            <w:r>
              <w:rPr>
                <w:rFonts w:hint="cs"/>
                <w:rtl/>
              </w:rPr>
              <w:t>"</w:t>
            </w:r>
            <w:r>
              <w:rPr>
                <w:rtl/>
              </w:rPr>
              <w:t xml:space="preserve"> </w:t>
            </w:r>
            <w:r>
              <w:rPr>
                <w:rFonts w:hint="cs"/>
                <w:rtl/>
              </w:rPr>
              <w:t>-</w:t>
            </w:r>
            <w:r>
              <w:rPr>
                <w:rtl/>
              </w:rPr>
              <w:t xml:space="preserve"> גוף המיועד ומתוכנן להעברת זרם חשמלי</w:t>
            </w:r>
            <w:r>
              <w:rPr>
                <w:rFonts w:hint="cs"/>
                <w:rtl/>
              </w:rPr>
              <w:t>,</w:t>
            </w:r>
            <w:r>
              <w:rPr>
                <w:rtl/>
              </w:rPr>
              <w:t xml:space="preserve"> כהגדרתו בתקנות החשמל (התקנת כבלי חשמל במתח גבוה), תשס"ב-2001</w:t>
            </w:r>
            <w:r>
              <w:rPr>
                <w:rFonts w:hint="cs"/>
                <w:rtl/>
              </w:rPr>
              <w:t>;</w:t>
            </w:r>
          </w:p>
        </w:tc>
      </w:tr>
      <w:tr w:rsidR="000627FC" w:rsidTr="00AE74F7">
        <w:trPr>
          <w:cantSplit/>
          <w:trHeight w:val="60"/>
        </w:trPr>
        <w:tc>
          <w:tcPr>
            <w:tcW w:w="1871" w:type="dxa"/>
          </w:tcPr>
          <w:p w:rsidR="000627FC" w:rsidRDefault="000627FC">
            <w:pPr>
              <w:pStyle w:val="TableSideHeading"/>
            </w:pPr>
          </w:p>
        </w:tc>
        <w:tc>
          <w:tcPr>
            <w:tcW w:w="624" w:type="dxa"/>
          </w:tcPr>
          <w:p w:rsidR="000627FC" w:rsidRDefault="000627FC" w:rsidP="008416ED">
            <w:pPr>
              <w:pStyle w:val="TableText"/>
            </w:pPr>
          </w:p>
        </w:tc>
        <w:tc>
          <w:tcPr>
            <w:tcW w:w="624" w:type="dxa"/>
          </w:tcPr>
          <w:p w:rsidR="000627FC" w:rsidRDefault="000627FC">
            <w:pPr>
              <w:pStyle w:val="TableText"/>
            </w:pPr>
          </w:p>
        </w:tc>
        <w:tc>
          <w:tcPr>
            <w:tcW w:w="624" w:type="dxa"/>
          </w:tcPr>
          <w:p w:rsidR="000627FC" w:rsidRDefault="000627FC">
            <w:pPr>
              <w:pStyle w:val="TableText"/>
            </w:pPr>
          </w:p>
        </w:tc>
        <w:tc>
          <w:tcPr>
            <w:tcW w:w="5898" w:type="dxa"/>
            <w:gridSpan w:val="4"/>
          </w:tcPr>
          <w:p w:rsidR="000627FC" w:rsidRPr="000627FC" w:rsidRDefault="000627FC" w:rsidP="000627FC">
            <w:pPr>
              <w:pStyle w:val="TableBlockOutdent"/>
              <w:rPr>
                <w:rtl/>
              </w:rPr>
            </w:pPr>
            <w:r>
              <w:rPr>
                <w:rtl/>
              </w:rPr>
              <w:t>"</w:t>
            </w:r>
            <w:r w:rsidRPr="000627FC">
              <w:rPr>
                <w:rtl/>
              </w:rPr>
              <w:t>מעגל חשמלי</w:t>
            </w:r>
            <w:r>
              <w:rPr>
                <w:rFonts w:hint="cs"/>
                <w:rtl/>
              </w:rPr>
              <w:t>"</w:t>
            </w:r>
            <w:r w:rsidRPr="000627FC">
              <w:rPr>
                <w:rtl/>
              </w:rPr>
              <w:t xml:space="preserve"> - סדרה של מוליכים המחוברים ביניהם, שדרכם יכול לעבור זרם חשמלי</w:t>
            </w:r>
            <w:r>
              <w:rPr>
                <w:rFonts w:hint="cs"/>
                <w:rtl/>
              </w:rPr>
              <w:t>;</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tl/>
              </w:rPr>
              <w:t>"</w:t>
            </w:r>
            <w:r w:rsidRPr="008416ED">
              <w:rPr>
                <w:rtl/>
              </w:rPr>
              <w:t>פס צבירה</w:t>
            </w:r>
            <w:r>
              <w:rPr>
                <w:rFonts w:hint="cs"/>
                <w:rtl/>
              </w:rPr>
              <w:t>"</w:t>
            </w:r>
            <w:r w:rsidRPr="008416ED">
              <w:rPr>
                <w:rtl/>
              </w:rPr>
              <w:t xml:space="preserve"> - התקן, חשוף או מבודד, המיועד לחיבור מוליכים</w:t>
            </w:r>
            <w:r>
              <w:rPr>
                <w:rFonts w:hint="cs"/>
                <w:rtl/>
              </w:rPr>
              <w:t>;</w:t>
            </w:r>
          </w:p>
        </w:tc>
      </w:tr>
      <w:tr w:rsidR="008416ED" w:rsidTr="00AE74F7">
        <w:trPr>
          <w:cantSplit/>
          <w:trHeight w:val="60"/>
        </w:trPr>
        <w:tc>
          <w:tcPr>
            <w:tcW w:w="1871" w:type="dxa"/>
          </w:tcPr>
          <w:p w:rsidR="008416ED" w:rsidRDefault="008416ED">
            <w:pPr>
              <w:pStyle w:val="TableSideHeading"/>
            </w:pPr>
          </w:p>
        </w:tc>
        <w:tc>
          <w:tcPr>
            <w:tcW w:w="624" w:type="dxa"/>
          </w:tcPr>
          <w:p w:rsidR="008416ED" w:rsidRDefault="008416ED" w:rsidP="008416ED">
            <w:pPr>
              <w:pStyle w:val="TableText"/>
            </w:pPr>
          </w:p>
        </w:tc>
        <w:tc>
          <w:tcPr>
            <w:tcW w:w="624" w:type="dxa"/>
          </w:tcPr>
          <w:p w:rsidR="008416ED" w:rsidRDefault="008416ED">
            <w:pPr>
              <w:pStyle w:val="TableText"/>
            </w:pPr>
          </w:p>
        </w:tc>
        <w:tc>
          <w:tcPr>
            <w:tcW w:w="624" w:type="dxa"/>
          </w:tcPr>
          <w:p w:rsidR="008416ED" w:rsidRDefault="008416ED">
            <w:pPr>
              <w:pStyle w:val="TableText"/>
            </w:pPr>
          </w:p>
        </w:tc>
        <w:tc>
          <w:tcPr>
            <w:tcW w:w="5898" w:type="dxa"/>
            <w:gridSpan w:val="4"/>
          </w:tcPr>
          <w:p w:rsidR="008416ED" w:rsidRPr="008416ED" w:rsidRDefault="008416ED" w:rsidP="008416ED">
            <w:pPr>
              <w:pStyle w:val="TableBlockOutdent"/>
              <w:rPr>
                <w:rtl/>
              </w:rPr>
            </w:pPr>
            <w:r>
              <w:rPr>
                <w:rtl/>
              </w:rPr>
              <w:t>"</w:t>
            </w:r>
            <w:r>
              <w:rPr>
                <w:rFonts w:hint="cs"/>
                <w:rtl/>
              </w:rPr>
              <w:t>ת</w:t>
            </w:r>
            <w:r w:rsidRPr="008416ED">
              <w:rPr>
                <w:rtl/>
              </w:rPr>
              <w:t>יל</w:t>
            </w:r>
            <w:r>
              <w:rPr>
                <w:rFonts w:hint="cs"/>
                <w:rtl/>
              </w:rPr>
              <w:t>"</w:t>
            </w:r>
            <w:r>
              <w:rPr>
                <w:rtl/>
              </w:rPr>
              <w:t xml:space="preserve"> </w:t>
            </w:r>
            <w:r>
              <w:rPr>
                <w:rFonts w:hint="cs"/>
                <w:rtl/>
              </w:rPr>
              <w:t>-</w:t>
            </w:r>
            <w:r w:rsidRPr="008416ED">
              <w:rPr>
                <w:rtl/>
              </w:rPr>
              <w:t xml:space="preserve"> מוליך יחיד או שזור ללא בידוד המיועד להתקנה ברשת עילית</w:t>
            </w:r>
            <w:r>
              <w:rPr>
                <w:rFonts w:hint="cs"/>
                <w:rtl/>
              </w:rPr>
              <w:t>.</w:t>
            </w:r>
          </w:p>
        </w:tc>
      </w:tr>
      <w:tr w:rsidR="000627FC">
        <w:trPr>
          <w:cantSplit/>
          <w:trHeight w:val="60"/>
        </w:trPr>
        <w:tc>
          <w:tcPr>
            <w:tcW w:w="1871" w:type="dxa"/>
          </w:tcPr>
          <w:p w:rsidR="000627FC" w:rsidRDefault="000627FC">
            <w:pPr>
              <w:pStyle w:val="TableSideHeading"/>
            </w:pPr>
          </w:p>
        </w:tc>
        <w:tc>
          <w:tcPr>
            <w:tcW w:w="624" w:type="dxa"/>
          </w:tcPr>
          <w:p w:rsidR="000627FC" w:rsidRDefault="000627FC">
            <w:pPr>
              <w:pStyle w:val="TableText"/>
            </w:pPr>
          </w:p>
        </w:tc>
        <w:tc>
          <w:tcPr>
            <w:tcW w:w="7146" w:type="dxa"/>
            <w:gridSpan w:val="6"/>
          </w:tcPr>
          <w:p w:rsidR="000627FC" w:rsidRPr="00C34DE2" w:rsidRDefault="000627FC">
            <w:pPr>
              <w:pStyle w:val="TableHead"/>
            </w:pPr>
            <w:r>
              <w:rPr>
                <w:rFonts w:hint="cs"/>
                <w:rtl/>
              </w:rPr>
              <w:t>תוספת רביעית</w:t>
            </w:r>
          </w:p>
        </w:tc>
      </w:tr>
      <w:tr w:rsidR="00AE74F7" w:rsidTr="00AE74F7">
        <w:trPr>
          <w:cantSplit/>
          <w:trHeight w:val="60"/>
        </w:trPr>
        <w:tc>
          <w:tcPr>
            <w:tcW w:w="1871" w:type="dxa"/>
          </w:tcPr>
          <w:p w:rsidR="00AE74F7" w:rsidRDefault="00AE74F7">
            <w:pPr>
              <w:pStyle w:val="TableSideHeading"/>
              <w:rPr>
                <w:rtl/>
              </w:rPr>
            </w:pPr>
          </w:p>
        </w:tc>
        <w:tc>
          <w:tcPr>
            <w:tcW w:w="624" w:type="dxa"/>
          </w:tcPr>
          <w:p w:rsidR="00AE74F7" w:rsidRDefault="00AE74F7" w:rsidP="00AE74F7">
            <w:pPr>
              <w:pStyle w:val="TableText"/>
            </w:pPr>
          </w:p>
        </w:tc>
        <w:tc>
          <w:tcPr>
            <w:tcW w:w="7146" w:type="dxa"/>
            <w:gridSpan w:val="6"/>
          </w:tcPr>
          <w:p w:rsidR="00AE74F7" w:rsidRPr="000627FC" w:rsidRDefault="000627FC" w:rsidP="004F12A2">
            <w:pPr>
              <w:pStyle w:val="TableHead"/>
              <w:outlineLvl w:val="9"/>
              <w:rPr>
                <w:rtl/>
              </w:rPr>
            </w:pPr>
            <w:r w:rsidRPr="000627FC">
              <w:rPr>
                <w:rtl/>
              </w:rPr>
              <w:t>מרחקים בין מקור</w:t>
            </w:r>
            <w:r>
              <w:rPr>
                <w:rFonts w:hint="cs"/>
                <w:rtl/>
              </w:rPr>
              <w:t>ות</w:t>
            </w:r>
            <w:r>
              <w:rPr>
                <w:rtl/>
              </w:rPr>
              <w:t xml:space="preserve"> </w:t>
            </w:r>
            <w:r w:rsidRPr="000627FC">
              <w:rPr>
                <w:rtl/>
              </w:rPr>
              <w:t>קרינה למקומות שהיה ממושכת</w:t>
            </w:r>
          </w:p>
        </w:tc>
      </w:tr>
      <w:tr w:rsidR="000627FC">
        <w:trPr>
          <w:cantSplit/>
          <w:trHeight w:val="60"/>
        </w:trPr>
        <w:tc>
          <w:tcPr>
            <w:tcW w:w="1871" w:type="dxa"/>
          </w:tcPr>
          <w:p w:rsidR="000627FC" w:rsidRDefault="000627FC">
            <w:pPr>
              <w:pStyle w:val="TableSideHeading"/>
            </w:pPr>
          </w:p>
        </w:tc>
        <w:tc>
          <w:tcPr>
            <w:tcW w:w="624" w:type="dxa"/>
          </w:tcPr>
          <w:p w:rsidR="000627FC" w:rsidRDefault="000627FC">
            <w:pPr>
              <w:pStyle w:val="TableText"/>
            </w:pPr>
          </w:p>
        </w:tc>
        <w:tc>
          <w:tcPr>
            <w:tcW w:w="7146" w:type="dxa"/>
            <w:gridSpan w:val="6"/>
          </w:tcPr>
          <w:p w:rsidR="000627FC" w:rsidRPr="00C34DE2" w:rsidRDefault="000627FC">
            <w:pPr>
              <w:pStyle w:val="TableHead"/>
            </w:pPr>
            <w:r>
              <w:rPr>
                <w:rFonts w:hint="cs"/>
                <w:rtl/>
              </w:rPr>
              <w:t>תקנה 4ג(ב)</w:t>
            </w:r>
          </w:p>
        </w:tc>
      </w:tr>
      <w:tr w:rsidR="000627FC" w:rsidTr="000627FC">
        <w:trPr>
          <w:trHeight w:val="60"/>
        </w:trPr>
        <w:tc>
          <w:tcPr>
            <w:tcW w:w="1871" w:type="dxa"/>
          </w:tcPr>
          <w:p w:rsidR="00905ACC" w:rsidRDefault="00905ACC">
            <w:pPr>
              <w:pStyle w:val="TableSideHeading"/>
              <w:rPr>
                <w:rtl/>
              </w:rPr>
            </w:pPr>
          </w:p>
          <w:p w:rsidR="00905ACC" w:rsidRDefault="00905ACC">
            <w:pPr>
              <w:pStyle w:val="TableSideHeading"/>
            </w:pPr>
          </w:p>
        </w:tc>
        <w:tc>
          <w:tcPr>
            <w:tcW w:w="624" w:type="dxa"/>
          </w:tcPr>
          <w:p w:rsidR="000627FC" w:rsidRDefault="000627FC">
            <w:pPr>
              <w:pStyle w:val="TableText"/>
            </w:pPr>
          </w:p>
        </w:tc>
        <w:tc>
          <w:tcPr>
            <w:tcW w:w="7146" w:type="dxa"/>
            <w:gridSpan w:val="6"/>
          </w:tcPr>
          <w:tbl>
            <w:tblPr>
              <w:tblStyle w:val="af1"/>
              <w:bidiVisual/>
              <w:tblW w:w="7030" w:type="dxa"/>
              <w:jc w:val="center"/>
              <w:tblLayout w:type="fixed"/>
              <w:tblLook w:val="05E0" w:firstRow="1" w:lastRow="1" w:firstColumn="1" w:lastColumn="1" w:noHBand="0" w:noVBand="1"/>
            </w:tblPr>
            <w:tblGrid>
              <w:gridCol w:w="3515"/>
              <w:gridCol w:w="3515"/>
            </w:tblGrid>
            <w:tr w:rsidR="000627FC" w:rsidTr="000627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627FC" w:rsidRDefault="000627FC">
                  <w:pPr>
                    <w:pStyle w:val="TableBlock"/>
                    <w:rPr>
                      <w:rtl/>
                    </w:rPr>
                  </w:pPr>
                  <w:r>
                    <w:rPr>
                      <w:rFonts w:hint="cs"/>
                      <w:rtl/>
                    </w:rPr>
                    <w:t>מתקן</w:t>
                  </w:r>
                </w:p>
              </w:tc>
              <w:tc>
                <w:tcPr>
                  <w:cnfStyle w:val="000100000000" w:firstRow="0" w:lastRow="0" w:firstColumn="0" w:lastColumn="1" w:oddVBand="0" w:evenVBand="0" w:oddHBand="0" w:evenHBand="0" w:firstRowFirstColumn="0" w:firstRowLastColumn="0" w:lastRowFirstColumn="0" w:lastRowLastColumn="0"/>
                  <w:tcW w:w="35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627FC" w:rsidRDefault="000627FC">
                  <w:pPr>
                    <w:pStyle w:val="TableBlock"/>
                    <w:rPr>
                      <w:rtl/>
                    </w:rPr>
                  </w:pPr>
                  <w:r>
                    <w:rPr>
                      <w:rFonts w:hint="cs"/>
                      <w:rtl/>
                    </w:rPr>
                    <w:t>מרחק</w:t>
                  </w:r>
                  <w:r w:rsidR="00F35D5D">
                    <w:rPr>
                      <w:rFonts w:hint="cs"/>
                      <w:rtl/>
                    </w:rPr>
                    <w:t xml:space="preserve"> </w:t>
                  </w:r>
                </w:p>
              </w:tc>
            </w:tr>
            <w:tr w:rsidR="000627FC"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0627FC" w:rsidRPr="00F35D5D" w:rsidRDefault="00F35D5D">
                  <w:pPr>
                    <w:pStyle w:val="TableBlock"/>
                    <w:rPr>
                      <w:sz w:val="26"/>
                      <w:rtl/>
                    </w:rPr>
                  </w:pPr>
                  <w:r w:rsidRPr="00F35D5D">
                    <w:rPr>
                      <w:rFonts w:ascii="Times New Roman" w:hAnsi="Times New Roman" w:hint="cs"/>
                      <w:sz w:val="26"/>
                      <w:rtl/>
                    </w:rPr>
                    <w:t>קו מתח על דו מעגלי 400 ק"ו</w:t>
                  </w:r>
                </w:p>
              </w:tc>
              <w:tc>
                <w:tcPr>
                  <w:cnfStyle w:val="000100000000" w:firstRow="0" w:lastRow="0" w:firstColumn="0" w:lastColumn="1" w:oddVBand="0" w:evenVBand="0" w:oddHBand="0" w:evenHBand="0" w:firstRowFirstColumn="0" w:firstRowLastColumn="0" w:lastRowFirstColumn="0" w:lastRowLastColumn="0"/>
                  <w:tcW w:w="3568" w:type="dxa"/>
                </w:tcPr>
                <w:p w:rsidR="000627FC" w:rsidRPr="00F35D5D" w:rsidRDefault="00091B83" w:rsidP="00E67AA3">
                  <w:pPr>
                    <w:pStyle w:val="TableBlock"/>
                    <w:rPr>
                      <w:rFonts w:ascii="Times New Roman" w:hAnsi="Times New Roman"/>
                      <w:sz w:val="26"/>
                      <w:rtl/>
                    </w:rPr>
                  </w:pPr>
                  <w:r>
                    <w:rPr>
                      <w:rFonts w:ascii="Times New Roman" w:hAnsi="Times New Roman" w:hint="cs"/>
                      <w:sz w:val="26"/>
                      <w:rtl/>
                    </w:rPr>
                    <w:t>35</w:t>
                  </w:r>
                  <w:r w:rsidRPr="00F35D5D">
                    <w:rPr>
                      <w:rFonts w:ascii="Times New Roman" w:hAnsi="Times New Roman" w:hint="cs"/>
                      <w:sz w:val="26"/>
                      <w:rtl/>
                    </w:rPr>
                    <w:t xml:space="preserve"> </w:t>
                  </w:r>
                  <w:r w:rsidR="00F35D5D" w:rsidRPr="00F35D5D">
                    <w:rPr>
                      <w:rFonts w:ascii="Times New Roman" w:hAnsi="Times New Roman" w:hint="cs"/>
                      <w:sz w:val="26"/>
                      <w:rtl/>
                    </w:rPr>
                    <w:t>מטרים</w:t>
                  </w:r>
                  <w:r>
                    <w:rPr>
                      <w:rFonts w:ascii="Times New Roman" w:hAnsi="Times New Roman" w:hint="cs"/>
                      <w:sz w:val="26"/>
                      <w:rtl/>
                    </w:rPr>
                    <w:t xml:space="preserve"> מכל צד של ציר הקו</w:t>
                  </w:r>
                  <w:r w:rsidR="0034763C">
                    <w:rPr>
                      <w:rFonts w:ascii="Times New Roman" w:hAnsi="Times New Roman" w:hint="cs"/>
                      <w:sz w:val="26"/>
                      <w:rtl/>
                    </w:rPr>
                    <w:t xml:space="preserve"> </w:t>
                  </w:r>
                </w:p>
              </w:tc>
            </w:tr>
            <w:tr w:rsidR="000627FC"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0627FC" w:rsidRPr="00F35D5D" w:rsidRDefault="00F35D5D">
                  <w:pPr>
                    <w:pStyle w:val="TableBlock"/>
                    <w:rPr>
                      <w:sz w:val="26"/>
                      <w:rtl/>
                    </w:rPr>
                  </w:pPr>
                  <w:r w:rsidRPr="00F35D5D">
                    <w:rPr>
                      <w:rFonts w:ascii="Times New Roman" w:hAnsi="Times New Roman" w:hint="cs"/>
                      <w:sz w:val="26"/>
                      <w:rtl/>
                    </w:rPr>
                    <w:t>קו מתח עליון דו מעגלי 161 ק"ו</w:t>
                  </w:r>
                </w:p>
              </w:tc>
              <w:tc>
                <w:tcPr>
                  <w:cnfStyle w:val="000100000000" w:firstRow="0" w:lastRow="0" w:firstColumn="0" w:lastColumn="1" w:oddVBand="0" w:evenVBand="0" w:oddHBand="0" w:evenHBand="0" w:firstRowFirstColumn="0" w:firstRowLastColumn="0" w:lastRowFirstColumn="0" w:lastRowLastColumn="0"/>
                  <w:tcW w:w="3568" w:type="dxa"/>
                </w:tcPr>
                <w:p w:rsidR="000627FC" w:rsidRPr="00F35D5D" w:rsidRDefault="00091B83" w:rsidP="00E67AA3">
                  <w:pPr>
                    <w:pStyle w:val="TableBlock"/>
                    <w:rPr>
                      <w:rFonts w:ascii="Times New Roman" w:hAnsi="Times New Roman"/>
                      <w:sz w:val="26"/>
                      <w:rtl/>
                    </w:rPr>
                  </w:pPr>
                  <w:r>
                    <w:rPr>
                      <w:rFonts w:ascii="Times New Roman" w:hAnsi="Times New Roman" w:hint="cs"/>
                      <w:sz w:val="26"/>
                      <w:rtl/>
                    </w:rPr>
                    <w:t>2</w:t>
                  </w:r>
                  <w:r w:rsidRPr="00F35D5D">
                    <w:rPr>
                      <w:rFonts w:ascii="Times New Roman" w:hAnsi="Times New Roman" w:hint="cs"/>
                      <w:sz w:val="26"/>
                      <w:rtl/>
                    </w:rPr>
                    <w:t xml:space="preserve">0 </w:t>
                  </w:r>
                  <w:r w:rsidR="00F35D5D" w:rsidRPr="00F35D5D">
                    <w:rPr>
                      <w:rFonts w:ascii="Times New Roman" w:hAnsi="Times New Roman" w:hint="cs"/>
                      <w:sz w:val="26"/>
                      <w:rtl/>
                    </w:rPr>
                    <w:t>מטרים</w:t>
                  </w:r>
                  <w:r>
                    <w:rPr>
                      <w:rFonts w:ascii="Times New Roman" w:hAnsi="Times New Roman" w:hint="cs"/>
                      <w:sz w:val="26"/>
                      <w:rtl/>
                    </w:rPr>
                    <w:t xml:space="preserve"> מכל צד של ציר הקו</w:t>
                  </w:r>
                  <w:r w:rsidR="0034763C">
                    <w:rPr>
                      <w:rFonts w:ascii="Times New Roman" w:hAnsi="Times New Roman" w:hint="cs"/>
                      <w:sz w:val="26"/>
                      <w:rtl/>
                    </w:rPr>
                    <w:t xml:space="preserve"> </w:t>
                  </w:r>
                </w:p>
              </w:tc>
            </w:tr>
            <w:tr w:rsidR="000627FC"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0627FC" w:rsidRPr="00F35D5D" w:rsidRDefault="00F35D5D">
                  <w:pPr>
                    <w:pStyle w:val="TableBlock"/>
                    <w:rPr>
                      <w:sz w:val="26"/>
                      <w:rtl/>
                    </w:rPr>
                  </w:pPr>
                  <w:r w:rsidRPr="00F35D5D">
                    <w:rPr>
                      <w:rFonts w:ascii="Times New Roman" w:hAnsi="Times New Roman" w:hint="cs"/>
                      <w:sz w:val="26"/>
                      <w:rtl/>
                    </w:rPr>
                    <w:t>קו מתח עליון חד מעגלי 161 ק"ו</w:t>
                  </w:r>
                </w:p>
              </w:tc>
              <w:tc>
                <w:tcPr>
                  <w:cnfStyle w:val="000100000000" w:firstRow="0" w:lastRow="0" w:firstColumn="0" w:lastColumn="1" w:oddVBand="0" w:evenVBand="0" w:oddHBand="0" w:evenHBand="0" w:firstRowFirstColumn="0" w:firstRowLastColumn="0" w:lastRowFirstColumn="0" w:lastRowLastColumn="0"/>
                  <w:tcW w:w="3568" w:type="dxa"/>
                </w:tcPr>
                <w:p w:rsidR="000627FC" w:rsidRPr="00F35D5D" w:rsidRDefault="00091B83" w:rsidP="00E67AA3">
                  <w:pPr>
                    <w:pStyle w:val="TableBlock"/>
                    <w:rPr>
                      <w:rFonts w:ascii="Times New Roman" w:hAnsi="Times New Roman"/>
                      <w:sz w:val="26"/>
                      <w:rtl/>
                    </w:rPr>
                  </w:pPr>
                  <w:r>
                    <w:rPr>
                      <w:rFonts w:ascii="Times New Roman" w:hAnsi="Times New Roman" w:hint="cs"/>
                      <w:sz w:val="26"/>
                      <w:rtl/>
                    </w:rPr>
                    <w:t>33</w:t>
                  </w:r>
                  <w:r w:rsidRPr="00F35D5D">
                    <w:rPr>
                      <w:rFonts w:ascii="Times New Roman" w:hAnsi="Times New Roman" w:hint="cs"/>
                      <w:sz w:val="26"/>
                      <w:rtl/>
                    </w:rPr>
                    <w:t xml:space="preserve"> </w:t>
                  </w:r>
                  <w:r w:rsidR="00F35D5D" w:rsidRPr="00F35D5D">
                    <w:rPr>
                      <w:rFonts w:ascii="Times New Roman" w:hAnsi="Times New Roman" w:hint="cs"/>
                      <w:sz w:val="26"/>
                      <w:rtl/>
                    </w:rPr>
                    <w:t>מטרים</w:t>
                  </w:r>
                  <w:r>
                    <w:rPr>
                      <w:rFonts w:ascii="Times New Roman" w:hAnsi="Times New Roman" w:hint="cs"/>
                      <w:sz w:val="26"/>
                      <w:rtl/>
                    </w:rPr>
                    <w:t xml:space="preserve"> מכל צד של ציר הקו</w:t>
                  </w:r>
                  <w:r w:rsidR="0034763C">
                    <w:rPr>
                      <w:rFonts w:ascii="Times New Roman" w:hAnsi="Times New Roman" w:hint="cs"/>
                      <w:sz w:val="26"/>
                      <w:rtl/>
                    </w:rPr>
                    <w:t xml:space="preserve"> </w:t>
                  </w:r>
                </w:p>
              </w:tc>
            </w:tr>
            <w:tr w:rsidR="000627FC"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0627FC" w:rsidRPr="00F35D5D" w:rsidRDefault="00F35D5D">
                  <w:pPr>
                    <w:pStyle w:val="TableBlock"/>
                    <w:rPr>
                      <w:sz w:val="26"/>
                      <w:rtl/>
                    </w:rPr>
                  </w:pPr>
                  <w:r w:rsidRPr="00F35D5D">
                    <w:rPr>
                      <w:rFonts w:ascii="Times New Roman" w:hAnsi="Times New Roman"/>
                      <w:sz w:val="26"/>
                      <w:rtl/>
                    </w:rPr>
                    <w:t xml:space="preserve">כבל ת"ק מתח עליון </w:t>
                  </w:r>
                  <w:r w:rsidRPr="00F35D5D">
                    <w:rPr>
                      <w:rFonts w:ascii="Times New Roman" w:hAnsi="Times New Roman" w:hint="cs"/>
                      <w:sz w:val="26"/>
                      <w:rtl/>
                    </w:rPr>
                    <w:t>דו מעגלי 161 ק"ו</w:t>
                  </w:r>
                </w:p>
              </w:tc>
              <w:tc>
                <w:tcPr>
                  <w:cnfStyle w:val="000100000000" w:firstRow="0" w:lastRow="0" w:firstColumn="0" w:lastColumn="1" w:oddVBand="0" w:evenVBand="0" w:oddHBand="0" w:evenHBand="0" w:firstRowFirstColumn="0" w:firstRowLastColumn="0" w:lastRowFirstColumn="0" w:lastRowLastColumn="0"/>
                  <w:tcW w:w="3568" w:type="dxa"/>
                </w:tcPr>
                <w:p w:rsidR="000627FC" w:rsidRPr="00F35D5D" w:rsidRDefault="00F35D5D" w:rsidP="00E67AA3">
                  <w:pPr>
                    <w:pStyle w:val="TableBlock"/>
                    <w:rPr>
                      <w:rFonts w:ascii="Times New Roman" w:hAnsi="Times New Roman"/>
                      <w:sz w:val="26"/>
                      <w:rtl/>
                    </w:rPr>
                  </w:pPr>
                  <w:r w:rsidRPr="00F35D5D">
                    <w:rPr>
                      <w:rFonts w:ascii="Times New Roman" w:hAnsi="Times New Roman"/>
                      <w:sz w:val="26"/>
                      <w:rtl/>
                    </w:rPr>
                    <w:t xml:space="preserve">רוחב פרוזדור מקסימלי של </w:t>
                  </w:r>
                  <w:r w:rsidR="00091B83">
                    <w:rPr>
                      <w:rFonts w:ascii="Times New Roman" w:hAnsi="Times New Roman" w:hint="cs"/>
                      <w:sz w:val="26"/>
                      <w:rtl/>
                    </w:rPr>
                    <w:t>1</w:t>
                  </w:r>
                  <w:r w:rsidR="00091B83" w:rsidRPr="00F35D5D">
                    <w:rPr>
                      <w:rFonts w:ascii="Times New Roman" w:hAnsi="Times New Roman"/>
                      <w:sz w:val="26"/>
                      <w:rtl/>
                    </w:rPr>
                    <w:t xml:space="preserve">0 </w:t>
                  </w:r>
                  <w:r w:rsidRPr="00F35D5D">
                    <w:rPr>
                      <w:rFonts w:ascii="Times New Roman" w:hAnsi="Times New Roman"/>
                      <w:sz w:val="26"/>
                      <w:rtl/>
                    </w:rPr>
                    <w:t xml:space="preserve">מטר </w:t>
                  </w:r>
                  <w:r w:rsidR="00091B83">
                    <w:rPr>
                      <w:rFonts w:ascii="Times New Roman" w:hAnsi="Times New Roman" w:hint="cs"/>
                      <w:sz w:val="26"/>
                      <w:rtl/>
                    </w:rPr>
                    <w:t xml:space="preserve">מכל צד של ציר </w:t>
                  </w:r>
                  <w:r w:rsidRPr="00F35D5D">
                    <w:rPr>
                      <w:rFonts w:ascii="Times New Roman" w:hAnsi="Times New Roman"/>
                      <w:sz w:val="26"/>
                      <w:rtl/>
                    </w:rPr>
                    <w:t>קו דו מעגלי, אלא אם כן נקבע רוחב פרוזדור קצר יותר למקרה פרטני.</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ארון חלוקה</w:t>
                  </w:r>
                </w:p>
              </w:tc>
              <w:tc>
                <w:tcPr>
                  <w:cnfStyle w:val="000100000000" w:firstRow="0" w:lastRow="0" w:firstColumn="0" w:lastColumn="1" w:oddVBand="0" w:evenVBand="0" w:oddHBand="0" w:evenHBand="0" w:firstRowFirstColumn="0" w:firstRowLastColumn="0" w:lastRowFirstColumn="0" w:lastRowLastColumn="0"/>
                  <w:tcW w:w="3568" w:type="dxa"/>
                </w:tcPr>
                <w:p w:rsidR="00F35D5D" w:rsidRPr="00905ACC" w:rsidRDefault="00F35D5D" w:rsidP="00E67AA3">
                  <w:pPr>
                    <w:pStyle w:val="TableBlock"/>
                    <w:rPr>
                      <w:rFonts w:ascii="Times New Roman" w:hAnsi="Times New Roman"/>
                      <w:sz w:val="26"/>
                      <w:rtl/>
                    </w:rPr>
                  </w:pPr>
                  <w:r w:rsidRPr="00905ACC">
                    <w:rPr>
                      <w:rFonts w:ascii="Times New Roman" w:hAnsi="Times New Roman"/>
                      <w:sz w:val="26"/>
                      <w:rtl/>
                    </w:rPr>
                    <w:t xml:space="preserve">1 מטר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 xml:space="preserve">כבל תת קרקעי מתח נמוך   </w:t>
                  </w:r>
                </w:p>
              </w:tc>
              <w:tc>
                <w:tcPr>
                  <w:cnfStyle w:val="000100000000" w:firstRow="0" w:lastRow="0" w:firstColumn="0" w:lastColumn="1" w:oddVBand="0" w:evenVBand="0" w:oddHBand="0" w:evenHBand="0" w:firstRowFirstColumn="0" w:firstRowLastColumn="0" w:lastRowFirstColumn="0" w:lastRowLastColumn="0"/>
                  <w:tcW w:w="3568" w:type="dxa"/>
                </w:tcPr>
                <w:p w:rsidR="00F35D5D" w:rsidRPr="00905ACC" w:rsidRDefault="00F35D5D" w:rsidP="00E67AA3">
                  <w:pPr>
                    <w:pStyle w:val="TableBlock"/>
                    <w:rPr>
                      <w:rFonts w:ascii="Times New Roman" w:hAnsi="Times New Roman"/>
                      <w:sz w:val="26"/>
                      <w:rtl/>
                    </w:rPr>
                  </w:pPr>
                  <w:r w:rsidRPr="00905ACC">
                    <w:rPr>
                      <w:rFonts w:ascii="Times New Roman" w:hAnsi="Times New Roman" w:hint="cs"/>
                      <w:sz w:val="26"/>
                      <w:rtl/>
                    </w:rPr>
                    <w:t>0.5</w:t>
                  </w:r>
                  <w:r w:rsidR="00905ACC" w:rsidRPr="00905ACC">
                    <w:rPr>
                      <w:rFonts w:ascii="Times New Roman" w:hAnsi="Times New Roman"/>
                      <w:sz w:val="26"/>
                      <w:rtl/>
                    </w:rPr>
                    <w:t xml:space="preserve"> </w:t>
                  </w:r>
                  <w:r w:rsidR="00905ACC" w:rsidRPr="00905ACC">
                    <w:rPr>
                      <w:rFonts w:ascii="Times New Roman" w:hAnsi="Times New Roman" w:hint="cs"/>
                      <w:sz w:val="26"/>
                      <w:rtl/>
                    </w:rPr>
                    <w:t xml:space="preserve">מטר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hint="cs"/>
                      <w:sz w:val="26"/>
                      <w:rtl/>
                    </w:rPr>
                    <w:t>תיל אוויר</w:t>
                  </w:r>
                  <w:r w:rsidRPr="00F35D5D">
                    <w:rPr>
                      <w:rFonts w:ascii="Times New Roman" w:hAnsi="Times New Roman"/>
                      <w:sz w:val="26"/>
                      <w:rtl/>
                    </w:rPr>
                    <w:t>י</w:t>
                  </w:r>
                  <w:r w:rsidRPr="00F35D5D">
                    <w:rPr>
                      <w:rFonts w:ascii="Times New Roman" w:hAnsi="Times New Roman" w:hint="cs"/>
                      <w:sz w:val="26"/>
                      <w:rtl/>
                    </w:rPr>
                    <w:t xml:space="preserve"> מבודד במתח גבוה</w:t>
                  </w:r>
                </w:p>
              </w:tc>
              <w:tc>
                <w:tcPr>
                  <w:cnfStyle w:val="000100000000" w:firstRow="0" w:lastRow="0" w:firstColumn="0" w:lastColumn="1" w:oddVBand="0" w:evenVBand="0" w:oddHBand="0" w:evenHBand="0" w:firstRowFirstColumn="0" w:firstRowLastColumn="0" w:lastRowFirstColumn="0" w:lastRowLastColumn="0"/>
                  <w:tcW w:w="3568" w:type="dxa"/>
                </w:tcPr>
                <w:p w:rsidR="00F35D5D" w:rsidRPr="00905ACC" w:rsidRDefault="00F35D5D" w:rsidP="00E67AA3">
                  <w:pPr>
                    <w:pStyle w:val="TableBlock"/>
                    <w:rPr>
                      <w:rFonts w:ascii="Times New Roman" w:hAnsi="Times New Roman"/>
                      <w:sz w:val="26"/>
                      <w:rtl/>
                    </w:rPr>
                  </w:pPr>
                  <w:r w:rsidRPr="00905ACC">
                    <w:rPr>
                      <w:rFonts w:ascii="Times New Roman" w:hAnsi="Times New Roman" w:hint="cs"/>
                      <w:sz w:val="26"/>
                      <w:rtl/>
                    </w:rPr>
                    <w:t>3</w:t>
                  </w:r>
                  <w:r w:rsidR="00905ACC" w:rsidRPr="00905ACC">
                    <w:rPr>
                      <w:rFonts w:ascii="Times New Roman" w:hAnsi="Times New Roman"/>
                      <w:sz w:val="26"/>
                      <w:rtl/>
                    </w:rPr>
                    <w:t xml:space="preserve"> </w:t>
                  </w:r>
                  <w:r w:rsidR="00905ACC" w:rsidRPr="00905ACC">
                    <w:rPr>
                      <w:rFonts w:ascii="Times New Roman" w:hAnsi="Times New Roman" w:hint="cs"/>
                      <w:sz w:val="26"/>
                      <w:rtl/>
                    </w:rPr>
                    <w:t xml:space="preserve">מטרים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תיל אווירי מבודד  במתח נמוך</w:t>
                  </w:r>
                </w:p>
              </w:tc>
              <w:tc>
                <w:tcPr>
                  <w:cnfStyle w:val="000100000000" w:firstRow="0" w:lastRow="0" w:firstColumn="0" w:lastColumn="1" w:oddVBand="0" w:evenVBand="0" w:oddHBand="0" w:evenHBand="0" w:firstRowFirstColumn="0" w:firstRowLastColumn="0" w:lastRowFirstColumn="0" w:lastRowLastColumn="0"/>
                  <w:tcW w:w="3568" w:type="dxa"/>
                </w:tcPr>
                <w:p w:rsidR="00F35D5D" w:rsidRPr="00905ACC" w:rsidRDefault="00F35D5D" w:rsidP="00E67AA3">
                  <w:pPr>
                    <w:pStyle w:val="TableBlock"/>
                    <w:rPr>
                      <w:rFonts w:ascii="Times New Roman" w:hAnsi="Times New Roman"/>
                      <w:sz w:val="26"/>
                      <w:rtl/>
                    </w:rPr>
                  </w:pPr>
                  <w:r w:rsidRPr="00905ACC">
                    <w:rPr>
                      <w:rFonts w:ascii="Times New Roman" w:hAnsi="Times New Roman" w:hint="cs"/>
                      <w:sz w:val="26"/>
                      <w:rtl/>
                    </w:rPr>
                    <w:t>0.3</w:t>
                  </w:r>
                  <w:r w:rsidR="00905ACC" w:rsidRPr="00905ACC">
                    <w:rPr>
                      <w:rFonts w:ascii="Times New Roman" w:hAnsi="Times New Roman"/>
                      <w:sz w:val="26"/>
                      <w:rtl/>
                    </w:rPr>
                    <w:t xml:space="preserve"> </w:t>
                  </w:r>
                  <w:r w:rsidR="00905ACC" w:rsidRPr="00905ACC">
                    <w:rPr>
                      <w:rFonts w:ascii="Times New Roman" w:hAnsi="Times New Roman" w:hint="cs"/>
                      <w:sz w:val="26"/>
                      <w:rtl/>
                    </w:rPr>
                    <w:t xml:space="preserve">מטר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קו מתח גבוה דו מעגלי</w:t>
                  </w:r>
                </w:p>
              </w:tc>
              <w:tc>
                <w:tcPr>
                  <w:cnfStyle w:val="000100000000" w:firstRow="0" w:lastRow="0" w:firstColumn="0" w:lastColumn="1" w:oddVBand="0" w:evenVBand="0" w:oddHBand="0" w:evenHBand="0" w:firstRowFirstColumn="0" w:firstRowLastColumn="0" w:lastRowFirstColumn="0" w:lastRowLastColumn="0"/>
                  <w:tcW w:w="3568" w:type="dxa"/>
                </w:tcPr>
                <w:p w:rsidR="00F35D5D" w:rsidRPr="00905ACC" w:rsidRDefault="00F35D5D" w:rsidP="00E67AA3">
                  <w:pPr>
                    <w:pStyle w:val="TableBlock"/>
                    <w:rPr>
                      <w:rFonts w:ascii="Times New Roman" w:hAnsi="Times New Roman"/>
                      <w:sz w:val="26"/>
                      <w:rtl/>
                    </w:rPr>
                  </w:pPr>
                  <w:r w:rsidRPr="00905ACC">
                    <w:rPr>
                      <w:rFonts w:ascii="Times New Roman" w:hAnsi="Times New Roman" w:hint="cs"/>
                      <w:sz w:val="26"/>
                      <w:rtl/>
                    </w:rPr>
                    <w:t>6</w:t>
                  </w:r>
                  <w:r w:rsidR="00905ACC" w:rsidRPr="00905ACC">
                    <w:rPr>
                      <w:rFonts w:ascii="Times New Roman" w:hAnsi="Times New Roman"/>
                      <w:sz w:val="26"/>
                      <w:rtl/>
                    </w:rPr>
                    <w:t xml:space="preserve"> </w:t>
                  </w:r>
                  <w:r w:rsidR="00905ACC" w:rsidRPr="00905ACC">
                    <w:rPr>
                      <w:rFonts w:ascii="Times New Roman" w:hAnsi="Times New Roman" w:hint="cs"/>
                      <w:sz w:val="26"/>
                      <w:rtl/>
                    </w:rPr>
                    <w:t xml:space="preserve">מטרים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תחנת השנאה חיצונית</w:t>
                  </w:r>
                </w:p>
              </w:tc>
              <w:tc>
                <w:tcPr>
                  <w:cnfStyle w:val="000100000000" w:firstRow="0" w:lastRow="0" w:firstColumn="0" w:lastColumn="1" w:oddVBand="0" w:evenVBand="0" w:oddHBand="0" w:evenHBand="0" w:firstRowFirstColumn="0" w:firstRowLastColumn="0" w:lastRowFirstColumn="0" w:lastRowLastColumn="0"/>
                  <w:tcW w:w="3568" w:type="dxa"/>
                </w:tcPr>
                <w:p w:rsidR="00E67AA3" w:rsidRDefault="00F35D5D" w:rsidP="00E67AA3">
                  <w:pPr>
                    <w:pStyle w:val="TableBlock"/>
                    <w:rPr>
                      <w:rFonts w:ascii="Times New Roman" w:hAnsi="Times New Roman"/>
                      <w:sz w:val="26"/>
                      <w:rtl/>
                    </w:rPr>
                  </w:pPr>
                  <w:r w:rsidRPr="00905ACC">
                    <w:rPr>
                      <w:rFonts w:ascii="Times New Roman" w:hAnsi="Times New Roman"/>
                      <w:sz w:val="26"/>
                      <w:rtl/>
                    </w:rPr>
                    <w:t xml:space="preserve">שנאי </w:t>
                  </w:r>
                  <w:r w:rsidRPr="00905ACC">
                    <w:rPr>
                      <w:rFonts w:ascii="Times New Roman" w:hAnsi="Times New Roman" w:hint="cs"/>
                      <w:sz w:val="26"/>
                      <w:rtl/>
                    </w:rPr>
                    <w:t xml:space="preserve">אחד - </w:t>
                  </w:r>
                  <w:r w:rsidRPr="00905ACC">
                    <w:rPr>
                      <w:rFonts w:ascii="Times New Roman" w:hAnsi="Times New Roman"/>
                      <w:sz w:val="26"/>
                      <w:rtl/>
                    </w:rPr>
                    <w:t>5 מ</w:t>
                  </w:r>
                  <w:r w:rsidRPr="00905ACC">
                    <w:rPr>
                      <w:rFonts w:ascii="Times New Roman" w:hAnsi="Times New Roman" w:hint="cs"/>
                      <w:sz w:val="26"/>
                      <w:rtl/>
                    </w:rPr>
                    <w:t>טרים</w:t>
                  </w:r>
                  <w:r w:rsidRPr="00905ACC">
                    <w:rPr>
                      <w:rFonts w:ascii="Times New Roman" w:hAnsi="Times New Roman"/>
                      <w:sz w:val="26"/>
                      <w:rtl/>
                    </w:rPr>
                    <w:t xml:space="preserve"> </w:t>
                  </w:r>
                </w:p>
                <w:p w:rsidR="00F35D5D" w:rsidRPr="00905ACC" w:rsidRDefault="00F35D5D" w:rsidP="00E67AA3">
                  <w:pPr>
                    <w:pStyle w:val="TableBlock"/>
                    <w:rPr>
                      <w:rFonts w:ascii="Times New Roman" w:hAnsi="Times New Roman"/>
                      <w:sz w:val="26"/>
                      <w:rtl/>
                    </w:rPr>
                  </w:pPr>
                  <w:r w:rsidRPr="00905ACC">
                    <w:rPr>
                      <w:rFonts w:ascii="Times New Roman" w:hAnsi="Times New Roman" w:hint="cs"/>
                      <w:sz w:val="26"/>
                      <w:rtl/>
                    </w:rPr>
                    <w:t>שני</w:t>
                  </w:r>
                  <w:r w:rsidRPr="00905ACC">
                    <w:rPr>
                      <w:rFonts w:ascii="Times New Roman" w:hAnsi="Times New Roman"/>
                      <w:sz w:val="26"/>
                      <w:rtl/>
                    </w:rPr>
                    <w:t xml:space="preserve"> שנאים </w:t>
                  </w:r>
                  <w:r w:rsidR="00905ACC">
                    <w:rPr>
                      <w:rFonts w:ascii="Times New Roman" w:hAnsi="Times New Roman" w:hint="cs"/>
                      <w:sz w:val="26"/>
                      <w:rtl/>
                    </w:rPr>
                    <w:t>-</w:t>
                  </w:r>
                  <w:r w:rsidRPr="00905ACC">
                    <w:rPr>
                      <w:rFonts w:ascii="Times New Roman" w:hAnsi="Times New Roman" w:hint="cs"/>
                      <w:sz w:val="26"/>
                      <w:rtl/>
                    </w:rPr>
                    <w:t xml:space="preserve"> 6 מטרים</w:t>
                  </w:r>
                  <w:r w:rsidRPr="00905ACC">
                    <w:rPr>
                      <w:rFonts w:ascii="Times New Roman" w:hAnsi="Times New Roman"/>
                      <w:sz w:val="26"/>
                      <w:rtl/>
                    </w:rPr>
                    <w:t xml:space="preserve">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תחנת השנאה זעירה</w:t>
                  </w:r>
                </w:p>
              </w:tc>
              <w:tc>
                <w:tcPr>
                  <w:cnfStyle w:val="000100000000" w:firstRow="0" w:lastRow="0" w:firstColumn="0" w:lastColumn="1" w:oddVBand="0" w:evenVBand="0" w:oddHBand="0" w:evenHBand="0" w:firstRowFirstColumn="0" w:firstRowLastColumn="0" w:lastRowFirstColumn="0" w:lastRowLastColumn="0"/>
                  <w:tcW w:w="3568" w:type="dxa"/>
                </w:tcPr>
                <w:p w:rsidR="00F35D5D" w:rsidRDefault="00905ACC" w:rsidP="00E67AA3">
                  <w:pPr>
                    <w:pStyle w:val="TableBlock"/>
                    <w:rPr>
                      <w:rtl/>
                    </w:rPr>
                  </w:pPr>
                  <w:r>
                    <w:rPr>
                      <w:rFonts w:hint="cs"/>
                      <w:rtl/>
                    </w:rPr>
                    <w:t xml:space="preserve">3 מטרים </w:t>
                  </w:r>
                </w:p>
              </w:tc>
            </w:tr>
            <w:tr w:rsidR="00F35D5D" w:rsidTr="000627FC">
              <w:trPr>
                <w:jc w:val="center"/>
              </w:trPr>
              <w:tc>
                <w:tcPr>
                  <w:cnfStyle w:val="001000000000" w:firstRow="0" w:lastRow="0" w:firstColumn="1" w:lastColumn="0" w:oddVBand="0" w:evenVBand="0" w:oddHBand="0" w:evenHBand="0" w:firstRowFirstColumn="0" w:firstRowLastColumn="0" w:lastRowFirstColumn="0" w:lastRowLastColumn="0"/>
                  <w:tcW w:w="3568" w:type="dxa"/>
                </w:tcPr>
                <w:p w:rsidR="00F35D5D" w:rsidRPr="00F35D5D" w:rsidRDefault="00F35D5D">
                  <w:pPr>
                    <w:pStyle w:val="TableBlock"/>
                    <w:rPr>
                      <w:rFonts w:ascii="Times New Roman" w:hAnsi="Times New Roman"/>
                      <w:sz w:val="26"/>
                      <w:rtl/>
                    </w:rPr>
                  </w:pPr>
                  <w:r w:rsidRPr="00F35D5D">
                    <w:rPr>
                      <w:rFonts w:ascii="Times New Roman" w:hAnsi="Times New Roman"/>
                      <w:sz w:val="26"/>
                      <w:rtl/>
                    </w:rPr>
                    <w:t>תחנת השנאה פנימית</w:t>
                  </w:r>
                </w:p>
              </w:tc>
              <w:tc>
                <w:tcPr>
                  <w:cnfStyle w:val="000100000000" w:firstRow="0" w:lastRow="0" w:firstColumn="0" w:lastColumn="1" w:oddVBand="0" w:evenVBand="0" w:oddHBand="0" w:evenHBand="0" w:firstRowFirstColumn="0" w:firstRowLastColumn="0" w:lastRowFirstColumn="0" w:lastRowLastColumn="0"/>
                  <w:tcW w:w="3568" w:type="dxa"/>
                </w:tcPr>
                <w:p w:rsidR="00905ACC" w:rsidRDefault="00905ACC" w:rsidP="00E67AA3">
                  <w:pPr>
                    <w:pStyle w:val="TableBlock"/>
                    <w:rPr>
                      <w:rtl/>
                    </w:rPr>
                  </w:pPr>
                  <w:r>
                    <w:rPr>
                      <w:rFonts w:hint="cs"/>
                      <w:rtl/>
                    </w:rPr>
                    <w:t xml:space="preserve">שנאי אחד - </w:t>
                  </w:r>
                  <w:r>
                    <w:rPr>
                      <w:rtl/>
                    </w:rPr>
                    <w:t>3 מ</w:t>
                  </w:r>
                  <w:r>
                    <w:rPr>
                      <w:rFonts w:hint="cs"/>
                      <w:rtl/>
                    </w:rPr>
                    <w:t>טרים</w:t>
                  </w:r>
                  <w:r>
                    <w:rPr>
                      <w:rtl/>
                    </w:rPr>
                    <w:t xml:space="preserve"> </w:t>
                  </w:r>
                </w:p>
                <w:p w:rsidR="00E67AA3" w:rsidRDefault="00905ACC" w:rsidP="00E67AA3">
                  <w:pPr>
                    <w:pStyle w:val="TableBlock"/>
                    <w:rPr>
                      <w:rtl/>
                    </w:rPr>
                  </w:pPr>
                  <w:r>
                    <w:rPr>
                      <w:rFonts w:hint="cs"/>
                      <w:rtl/>
                    </w:rPr>
                    <w:t>שני שנאים</w:t>
                  </w:r>
                  <w:r>
                    <w:rPr>
                      <w:rtl/>
                    </w:rPr>
                    <w:t xml:space="preserve"> </w:t>
                  </w:r>
                  <w:r>
                    <w:rPr>
                      <w:rFonts w:hint="cs"/>
                      <w:rtl/>
                    </w:rPr>
                    <w:t xml:space="preserve">- </w:t>
                  </w:r>
                  <w:r>
                    <w:rPr>
                      <w:rtl/>
                    </w:rPr>
                    <w:t>5 מ</w:t>
                  </w:r>
                  <w:r>
                    <w:rPr>
                      <w:rFonts w:hint="cs"/>
                      <w:rtl/>
                    </w:rPr>
                    <w:t>טרים</w:t>
                  </w:r>
                  <w:r>
                    <w:rPr>
                      <w:rtl/>
                    </w:rPr>
                    <w:t xml:space="preserve"> </w:t>
                  </w:r>
                </w:p>
                <w:p w:rsidR="00F35D5D" w:rsidRDefault="00905ACC" w:rsidP="00E67AA3">
                  <w:pPr>
                    <w:pStyle w:val="TableBlock"/>
                    <w:rPr>
                      <w:rtl/>
                    </w:rPr>
                  </w:pPr>
                  <w:r>
                    <w:rPr>
                      <w:rFonts w:hint="cs"/>
                      <w:rtl/>
                    </w:rPr>
                    <w:t xml:space="preserve">שלושה </w:t>
                  </w:r>
                  <w:r>
                    <w:rPr>
                      <w:rtl/>
                    </w:rPr>
                    <w:t xml:space="preserve">שנאים </w:t>
                  </w:r>
                  <w:r>
                    <w:rPr>
                      <w:rFonts w:hint="cs"/>
                      <w:rtl/>
                    </w:rPr>
                    <w:t xml:space="preserve">- </w:t>
                  </w:r>
                  <w:r>
                    <w:rPr>
                      <w:rtl/>
                    </w:rPr>
                    <w:t>6 מ</w:t>
                  </w:r>
                  <w:r>
                    <w:rPr>
                      <w:rFonts w:hint="cs"/>
                      <w:rtl/>
                    </w:rPr>
                    <w:t>טרים</w:t>
                  </w:r>
                  <w:r>
                    <w:rPr>
                      <w:rtl/>
                    </w:rPr>
                    <w:t xml:space="preserve"> </w:t>
                  </w:r>
                </w:p>
              </w:tc>
            </w:tr>
          </w:tbl>
          <w:p w:rsidR="000627FC" w:rsidRPr="00C34DE2" w:rsidRDefault="000627FC">
            <w:pPr>
              <w:pStyle w:val="TableBlock"/>
            </w:pPr>
          </w:p>
        </w:tc>
      </w:tr>
    </w:tbl>
    <w:p w:rsidR="00AA7EC0" w:rsidRDefault="00AA7EC0" w:rsidP="00722C14"/>
    <w:p w:rsidR="00AA7EC0" w:rsidRDefault="00AA7EC0" w:rsidP="00722C14">
      <w:pPr>
        <w:rPr>
          <w:rtl/>
        </w:rPr>
      </w:pPr>
    </w:p>
    <w:p w:rsidR="00AA7EC0" w:rsidRDefault="00AA7EC0" w:rsidP="00722C14">
      <w:pPr>
        <w:rPr>
          <w:rFonts w:eastAsia="Calibri"/>
          <w:rtl/>
        </w:rPr>
      </w:pPr>
      <w:r>
        <w:rPr>
          <w:rFonts w:eastAsia="Calibri" w:hint="cs"/>
          <w:rtl/>
        </w:rPr>
        <w:t>___ ב________ התש_______ (___ ב________ ____20)</w:t>
      </w:r>
    </w:p>
    <w:p w:rsidR="00AA7EC0" w:rsidRDefault="00AA7EC0" w:rsidP="00722C14">
      <w:pPr>
        <w:rPr>
          <w:rFonts w:eastAsia="Calibri"/>
          <w:rtl/>
        </w:rPr>
      </w:pPr>
      <w:r>
        <w:rPr>
          <w:rFonts w:eastAsia="Calibri" w:hint="cs"/>
          <w:rtl/>
        </w:rPr>
        <w:t>[תאריך עברי] ([תאריך לועזי])</w:t>
      </w:r>
    </w:p>
    <w:p w:rsidR="00AA7EC0" w:rsidRDefault="00AA7EC0" w:rsidP="00722C14">
      <w:pPr>
        <w:rPr>
          <w:rtl/>
        </w:rPr>
      </w:pPr>
      <w:r>
        <w:rPr>
          <w:rFonts w:hint="cs"/>
          <w:rtl/>
        </w:rPr>
        <w:t>(</w:t>
      </w:r>
      <w:proofErr w:type="spellStart"/>
      <w:r>
        <w:rPr>
          <w:rFonts w:hint="cs"/>
          <w:rtl/>
        </w:rPr>
        <w:t>חמ</w:t>
      </w:r>
      <w:proofErr w:type="spellEnd"/>
      <w:r>
        <w:rPr>
          <w:rFonts w:hint="cs"/>
          <w:rtl/>
        </w:rPr>
        <w:t xml:space="preserve"> _____-3)</w:t>
      </w:r>
    </w:p>
    <w:p w:rsidR="00AA7EC0" w:rsidRDefault="00AA7EC0" w:rsidP="00722C14">
      <w:pPr>
        <w:rPr>
          <w:rtl/>
        </w:rPr>
      </w:pPr>
    </w:p>
    <w:p w:rsidR="00AA7EC0" w:rsidRDefault="00AA7EC0" w:rsidP="00722C14">
      <w:pPr>
        <w:ind w:left="5760"/>
        <w:jc w:val="center"/>
        <w:rPr>
          <w:rtl/>
        </w:rPr>
      </w:pPr>
      <w:r>
        <w:rPr>
          <w:rFonts w:hint="cs"/>
          <w:rtl/>
        </w:rPr>
        <w:t>__________________[חתימה]</w:t>
      </w:r>
    </w:p>
    <w:p w:rsidR="00AA7EC0" w:rsidRDefault="00AA7EC0" w:rsidP="00722C14">
      <w:pPr>
        <w:ind w:left="5760"/>
        <w:jc w:val="center"/>
        <w:rPr>
          <w:rtl/>
        </w:rPr>
      </w:pPr>
      <w:r>
        <w:rPr>
          <w:rFonts w:hint="cs"/>
          <w:rtl/>
        </w:rPr>
        <w:t>[שם מלא של המתקין]</w:t>
      </w:r>
    </w:p>
    <w:p w:rsidR="00AA7EC0" w:rsidRDefault="00AA7EC0" w:rsidP="00722C14">
      <w:pPr>
        <w:ind w:left="5760"/>
        <w:jc w:val="center"/>
        <w:rPr>
          <w:rtl/>
        </w:rPr>
      </w:pPr>
      <w:r>
        <w:rPr>
          <w:rFonts w:hint="cs"/>
          <w:rtl/>
        </w:rPr>
        <w:t>[התפקיד שמכוחו מתקין]</w:t>
      </w:r>
    </w:p>
    <w:p w:rsidR="00AA7EC0" w:rsidRDefault="00AA7EC0" w:rsidP="00722C14">
      <w:pPr>
        <w:rPr>
          <w:rtl/>
        </w:rPr>
      </w:pPr>
    </w:p>
    <w:p w:rsidR="00114DE3" w:rsidRDefault="00114DE3" w:rsidP="00722C14">
      <w:pPr>
        <w:pStyle w:val="HeadDivreiHesber"/>
        <w:rPr>
          <w:rtl/>
        </w:rPr>
      </w:pPr>
    </w:p>
    <w:p w:rsidR="00114DE3" w:rsidRDefault="00114DE3" w:rsidP="00722C14">
      <w:pPr>
        <w:pStyle w:val="HeadDivreiHesber"/>
        <w:rPr>
          <w:rtl/>
        </w:rPr>
      </w:pPr>
    </w:p>
    <w:p w:rsidR="00AA7EC0" w:rsidRDefault="00AA7EC0" w:rsidP="00722C14">
      <w:pPr>
        <w:pStyle w:val="HeadDivreiHesber"/>
        <w:rPr>
          <w:rtl/>
        </w:rPr>
      </w:pPr>
      <w:r>
        <w:rPr>
          <w:rtl/>
        </w:rPr>
        <w:t>דברי הסבר</w:t>
      </w:r>
    </w:p>
    <w:p w:rsidR="00555724" w:rsidRDefault="00F345F0" w:rsidP="00555724">
      <w:pPr>
        <w:pStyle w:val="Hesber1st"/>
        <w:tabs>
          <w:tab w:val="clear" w:pos="680"/>
        </w:tabs>
        <w:rPr>
          <w:rtl/>
        </w:rPr>
      </w:pPr>
      <w:r>
        <w:rPr>
          <w:rFonts w:hint="cs"/>
          <w:rtl/>
        </w:rPr>
        <w:t>מתקני חשמל</w:t>
      </w:r>
      <w:r w:rsidR="001A6D66">
        <w:rPr>
          <w:rFonts w:hint="cs"/>
          <w:rtl/>
        </w:rPr>
        <w:t>,</w:t>
      </w:r>
      <w:r>
        <w:rPr>
          <w:rFonts w:hint="cs"/>
          <w:rtl/>
        </w:rPr>
        <w:t xml:space="preserve"> ובהם מתקנים לייצור חשמל</w:t>
      </w:r>
      <w:r w:rsidR="00C77579">
        <w:rPr>
          <w:rFonts w:hint="cs"/>
          <w:rtl/>
        </w:rPr>
        <w:t>,</w:t>
      </w:r>
      <w:r>
        <w:rPr>
          <w:rFonts w:hint="cs"/>
          <w:rtl/>
        </w:rPr>
        <w:t xml:space="preserve"> כגון תחנות </w:t>
      </w:r>
      <w:proofErr w:type="spellStart"/>
      <w:r>
        <w:rPr>
          <w:rFonts w:hint="cs"/>
          <w:rtl/>
        </w:rPr>
        <w:t>כח</w:t>
      </w:r>
      <w:proofErr w:type="spellEnd"/>
      <w:r>
        <w:rPr>
          <w:rFonts w:hint="cs"/>
          <w:rtl/>
        </w:rPr>
        <w:t>, מתקנים להולכה ולחלוקה של חשמל</w:t>
      </w:r>
      <w:r w:rsidR="00C77579">
        <w:rPr>
          <w:rFonts w:hint="cs"/>
          <w:rtl/>
        </w:rPr>
        <w:t>,</w:t>
      </w:r>
      <w:r>
        <w:rPr>
          <w:rFonts w:hint="cs"/>
          <w:rtl/>
        </w:rPr>
        <w:t xml:space="preserve"> וב</w:t>
      </w:r>
      <w:r w:rsidR="00555724">
        <w:rPr>
          <w:rFonts w:hint="cs"/>
          <w:rtl/>
        </w:rPr>
        <w:t>כלל זה</w:t>
      </w:r>
      <w:r>
        <w:rPr>
          <w:rFonts w:hint="cs"/>
          <w:rtl/>
        </w:rPr>
        <w:t xml:space="preserve"> קווי מתח של 400 קילו וולט ו</w:t>
      </w:r>
      <w:r w:rsidR="00C77579">
        <w:rPr>
          <w:rFonts w:hint="cs"/>
          <w:rtl/>
        </w:rPr>
        <w:t>-</w:t>
      </w:r>
      <w:r>
        <w:rPr>
          <w:rFonts w:hint="cs"/>
          <w:rtl/>
        </w:rPr>
        <w:t xml:space="preserve">161 </w:t>
      </w:r>
      <w:proofErr w:type="spellStart"/>
      <w:r>
        <w:rPr>
          <w:rFonts w:hint="cs"/>
          <w:rtl/>
        </w:rPr>
        <w:t>קילווולט</w:t>
      </w:r>
      <w:proofErr w:type="spellEnd"/>
      <w:r>
        <w:rPr>
          <w:rFonts w:hint="cs"/>
          <w:rtl/>
        </w:rPr>
        <w:t xml:space="preserve">, שנאים וקווי חלוקת חשמל </w:t>
      </w:r>
      <w:r w:rsidR="00555724">
        <w:rPr>
          <w:rFonts w:hint="cs"/>
          <w:rtl/>
        </w:rPr>
        <w:t xml:space="preserve">הם מקורות קרינה </w:t>
      </w:r>
      <w:r w:rsidR="00555724">
        <w:rPr>
          <w:rFonts w:hint="cs"/>
          <w:rtl/>
        </w:rPr>
        <w:lastRenderedPageBreak/>
        <w:t>שהקמתם והפעלתם טעונות היתר על פי חוק הקרינה הבלתי מייננת.</w:t>
      </w:r>
    </w:p>
    <w:p w:rsidR="00AA7EC0" w:rsidRDefault="00555724" w:rsidP="00FC33F2">
      <w:pPr>
        <w:pStyle w:val="Hesber1st"/>
        <w:tabs>
          <w:tab w:val="clear" w:pos="680"/>
        </w:tabs>
        <w:rPr>
          <w:rtl/>
        </w:rPr>
      </w:pPr>
      <w:r>
        <w:rPr>
          <w:rFonts w:hint="cs"/>
          <w:rtl/>
        </w:rPr>
        <w:t>מתקני חשמל כאמור</w:t>
      </w:r>
      <w:r w:rsidR="00114DE3">
        <w:rPr>
          <w:rFonts w:hint="cs"/>
          <w:rtl/>
        </w:rPr>
        <w:t>,</w:t>
      </w:r>
      <w:r>
        <w:rPr>
          <w:rFonts w:hint="cs"/>
          <w:rtl/>
        </w:rPr>
        <w:t xml:space="preserve"> </w:t>
      </w:r>
      <w:r w:rsidR="00F345F0">
        <w:rPr>
          <w:rFonts w:hint="cs"/>
          <w:rtl/>
        </w:rPr>
        <w:t>מייצרים סביבם</w:t>
      </w:r>
      <w:r w:rsidR="008C4D74">
        <w:rPr>
          <w:rFonts w:hint="cs"/>
          <w:rtl/>
        </w:rPr>
        <w:t xml:space="preserve"> קרינה המורכבת</w:t>
      </w:r>
      <w:r w:rsidR="00F345F0">
        <w:rPr>
          <w:rFonts w:hint="cs"/>
          <w:rtl/>
        </w:rPr>
        <w:t xml:space="preserve"> </w:t>
      </w:r>
      <w:r w:rsidR="008C4D74">
        <w:rPr>
          <w:rFonts w:hint="cs"/>
          <w:rtl/>
        </w:rPr>
        <w:t>מ</w:t>
      </w:r>
      <w:r w:rsidR="00F345F0">
        <w:rPr>
          <w:rFonts w:hint="cs"/>
          <w:rtl/>
        </w:rPr>
        <w:t>שדה מגנטי ו</w:t>
      </w:r>
      <w:r w:rsidR="008C4D74">
        <w:rPr>
          <w:rFonts w:hint="cs"/>
          <w:rtl/>
        </w:rPr>
        <w:t>מ</w:t>
      </w:r>
      <w:r w:rsidR="00F345F0">
        <w:rPr>
          <w:rFonts w:hint="cs"/>
          <w:rtl/>
        </w:rPr>
        <w:t>שדה חשמלי. השדה החשמלי יכול לגרום להתחשמלות, שניתן למנוע בקלות יחסית באמצעות חומרים מבודדים, ו</w:t>
      </w:r>
      <w:r w:rsidR="00114DE3">
        <w:rPr>
          <w:rFonts w:hint="cs"/>
          <w:rtl/>
        </w:rPr>
        <w:t xml:space="preserve">אילו </w:t>
      </w:r>
      <w:r w:rsidR="00F345F0">
        <w:rPr>
          <w:rFonts w:hint="cs"/>
          <w:rtl/>
        </w:rPr>
        <w:t xml:space="preserve">השדה המגנטי </w:t>
      </w:r>
      <w:r w:rsidR="00FC33F2">
        <w:rPr>
          <w:rFonts w:hint="cs"/>
          <w:rtl/>
        </w:rPr>
        <w:t>בתדרי רשת החשמל נקבע כמסרטן אפשרי על ידי ארגון הבריאות העולמי בשנת 2002. ניתן לצמצם את השדה המגנטי באמצעים שונים וכן לצמצם את החשיפה לשדה המגנטי בעיקר בדרך של הגדלת המרחק ממקור השדה או באמצעות שימוש בחומרים שעוצרים את התפשטותו.</w:t>
      </w:r>
    </w:p>
    <w:p w:rsidR="00E83B44" w:rsidRDefault="00FC33F2" w:rsidP="00062513">
      <w:pPr>
        <w:pStyle w:val="Hesber1st"/>
        <w:tabs>
          <w:tab w:val="clear" w:pos="680"/>
        </w:tabs>
        <w:rPr>
          <w:rtl/>
        </w:rPr>
      </w:pPr>
      <w:r>
        <w:rPr>
          <w:rFonts w:hint="cs"/>
          <w:rtl/>
        </w:rPr>
        <w:t xml:space="preserve">לחשיפה לשדה מגנטי </w:t>
      </w:r>
      <w:r w:rsidR="00062513">
        <w:rPr>
          <w:rFonts w:hint="cs"/>
          <w:rtl/>
        </w:rPr>
        <w:t xml:space="preserve">בעוצמה גבוהה עלולות להיות </w:t>
      </w:r>
      <w:r>
        <w:rPr>
          <w:rFonts w:hint="cs"/>
          <w:rtl/>
        </w:rPr>
        <w:t xml:space="preserve">השפעות </w:t>
      </w:r>
      <w:r w:rsidR="00062513">
        <w:rPr>
          <w:rFonts w:hint="cs"/>
          <w:rtl/>
        </w:rPr>
        <w:t>על בני האדם</w:t>
      </w:r>
      <w:r>
        <w:rPr>
          <w:rFonts w:hint="cs"/>
          <w:rtl/>
        </w:rPr>
        <w:t>, ובהן שיבוש פעולת השרירים, לרבות שריר הלב, והשפעות ארוכות טווח, ובהן תחלואה מוגברת בלוקמיה בקרב ילדים.</w:t>
      </w:r>
      <w:r w:rsidR="002D0489">
        <w:rPr>
          <w:rFonts w:hint="cs"/>
          <w:rtl/>
        </w:rPr>
        <w:t xml:space="preserve"> </w:t>
      </w:r>
    </w:p>
    <w:p w:rsidR="00362927" w:rsidRDefault="00362927" w:rsidP="0033490B">
      <w:pPr>
        <w:pStyle w:val="Hesber"/>
        <w:rPr>
          <w:rtl/>
        </w:rPr>
      </w:pPr>
      <w:r>
        <w:rPr>
          <w:rFonts w:hint="cs"/>
          <w:rtl/>
        </w:rPr>
        <w:t>בשנת 2005, פורסם דוח ועדת המומחים לעניין שד</w:t>
      </w:r>
      <w:r w:rsidR="00062513">
        <w:rPr>
          <w:rFonts w:hint="cs"/>
          <w:rtl/>
        </w:rPr>
        <w:t>ו</w:t>
      </w:r>
      <w:r>
        <w:rPr>
          <w:rFonts w:hint="cs"/>
          <w:rtl/>
        </w:rPr>
        <w:t xml:space="preserve">ת מגנטיים מרשת החשמל. הדוח חובר על ידי ועדה בה היו חברים מומחים בתחום הקרינה הבלתי מייננת, לרבות נציגים של המשרד להגנת הסביבה, משרד האנרגיה, משרד הבריאות, חברת החשמל ונציגי אקדמיה ומכוני מחקר. הועדה פעלה לריכוז ידע קיים בתחום </w:t>
      </w:r>
      <w:r w:rsidR="00BA7C99">
        <w:rPr>
          <w:rFonts w:hint="cs"/>
          <w:rtl/>
        </w:rPr>
        <w:t>ה</w:t>
      </w:r>
      <w:r>
        <w:rPr>
          <w:rFonts w:hint="cs"/>
          <w:rtl/>
        </w:rPr>
        <w:t>קרינה ממתקני חשמל והשפעתה האפשרית על בריאות האדם. במסגרת הדוח, ניתנו המלצות באשר ליישום עיקרון הזהירות המונעת בעת תכנון, הקמה והפעלה של מתקני חשמל חדשים וכן לגבי מתקני חשמל קיימים.</w:t>
      </w:r>
    </w:p>
    <w:p w:rsidR="00FC33F2" w:rsidRDefault="00E83B44" w:rsidP="005162DE">
      <w:pPr>
        <w:pStyle w:val="Hesber"/>
        <w:rPr>
          <w:rtl/>
        </w:rPr>
      </w:pPr>
      <w:r>
        <w:rPr>
          <w:rFonts w:hint="cs"/>
          <w:rtl/>
        </w:rPr>
        <w:t>מאז כניסת חוק הקרינה הבלתי מייננת לתוקף, החלטות של הממונה בעניינים הנוגעים למשק החשמל נעשו בהתאם להמלצות שב</w:t>
      </w:r>
      <w:r w:rsidR="002D0489" w:rsidRPr="00E83B44">
        <w:rPr>
          <w:rFonts w:hint="cs"/>
          <w:rtl/>
        </w:rPr>
        <w:t>דוח ועדת המומחים</w:t>
      </w:r>
      <w:r>
        <w:rPr>
          <w:rFonts w:hint="cs"/>
          <w:rtl/>
        </w:rPr>
        <w:t xml:space="preserve">, וזאת על פי האמור בסעיף 26 (ב) לחוק </w:t>
      </w:r>
      <w:r w:rsidR="00283631">
        <w:rPr>
          <w:rFonts w:hint="cs"/>
          <w:rtl/>
        </w:rPr>
        <w:t>:</w:t>
      </w:r>
      <w:r w:rsidR="00715D93">
        <w:rPr>
          <w:rFonts w:hint="cs"/>
          <w:rtl/>
        </w:rPr>
        <w:t xml:space="preserve"> </w:t>
      </w:r>
    </w:p>
    <w:p w:rsidR="00715D93" w:rsidRPr="00715D93" w:rsidRDefault="00715D93" w:rsidP="00715D93">
      <w:pPr>
        <w:pStyle w:val="Hesber"/>
        <w:rPr>
          <w:rtl/>
        </w:rPr>
      </w:pPr>
      <w:r w:rsidRPr="00715D93">
        <w:rPr>
          <w:rFonts w:hint="cs"/>
          <w:rtl/>
        </w:rPr>
        <w:t xml:space="preserve">"26 </w:t>
      </w:r>
      <w:r w:rsidRPr="00715D93">
        <w:rPr>
          <w:rtl/>
        </w:rPr>
        <w:t>(ב)</w:t>
      </w:r>
      <w:r w:rsidRPr="00715D93">
        <w:rPr>
          <w:rFonts w:hint="cs"/>
          <w:rtl/>
        </w:rPr>
        <w:tab/>
      </w:r>
      <w:r w:rsidRPr="00715D93">
        <w:rPr>
          <w:rtl/>
        </w:rPr>
        <w:t>לא הותקנו תקנות כאמור בסעיף קטן (א) בענ</w:t>
      </w:r>
      <w:r w:rsidR="00A72D4A">
        <w:rPr>
          <w:rFonts w:hint="cs"/>
          <w:rtl/>
        </w:rPr>
        <w:t>י</w:t>
      </w:r>
      <w:r w:rsidRPr="00715D93">
        <w:rPr>
          <w:rtl/>
        </w:rPr>
        <w:t>ינים הנוגעים למשק החשמל, עד יום תחילתו של חוק זה, יחולו ההוראות המפורטות להלן עד להתקנת התקנות האמורות:</w:t>
      </w:r>
    </w:p>
    <w:p w:rsidR="00715D93" w:rsidRDefault="00715D93" w:rsidP="00715D93">
      <w:pPr>
        <w:pStyle w:val="Hesber"/>
        <w:rPr>
          <w:rtl/>
        </w:rPr>
      </w:pPr>
      <w:r w:rsidRPr="00715D93">
        <w:rPr>
          <w:rtl/>
        </w:rPr>
        <w:t>(1)</w:t>
      </w:r>
      <w:r w:rsidRPr="00715D93">
        <w:rPr>
          <w:rFonts w:hint="cs"/>
          <w:rtl/>
        </w:rPr>
        <w:tab/>
      </w:r>
      <w:r w:rsidRPr="00715D93">
        <w:rPr>
          <w:rtl/>
        </w:rPr>
        <w:t xml:space="preserve">החלטת ממונה לפי סעיפים </w:t>
      </w:r>
      <w:r w:rsidRPr="00715D93">
        <w:rPr>
          <w:rFonts w:hint="cs"/>
          <w:rtl/>
        </w:rPr>
        <w:t>3, 10</w:t>
      </w:r>
      <w:r w:rsidRPr="00715D93">
        <w:rPr>
          <w:rtl/>
        </w:rPr>
        <w:t xml:space="preserve"> או 11, בעני</w:t>
      </w:r>
      <w:r w:rsidR="00A72D4A">
        <w:rPr>
          <w:rFonts w:hint="cs"/>
          <w:rtl/>
        </w:rPr>
        <w:t>י</w:t>
      </w:r>
      <w:r w:rsidRPr="00715D93">
        <w:rPr>
          <w:rtl/>
        </w:rPr>
        <w:t>נים הנוגעים למשק החשמל,</w:t>
      </w:r>
      <w:r w:rsidRPr="00715D93">
        <w:rPr>
          <w:rFonts w:hint="cs"/>
          <w:rtl/>
        </w:rPr>
        <w:t xml:space="preserve"> </w:t>
      </w:r>
      <w:r w:rsidRPr="00715D93">
        <w:rPr>
          <w:rtl/>
        </w:rPr>
        <w:t>תהיה בהתאם להמלצות שבדוח ועדת המומחים, ואולם החלטה כאמור בענ</w:t>
      </w:r>
      <w:r w:rsidR="00A72D4A">
        <w:rPr>
          <w:rFonts w:hint="cs"/>
          <w:rtl/>
        </w:rPr>
        <w:t>י</w:t>
      </w:r>
      <w:r w:rsidRPr="00715D93">
        <w:rPr>
          <w:rtl/>
        </w:rPr>
        <w:t>ינים</w:t>
      </w:r>
      <w:r w:rsidRPr="00715D93">
        <w:rPr>
          <w:rFonts w:hint="cs"/>
          <w:rtl/>
        </w:rPr>
        <w:t xml:space="preserve"> </w:t>
      </w:r>
      <w:r w:rsidRPr="00715D93">
        <w:rPr>
          <w:rtl/>
        </w:rPr>
        <w:t>בעלי השפעה על עלויות למשק החשמל, שניתנה לגביהם הודעה בכתב לממונה,</w:t>
      </w:r>
      <w:r w:rsidRPr="00715D93">
        <w:rPr>
          <w:rFonts w:hint="cs"/>
          <w:rtl/>
        </w:rPr>
        <w:t xml:space="preserve"> </w:t>
      </w:r>
      <w:r w:rsidRPr="00715D93">
        <w:rPr>
          <w:rtl/>
        </w:rPr>
        <w:t>מאת השר או שר התשתיות הלאומיות, טעונה אישור בכתב ומראש מאת השר,</w:t>
      </w:r>
      <w:r w:rsidRPr="00715D93">
        <w:rPr>
          <w:rFonts w:hint="cs"/>
          <w:rtl/>
        </w:rPr>
        <w:t xml:space="preserve"> </w:t>
      </w:r>
      <w:r w:rsidRPr="00715D93">
        <w:rPr>
          <w:rtl/>
        </w:rPr>
        <w:t>שר התשתיות הלאומיות ושר האוצר; בפסקה זו, "דוח ועדת המומחים" – דוח</w:t>
      </w:r>
      <w:r w:rsidRPr="00715D93">
        <w:rPr>
          <w:rFonts w:hint="cs"/>
          <w:rtl/>
        </w:rPr>
        <w:t xml:space="preserve"> </w:t>
      </w:r>
      <w:r w:rsidRPr="00715D93">
        <w:rPr>
          <w:rtl/>
        </w:rPr>
        <w:t xml:space="preserve">ועדת המומחים </w:t>
      </w:r>
      <w:proofErr w:type="spellStart"/>
      <w:r w:rsidRPr="00715D93">
        <w:rPr>
          <w:rtl/>
        </w:rPr>
        <w:t>לענין</w:t>
      </w:r>
      <w:proofErr w:type="spellEnd"/>
      <w:r w:rsidRPr="00715D93">
        <w:rPr>
          <w:rtl/>
        </w:rPr>
        <w:t xml:space="preserve"> שדות מגנטיים מרשת החשמל המפורסם באתר האינטרנט של המשרד לאיכות הסביבה;</w:t>
      </w:r>
      <w:r w:rsidRPr="00715D93">
        <w:rPr>
          <w:rFonts w:hint="cs"/>
          <w:rtl/>
        </w:rPr>
        <w:t>"</w:t>
      </w:r>
    </w:p>
    <w:p w:rsidR="00CB088A" w:rsidRDefault="00FC33F2" w:rsidP="00CB088A">
      <w:pPr>
        <w:pStyle w:val="Hesber"/>
        <w:rPr>
          <w:rtl/>
        </w:rPr>
      </w:pPr>
      <w:r>
        <w:rPr>
          <w:rFonts w:hint="cs"/>
          <w:rtl/>
        </w:rPr>
        <w:t xml:space="preserve">במסגרת </w:t>
      </w:r>
      <w:r w:rsidR="00362927">
        <w:rPr>
          <w:rFonts w:hint="cs"/>
          <w:rtl/>
        </w:rPr>
        <w:t xml:space="preserve">התקנות המוצעות, </w:t>
      </w:r>
      <w:r>
        <w:rPr>
          <w:rFonts w:hint="cs"/>
          <w:rtl/>
        </w:rPr>
        <w:t>מוצע</w:t>
      </w:r>
      <w:r w:rsidR="00555724">
        <w:rPr>
          <w:rFonts w:hint="cs"/>
          <w:rtl/>
        </w:rPr>
        <w:t xml:space="preserve"> לאמץ את עיקרי ההמלצות שבדוח ועדת המומחים -</w:t>
      </w:r>
      <w:r>
        <w:rPr>
          <w:rFonts w:hint="cs"/>
          <w:rtl/>
        </w:rPr>
        <w:t xml:space="preserve"> לקבוע סף חשיפה </w:t>
      </w:r>
      <w:r w:rsidR="00A35AEB">
        <w:rPr>
          <w:rFonts w:hint="cs"/>
          <w:rtl/>
        </w:rPr>
        <w:t>לגבי שה</w:t>
      </w:r>
      <w:r w:rsidR="0092637D">
        <w:rPr>
          <w:rFonts w:hint="cs"/>
          <w:rtl/>
        </w:rPr>
        <w:t>י</w:t>
      </w:r>
      <w:r w:rsidR="00A35AEB">
        <w:rPr>
          <w:rFonts w:hint="cs"/>
          <w:rtl/>
        </w:rPr>
        <w:t>יה קצרת מועד בקרבת מתקן חשמל, ולגבי חשיפה ממושכת, מוצע לקבוע סדרה של אמצעים שיש לנקוט לשם צמצומה, ותקציבים שעל הגורמים העוסקים בהקמה ובהפעלה של מתקני חשמל להקצות לשם כך.</w:t>
      </w:r>
    </w:p>
    <w:p w:rsidR="00CB088A" w:rsidRDefault="00A06EAB" w:rsidP="00955707">
      <w:pPr>
        <w:pStyle w:val="Hesber1st"/>
        <w:tabs>
          <w:tab w:val="clear" w:pos="680"/>
        </w:tabs>
        <w:rPr>
          <w:rtl/>
        </w:rPr>
      </w:pPr>
      <w:r w:rsidRPr="00CB088A">
        <w:rPr>
          <w:rFonts w:hint="cs"/>
          <w:b/>
          <w:bCs/>
          <w:rtl/>
        </w:rPr>
        <w:t>הוספת תקנה 4א</w:t>
      </w:r>
      <w:r w:rsidR="00CB088A">
        <w:rPr>
          <w:rtl/>
        </w:rPr>
        <w:tab/>
      </w:r>
      <w:r w:rsidR="00CB088A" w:rsidRPr="00B6544C">
        <w:rPr>
          <w:rFonts w:hint="eastAsia"/>
          <w:rtl/>
        </w:rPr>
        <w:t>מוצע</w:t>
      </w:r>
      <w:r w:rsidR="00CB088A" w:rsidRPr="00B6544C">
        <w:rPr>
          <w:rtl/>
        </w:rPr>
        <w:t xml:space="preserve"> </w:t>
      </w:r>
      <w:r w:rsidR="00CB088A" w:rsidRPr="00B6544C">
        <w:rPr>
          <w:rFonts w:hint="eastAsia"/>
          <w:rtl/>
        </w:rPr>
        <w:t>להגדיר</w:t>
      </w:r>
      <w:r w:rsidR="00CB088A" w:rsidRPr="00B6544C">
        <w:rPr>
          <w:rtl/>
        </w:rPr>
        <w:t xml:space="preserve"> </w:t>
      </w:r>
      <w:r w:rsidR="00CB088A" w:rsidRPr="00B6544C">
        <w:rPr>
          <w:rFonts w:hint="eastAsia"/>
          <w:rtl/>
        </w:rPr>
        <w:t>מונחים</w:t>
      </w:r>
      <w:r w:rsidR="00CB088A" w:rsidRPr="00B6544C">
        <w:rPr>
          <w:rtl/>
        </w:rPr>
        <w:t xml:space="preserve"> </w:t>
      </w:r>
      <w:r w:rsidR="00CB088A" w:rsidRPr="00B6544C">
        <w:rPr>
          <w:rFonts w:hint="eastAsia"/>
          <w:rtl/>
        </w:rPr>
        <w:t>שונים</w:t>
      </w:r>
      <w:r w:rsidR="00CB088A" w:rsidRPr="00B6544C">
        <w:rPr>
          <w:rtl/>
        </w:rPr>
        <w:t xml:space="preserve"> </w:t>
      </w:r>
      <w:r w:rsidR="00CB088A" w:rsidRPr="00B6544C">
        <w:rPr>
          <w:rFonts w:hint="eastAsia"/>
          <w:rtl/>
        </w:rPr>
        <w:t>ב</w:t>
      </w:r>
      <w:r w:rsidR="00CB088A">
        <w:rPr>
          <w:rFonts w:hint="cs"/>
          <w:rtl/>
        </w:rPr>
        <w:t>תקנות</w:t>
      </w:r>
      <w:r w:rsidR="00CB088A" w:rsidRPr="00B6544C">
        <w:rPr>
          <w:rtl/>
        </w:rPr>
        <w:t xml:space="preserve"> </w:t>
      </w:r>
      <w:r w:rsidR="00CB088A" w:rsidRPr="00B6544C">
        <w:rPr>
          <w:rFonts w:hint="eastAsia"/>
          <w:rtl/>
        </w:rPr>
        <w:t>המוצע</w:t>
      </w:r>
      <w:r w:rsidR="00CB088A">
        <w:rPr>
          <w:rFonts w:hint="cs"/>
          <w:rtl/>
        </w:rPr>
        <w:t>ות</w:t>
      </w:r>
      <w:r w:rsidR="00CB088A" w:rsidRPr="00B6544C">
        <w:rPr>
          <w:rtl/>
        </w:rPr>
        <w:t xml:space="preserve">, </w:t>
      </w:r>
      <w:r w:rsidR="00CB088A" w:rsidRPr="00B6544C">
        <w:rPr>
          <w:rFonts w:hint="eastAsia"/>
          <w:rtl/>
        </w:rPr>
        <w:t>ובהם</w:t>
      </w:r>
      <w:r w:rsidR="00CB088A" w:rsidRPr="00B6544C">
        <w:rPr>
          <w:rtl/>
        </w:rPr>
        <w:t xml:space="preserve"> </w:t>
      </w:r>
      <w:r w:rsidR="00CB088A" w:rsidRPr="00B6544C">
        <w:rPr>
          <w:rFonts w:hint="eastAsia"/>
          <w:rtl/>
        </w:rPr>
        <w:t>המונחים</w:t>
      </w:r>
      <w:r w:rsidR="00CB088A" w:rsidRPr="00B6544C">
        <w:rPr>
          <w:rtl/>
        </w:rPr>
        <w:t xml:space="preserve"> </w:t>
      </w:r>
      <w:r w:rsidR="00CB088A" w:rsidRPr="00B6544C">
        <w:rPr>
          <w:rFonts w:hint="eastAsia"/>
          <w:rtl/>
        </w:rPr>
        <w:t>האלה</w:t>
      </w:r>
      <w:r w:rsidR="00CB088A" w:rsidRPr="00B6544C">
        <w:rPr>
          <w:rtl/>
        </w:rPr>
        <w:t>:</w:t>
      </w:r>
    </w:p>
    <w:p w:rsidR="00E67AA3" w:rsidRDefault="00A06EAB" w:rsidP="00E67AA3">
      <w:pPr>
        <w:pStyle w:val="Hesber"/>
        <w:rPr>
          <w:rtl/>
        </w:rPr>
      </w:pPr>
      <w:r w:rsidRPr="00955707">
        <w:rPr>
          <w:rFonts w:hint="cs"/>
          <w:b/>
          <w:bCs/>
          <w:rtl/>
        </w:rPr>
        <w:t xml:space="preserve">ההגדרה "אמצעים להפחתת רמת החשיפה" </w:t>
      </w:r>
      <w:r w:rsidR="00A30138">
        <w:rPr>
          <w:rtl/>
        </w:rPr>
        <w:t>–</w:t>
      </w:r>
      <w:r>
        <w:rPr>
          <w:rFonts w:hint="cs"/>
          <w:rtl/>
        </w:rPr>
        <w:t xml:space="preserve"> </w:t>
      </w:r>
      <w:r w:rsidR="00A30138">
        <w:rPr>
          <w:rFonts w:hint="cs"/>
          <w:rtl/>
        </w:rPr>
        <w:t>התקנות מגדירות את האמצעים בהם יש להשתמש</w:t>
      </w:r>
      <w:r w:rsidR="00E579FF">
        <w:rPr>
          <w:rFonts w:hint="cs"/>
          <w:rtl/>
        </w:rPr>
        <w:t xml:space="preserve"> כאשר פועלים בהתאם לתקנות 4ג ו-4ד</w:t>
      </w:r>
      <w:r>
        <w:rPr>
          <w:rFonts w:hint="cs"/>
          <w:rtl/>
        </w:rPr>
        <w:t xml:space="preserve">. אמצעים אלה כוללים אמצעים שגרתיים, המצויים בשימוש שוטף של הגורמים העוסקים בהקמה ובהפעלה של מתקני חשמל, ואשר מפורטים בתוספת השלישית המוצעת, אמצעים שאינם שגרתיים, בשל עלותם הגבוהה יחסית והתאמתם למקרים ספציפיים בלבד, באמצעים אלה ניתן יהיה להשתמש בהסכמת </w:t>
      </w:r>
      <w:r w:rsidR="00E579FF">
        <w:rPr>
          <w:rFonts w:hint="cs"/>
          <w:rtl/>
        </w:rPr>
        <w:t xml:space="preserve">מבקש </w:t>
      </w:r>
      <w:r w:rsidR="005C06A7">
        <w:rPr>
          <w:rFonts w:hint="cs"/>
          <w:rtl/>
        </w:rPr>
        <w:t xml:space="preserve">או בעל </w:t>
      </w:r>
      <w:r w:rsidR="00E579FF">
        <w:rPr>
          <w:rFonts w:hint="cs"/>
          <w:rtl/>
        </w:rPr>
        <w:t xml:space="preserve">היתר ההקמה או </w:t>
      </w:r>
      <w:r w:rsidR="00B63E26">
        <w:rPr>
          <w:rFonts w:hint="cs"/>
          <w:rtl/>
        </w:rPr>
        <w:t>היתר ה</w:t>
      </w:r>
      <w:r w:rsidR="00E579FF">
        <w:rPr>
          <w:rFonts w:hint="cs"/>
          <w:rtl/>
        </w:rPr>
        <w:t>הפעלה, לפי העניין</w:t>
      </w:r>
      <w:r w:rsidR="007A0DF9">
        <w:rPr>
          <w:rFonts w:hint="cs"/>
          <w:rtl/>
        </w:rPr>
        <w:t>.</w:t>
      </w:r>
      <w:r w:rsidR="00E579FF">
        <w:rPr>
          <w:rFonts w:hint="cs"/>
          <w:rtl/>
        </w:rPr>
        <w:t xml:space="preserve"> </w:t>
      </w:r>
      <w:r>
        <w:rPr>
          <w:rFonts w:hint="cs"/>
          <w:rtl/>
        </w:rPr>
        <w:t xml:space="preserve">בנוסף, הועדה המקצועית שהקמתה מוצעת בתקנה 4ו, תוכל לקבוע, גם ללא הסכמת </w:t>
      </w:r>
      <w:r w:rsidR="00084D81">
        <w:rPr>
          <w:rFonts w:hint="cs"/>
          <w:rtl/>
        </w:rPr>
        <w:t xml:space="preserve">מבקש או </w:t>
      </w:r>
      <w:r w:rsidR="00084D81">
        <w:rPr>
          <w:rFonts w:hint="cs"/>
          <w:rtl/>
        </w:rPr>
        <w:lastRenderedPageBreak/>
        <w:t>בעל היתר ההקמה</w:t>
      </w:r>
      <w:r w:rsidR="00466CA1">
        <w:rPr>
          <w:rFonts w:hint="cs"/>
          <w:rtl/>
        </w:rPr>
        <w:t xml:space="preserve"> או </w:t>
      </w:r>
      <w:r w:rsidR="00B63E26">
        <w:rPr>
          <w:rFonts w:hint="cs"/>
          <w:rtl/>
        </w:rPr>
        <w:t>היתר ה</w:t>
      </w:r>
      <w:r w:rsidR="00084D81">
        <w:rPr>
          <w:rFonts w:hint="cs"/>
          <w:rtl/>
        </w:rPr>
        <w:t>הפעלה</w:t>
      </w:r>
      <w:r>
        <w:rPr>
          <w:rFonts w:hint="cs"/>
          <w:rtl/>
        </w:rPr>
        <w:t xml:space="preserve">, כי ייעשה שימוש באמצעי מיוחד </w:t>
      </w:r>
      <w:r w:rsidR="00A07783">
        <w:rPr>
          <w:rFonts w:hint="cs"/>
          <w:rtl/>
        </w:rPr>
        <w:t xml:space="preserve">שאינו מנוי בתוספת השלישית </w:t>
      </w:r>
      <w:r>
        <w:rPr>
          <w:rFonts w:hint="cs"/>
          <w:rtl/>
        </w:rPr>
        <w:t>לשם הפחתת חשיפה לקרינה.</w:t>
      </w:r>
      <w:r w:rsidR="00084D81">
        <w:rPr>
          <w:rFonts w:hint="cs"/>
          <w:rtl/>
        </w:rPr>
        <w:t xml:space="preserve"> </w:t>
      </w:r>
    </w:p>
    <w:p w:rsidR="00A06EAB" w:rsidRDefault="00A06EAB" w:rsidP="00955707">
      <w:pPr>
        <w:pStyle w:val="Hesber"/>
        <w:rPr>
          <w:rtl/>
        </w:rPr>
      </w:pPr>
      <w:r w:rsidRPr="00955707">
        <w:rPr>
          <w:rFonts w:hint="cs"/>
          <w:b/>
          <w:bCs/>
          <w:rtl/>
        </w:rPr>
        <w:t>ההגדרה "זרם אופייני"</w:t>
      </w:r>
      <w:r>
        <w:rPr>
          <w:rFonts w:hint="cs"/>
          <w:rtl/>
        </w:rPr>
        <w:t xml:space="preserve"> </w:t>
      </w:r>
      <w:r w:rsidR="00955707">
        <w:rPr>
          <w:rFonts w:hint="cs"/>
          <w:rtl/>
        </w:rPr>
        <w:t xml:space="preserve">- </w:t>
      </w:r>
      <w:r>
        <w:rPr>
          <w:rFonts w:hint="cs"/>
          <w:rtl/>
        </w:rPr>
        <w:t xml:space="preserve">לצורך חישוב השדה המגנטי הנוצר מפעילותו של מתקן חשמל, נלקח בחשבון הזרם שמאפיין פעילות שגרתית של אותו מתקן. פעילות שגרתית היא </w:t>
      </w:r>
      <w:r w:rsidR="00AC3B82">
        <w:rPr>
          <w:rFonts w:hint="cs"/>
          <w:rtl/>
        </w:rPr>
        <w:t>פעילות של המתקן ללא תקלות חריגות, בממוצע ליממה העמוסה ביותר בשנה מבחינת צריכת החשמל.</w:t>
      </w:r>
    </w:p>
    <w:p w:rsidR="00AC3B82" w:rsidRDefault="00AC3B82" w:rsidP="00A06EAB">
      <w:pPr>
        <w:pStyle w:val="Hesber"/>
        <w:rPr>
          <w:rtl/>
        </w:rPr>
      </w:pPr>
      <w:r w:rsidRPr="00955707">
        <w:rPr>
          <w:rFonts w:hint="cs"/>
          <w:b/>
          <w:bCs/>
          <w:rtl/>
        </w:rPr>
        <w:t>ההגדרה "זרם נקוב"</w:t>
      </w:r>
      <w:r>
        <w:rPr>
          <w:rFonts w:hint="cs"/>
          <w:rtl/>
        </w:rPr>
        <w:t xml:space="preserve"> </w:t>
      </w:r>
      <w:r w:rsidR="00955707">
        <w:rPr>
          <w:rFonts w:hint="cs"/>
          <w:rtl/>
        </w:rPr>
        <w:t>-</w:t>
      </w:r>
      <w:r>
        <w:rPr>
          <w:rFonts w:hint="cs"/>
          <w:rtl/>
        </w:rPr>
        <w:t xml:space="preserve"> הזרם המקסימלי שיכול לעבור במתקן חשמל מסוים, </w:t>
      </w:r>
      <w:r w:rsidR="007E3F8B">
        <w:rPr>
          <w:rFonts w:hint="cs"/>
          <w:rtl/>
        </w:rPr>
        <w:t xml:space="preserve">על פי הוראות יצרן הציוד, </w:t>
      </w:r>
      <w:r>
        <w:rPr>
          <w:rFonts w:hint="cs"/>
          <w:rtl/>
        </w:rPr>
        <w:t>מבלי לשבש את פעולתו.</w:t>
      </w:r>
    </w:p>
    <w:p w:rsidR="00E53BC5" w:rsidRDefault="00955707" w:rsidP="00D16242">
      <w:pPr>
        <w:pStyle w:val="Hesber"/>
        <w:rPr>
          <w:rtl/>
        </w:rPr>
      </w:pPr>
      <w:r>
        <w:rPr>
          <w:rFonts w:hint="cs"/>
          <w:b/>
          <w:bCs/>
          <w:rtl/>
        </w:rPr>
        <w:t xml:space="preserve">ההגדרות </w:t>
      </w:r>
      <w:r w:rsidR="00AC3B82" w:rsidRPr="00955707">
        <w:rPr>
          <w:rFonts w:hint="cs"/>
          <w:b/>
          <w:bCs/>
          <w:rtl/>
        </w:rPr>
        <w:t>"שה</w:t>
      </w:r>
      <w:r w:rsidR="0092637D">
        <w:rPr>
          <w:rFonts w:hint="cs"/>
          <w:b/>
          <w:bCs/>
          <w:rtl/>
        </w:rPr>
        <w:t>י</w:t>
      </w:r>
      <w:r w:rsidR="00AC3B82" w:rsidRPr="00955707">
        <w:rPr>
          <w:rFonts w:hint="cs"/>
          <w:b/>
          <w:bCs/>
          <w:rtl/>
        </w:rPr>
        <w:t>יה קצרת מועד", "שהי</w:t>
      </w:r>
      <w:r w:rsidR="0092637D">
        <w:rPr>
          <w:rFonts w:hint="cs"/>
          <w:b/>
          <w:bCs/>
          <w:rtl/>
        </w:rPr>
        <w:t>י</w:t>
      </w:r>
      <w:r w:rsidR="00AC3B82" w:rsidRPr="00955707">
        <w:rPr>
          <w:rFonts w:hint="cs"/>
          <w:b/>
          <w:bCs/>
          <w:rtl/>
        </w:rPr>
        <w:t>ה ממושכת"</w:t>
      </w:r>
      <w:r w:rsidR="00AC3B82">
        <w:rPr>
          <w:rFonts w:hint="cs"/>
          <w:rtl/>
        </w:rPr>
        <w:t xml:space="preserve"> - שהי</w:t>
      </w:r>
      <w:r w:rsidR="0092637D">
        <w:rPr>
          <w:rFonts w:hint="cs"/>
          <w:rtl/>
        </w:rPr>
        <w:t>י</w:t>
      </w:r>
      <w:r w:rsidR="00AC3B82">
        <w:rPr>
          <w:rFonts w:hint="cs"/>
          <w:rtl/>
        </w:rPr>
        <w:t xml:space="preserve">ה במשך זמן קצר ביותר, במקום החשוף לשדה חשמלי </w:t>
      </w:r>
      <w:r w:rsidR="00D16242">
        <w:rPr>
          <w:rFonts w:hint="cs"/>
          <w:rtl/>
        </w:rPr>
        <w:t xml:space="preserve">ברמה </w:t>
      </w:r>
      <w:r w:rsidR="00F943D4">
        <w:rPr>
          <w:rFonts w:hint="cs"/>
          <w:rtl/>
        </w:rPr>
        <w:t>העולה על 5,000 וולט למטר</w:t>
      </w:r>
      <w:r w:rsidR="00AC3B82">
        <w:rPr>
          <w:rFonts w:hint="cs"/>
          <w:rtl/>
        </w:rPr>
        <w:t xml:space="preserve">, עלולה לגרום </w:t>
      </w:r>
      <w:r w:rsidR="00F943D4">
        <w:rPr>
          <w:rFonts w:hint="cs"/>
          <w:rtl/>
        </w:rPr>
        <w:t>להתחשמלות</w:t>
      </w:r>
      <w:r w:rsidR="00AC3B82">
        <w:rPr>
          <w:rFonts w:hint="cs"/>
          <w:rtl/>
        </w:rPr>
        <w:t>. שהי</w:t>
      </w:r>
      <w:r w:rsidR="0092637D">
        <w:rPr>
          <w:rFonts w:hint="cs"/>
          <w:rtl/>
        </w:rPr>
        <w:t>י</w:t>
      </w:r>
      <w:r w:rsidR="00AC3B82">
        <w:rPr>
          <w:rFonts w:hint="cs"/>
          <w:rtl/>
        </w:rPr>
        <w:t xml:space="preserve">ה במשך זמן </w:t>
      </w:r>
      <w:r w:rsidR="00F943D4">
        <w:rPr>
          <w:rFonts w:hint="cs"/>
          <w:rtl/>
        </w:rPr>
        <w:t xml:space="preserve">קצר בשדה מגנטי העולה על </w:t>
      </w:r>
      <w:r w:rsidR="007A0DF9">
        <w:rPr>
          <w:rFonts w:hint="cs"/>
          <w:rtl/>
        </w:rPr>
        <w:t>1,</w:t>
      </w:r>
      <w:r w:rsidR="00F943D4">
        <w:rPr>
          <w:rFonts w:hint="cs"/>
          <w:rtl/>
        </w:rPr>
        <w:t xml:space="preserve">000 מיליגאוס </w:t>
      </w:r>
      <w:r w:rsidR="0031486F">
        <w:rPr>
          <w:rFonts w:hint="cs"/>
          <w:rtl/>
        </w:rPr>
        <w:t xml:space="preserve">עלולה </w:t>
      </w:r>
      <w:r w:rsidR="007A0DF9">
        <w:rPr>
          <w:rFonts w:hint="cs"/>
          <w:rtl/>
        </w:rPr>
        <w:t>להשפיע</w:t>
      </w:r>
      <w:r w:rsidR="0031486F">
        <w:rPr>
          <w:rFonts w:hint="cs"/>
          <w:rtl/>
        </w:rPr>
        <w:t xml:space="preserve"> על מערכת העצבים ומכאן גם על פעולת השרירים. </w:t>
      </w:r>
      <w:r w:rsidR="00C268F6">
        <w:rPr>
          <w:rFonts w:hint="cs"/>
          <w:rtl/>
        </w:rPr>
        <w:t xml:space="preserve">שהייה במשך זמן </w:t>
      </w:r>
      <w:r w:rsidR="00AC3B82">
        <w:rPr>
          <w:rFonts w:hint="cs"/>
          <w:rtl/>
        </w:rPr>
        <w:t xml:space="preserve">ארוך במקום </w:t>
      </w:r>
      <w:r w:rsidR="0053170E">
        <w:rPr>
          <w:rFonts w:hint="cs"/>
          <w:rtl/>
        </w:rPr>
        <w:t>החשוף לשדה מגנטי</w:t>
      </w:r>
      <w:r w:rsidR="00AC3B82">
        <w:rPr>
          <w:rFonts w:hint="cs"/>
          <w:rtl/>
        </w:rPr>
        <w:t xml:space="preserve">, עלולה לגרום </w:t>
      </w:r>
      <w:r w:rsidR="0053170E">
        <w:rPr>
          <w:rFonts w:hint="cs"/>
          <w:rtl/>
        </w:rPr>
        <w:t xml:space="preserve">לתוספת בהסתברות </w:t>
      </w:r>
      <w:r w:rsidR="00AC3B82">
        <w:rPr>
          <w:rFonts w:hint="cs"/>
          <w:rtl/>
        </w:rPr>
        <w:t>ל</w:t>
      </w:r>
      <w:r w:rsidR="00D5577B">
        <w:rPr>
          <w:rFonts w:hint="cs"/>
          <w:rtl/>
        </w:rPr>
        <w:t>ת</w:t>
      </w:r>
      <w:r w:rsidR="00AC3B82">
        <w:rPr>
          <w:rFonts w:hint="cs"/>
          <w:rtl/>
        </w:rPr>
        <w:t>חלואה בלוקמיה בקרב ילדים. מוצע להגדיר "שה</w:t>
      </w:r>
      <w:r w:rsidR="0092637D">
        <w:rPr>
          <w:rFonts w:hint="cs"/>
          <w:rtl/>
        </w:rPr>
        <w:t>י</w:t>
      </w:r>
      <w:r w:rsidR="00AC3B82">
        <w:rPr>
          <w:rFonts w:hint="cs"/>
          <w:rtl/>
        </w:rPr>
        <w:t>יה ממושכת" כשה</w:t>
      </w:r>
      <w:r w:rsidR="0092637D">
        <w:rPr>
          <w:rFonts w:hint="cs"/>
          <w:rtl/>
        </w:rPr>
        <w:t>י</w:t>
      </w:r>
      <w:r w:rsidR="00AC3B82">
        <w:rPr>
          <w:rFonts w:hint="cs"/>
          <w:rtl/>
        </w:rPr>
        <w:t>יה דרך קבע במבנה מאוכלס שהוקם כדין, במשך 4 שעות לפחות ביממה, במהלך 5 ימים לפחות בשבוע, ולגבי מקומות כאלה, לדרוש כי יושקעו כספים ויינקטו אמצעים לשם הפחתת החשיפה לקרינה. במקומות בהם לא קיימת שה</w:t>
      </w:r>
      <w:r w:rsidR="0092637D">
        <w:rPr>
          <w:rFonts w:hint="cs"/>
          <w:rtl/>
        </w:rPr>
        <w:t>י</w:t>
      </w:r>
      <w:r w:rsidR="00AC3B82">
        <w:rPr>
          <w:rFonts w:hint="cs"/>
          <w:rtl/>
        </w:rPr>
        <w:t xml:space="preserve">יה ממושכת של בני אדם כאמור, מוצע לדרוש עמידה בסף של 1000 מיליגאוס ו- 5000 וולט למטר, על מנת למנוע </w:t>
      </w:r>
      <w:r w:rsidR="00E53BC5">
        <w:rPr>
          <w:rFonts w:hint="cs"/>
          <w:rtl/>
        </w:rPr>
        <w:t xml:space="preserve">את התופעות </w:t>
      </w:r>
      <w:r w:rsidR="00D5577B">
        <w:rPr>
          <w:rFonts w:hint="cs"/>
          <w:rtl/>
        </w:rPr>
        <w:t>ה</w:t>
      </w:r>
      <w:r w:rsidR="001368F9">
        <w:rPr>
          <w:rFonts w:hint="cs"/>
          <w:rtl/>
        </w:rPr>
        <w:t>אמורות</w:t>
      </w:r>
      <w:r w:rsidR="007A0DF9">
        <w:rPr>
          <w:rFonts w:hint="cs"/>
          <w:rtl/>
        </w:rPr>
        <w:t>.</w:t>
      </w:r>
    </w:p>
    <w:p w:rsidR="00AC3B82" w:rsidRPr="00A06EAB" w:rsidRDefault="00955707" w:rsidP="00252456">
      <w:pPr>
        <w:pStyle w:val="Hesber"/>
        <w:rPr>
          <w:rtl/>
        </w:rPr>
      </w:pPr>
      <w:r>
        <w:rPr>
          <w:rFonts w:hint="cs"/>
          <w:b/>
          <w:bCs/>
          <w:rtl/>
        </w:rPr>
        <w:t xml:space="preserve">ההגדרות </w:t>
      </w:r>
      <w:r w:rsidR="00E53BC5" w:rsidRPr="00955707">
        <w:rPr>
          <w:rFonts w:hint="cs"/>
          <w:b/>
          <w:bCs/>
          <w:rtl/>
        </w:rPr>
        <w:t>"מקור קרינה חדש", "מקור קרינה קיים"</w:t>
      </w:r>
      <w:r w:rsidR="00E53BC5">
        <w:rPr>
          <w:rFonts w:hint="cs"/>
          <w:rtl/>
        </w:rPr>
        <w:t xml:space="preserve"> </w:t>
      </w:r>
      <w:r w:rsidR="00252456">
        <w:rPr>
          <w:rFonts w:hint="cs"/>
          <w:rtl/>
        </w:rPr>
        <w:t>-</w:t>
      </w:r>
      <w:r w:rsidR="00E53BC5">
        <w:rPr>
          <w:rFonts w:hint="cs"/>
          <w:rtl/>
        </w:rPr>
        <w:t xml:space="preserve"> מוצע לקבוע כי מקור קרינה חדש הוא מקור קרינה שניתן לו היתר הקמה </w:t>
      </w:r>
      <w:proofErr w:type="spellStart"/>
      <w:r w:rsidR="00E53BC5">
        <w:rPr>
          <w:rFonts w:hint="cs"/>
          <w:rtl/>
        </w:rPr>
        <w:t>מכח</w:t>
      </w:r>
      <w:proofErr w:type="spellEnd"/>
      <w:r w:rsidR="00E53BC5">
        <w:rPr>
          <w:rFonts w:hint="cs"/>
          <w:rtl/>
        </w:rPr>
        <w:t xml:space="preserve"> חוק הקרינה הבלתי מייננת לאחר כניסת התקנות המוצעות לתוקף, או שנעשה בו שינוי המחייב קבלת היתר הפעלה חדש לאחר מועד זה. לגבי מקור כאמור תידרש נקיטת אמצעים להפחתת חשיפה לקרינה טרם הקמתו והפעלתו כמפורט בתקנה 4ג. לגבי מקור קרינה קיים, שהוקם לפני כניסת התקנות המוצעות לתוקף, מוצע כי יהיה צורך לנקוט באמצעים להפחתת חשיפה לקרינה, במידת הצורך, במסגרת תקציב המיועד לכך, כאמור בתקנה 4ד המוצעת.</w:t>
      </w:r>
    </w:p>
    <w:p w:rsidR="003C6461" w:rsidRDefault="00486F0A" w:rsidP="003C6461">
      <w:pPr>
        <w:pStyle w:val="Hesber1st"/>
        <w:tabs>
          <w:tab w:val="clear" w:pos="680"/>
        </w:tabs>
        <w:rPr>
          <w:rtl/>
        </w:rPr>
      </w:pPr>
      <w:r w:rsidRPr="00486F0A">
        <w:rPr>
          <w:rFonts w:hint="cs"/>
          <w:b/>
          <w:bCs/>
          <w:rtl/>
        </w:rPr>
        <w:t>הוספת תקנה 4ב</w:t>
      </w:r>
      <w:r>
        <w:rPr>
          <w:rtl/>
        </w:rPr>
        <w:tab/>
      </w:r>
      <w:r w:rsidR="00DD4025">
        <w:rPr>
          <w:rFonts w:hint="cs"/>
          <w:rtl/>
        </w:rPr>
        <w:t xml:space="preserve"> חשיפה מרבית מותרת במקום שה</w:t>
      </w:r>
      <w:r w:rsidR="0092637D">
        <w:rPr>
          <w:rFonts w:hint="cs"/>
          <w:rtl/>
        </w:rPr>
        <w:t>י</w:t>
      </w:r>
      <w:r w:rsidR="00DD4025">
        <w:rPr>
          <w:rFonts w:hint="cs"/>
          <w:rtl/>
        </w:rPr>
        <w:t xml:space="preserve">יה קצרת מועד </w:t>
      </w:r>
      <w:r w:rsidR="00DD4025">
        <w:rPr>
          <w:rtl/>
        </w:rPr>
        <w:t>–</w:t>
      </w:r>
      <w:r w:rsidR="00DD4025">
        <w:rPr>
          <w:rFonts w:hint="cs"/>
          <w:rtl/>
        </w:rPr>
        <w:t xml:space="preserve"> מוצע לקבוע, כי ערך השדה המגנטי המרבי במקום בו ישנה חשיפה לקרינה של בני אדם יהיה 1000 מיליגאוס, וערך השדה החשמלי המרבי יהיה 5000 וולט למטר. זוהי גם עמדת ארגון הבריאות העולמי לגבי מניעת אפקטים בריאותיים מחשיפה אקוטית קצרת טווח.</w:t>
      </w:r>
      <w:r w:rsidR="003C6461">
        <w:rPr>
          <w:rFonts w:hint="cs"/>
          <w:rtl/>
        </w:rPr>
        <w:t xml:space="preserve">   </w:t>
      </w:r>
    </w:p>
    <w:p w:rsidR="00CA4F36" w:rsidRDefault="008C4D74" w:rsidP="0092637D">
      <w:pPr>
        <w:pStyle w:val="Hesber"/>
        <w:ind w:firstLine="0"/>
        <w:rPr>
          <w:rtl/>
        </w:rPr>
      </w:pPr>
      <w:r w:rsidRPr="00486F0A">
        <w:rPr>
          <w:rFonts w:hint="cs"/>
          <w:b/>
          <w:bCs/>
          <w:rtl/>
        </w:rPr>
        <w:t>הוספת תקנה 4ג</w:t>
      </w:r>
      <w:r>
        <w:rPr>
          <w:rFonts w:hint="cs"/>
          <w:rtl/>
        </w:rPr>
        <w:t xml:space="preserve"> </w:t>
      </w:r>
      <w:r w:rsidR="00486F0A">
        <w:rPr>
          <w:rtl/>
        </w:rPr>
        <w:tab/>
      </w:r>
      <w:r w:rsidR="00233D8F">
        <w:rPr>
          <w:rFonts w:hint="cs"/>
          <w:rtl/>
        </w:rPr>
        <w:t xml:space="preserve">מקום שהייה ממושכת - </w:t>
      </w:r>
      <w:r>
        <w:rPr>
          <w:rFonts w:hint="cs"/>
          <w:rtl/>
        </w:rPr>
        <w:t xml:space="preserve">הפחתת החשיפה ממקורות </w:t>
      </w:r>
      <w:r w:rsidR="003C6461">
        <w:rPr>
          <w:rFonts w:hint="cs"/>
          <w:rtl/>
        </w:rPr>
        <w:t xml:space="preserve"> </w:t>
      </w:r>
      <w:r>
        <w:rPr>
          <w:rFonts w:hint="cs"/>
          <w:rtl/>
        </w:rPr>
        <w:t xml:space="preserve">קרינה חדשים </w:t>
      </w:r>
      <w:r w:rsidR="00F0736F">
        <w:rPr>
          <w:rFonts w:hint="cs"/>
          <w:rtl/>
        </w:rPr>
        <w:t>-</w:t>
      </w:r>
      <w:r>
        <w:rPr>
          <w:rFonts w:hint="cs"/>
          <w:rtl/>
        </w:rPr>
        <w:t xml:space="preserve"> מוצע לקבוע איסור על הקמה והפעלה של מקור קרינה חדש, אלא אם ננקטו ביחס אליו אמצעים להפחתת רמת החשיפה מהשדות המגנטיים והחשמליים שהוא יוצר</w:t>
      </w:r>
      <w:r w:rsidR="00545F8B">
        <w:rPr>
          <w:rFonts w:hint="cs"/>
          <w:rtl/>
        </w:rPr>
        <w:t xml:space="preserve"> (אותם אמצעים המפורטים בהגדרת "אמצעים להפחתת רמת חשיפה")</w:t>
      </w:r>
      <w:r>
        <w:rPr>
          <w:rFonts w:hint="cs"/>
          <w:rtl/>
        </w:rPr>
        <w:t>. מוצע לקבוע, כי האמצעים שיש לנקוט ייקבעו בהתאם למודל המקובל במדינת קליפורניה</w:t>
      </w:r>
      <w:r w:rsidR="00641AB2">
        <w:rPr>
          <w:rStyle w:val="a7"/>
          <w:rtl/>
        </w:rPr>
        <w:footnoteReference w:id="4"/>
      </w:r>
      <w:r>
        <w:rPr>
          <w:rFonts w:hint="cs"/>
          <w:rtl/>
        </w:rPr>
        <w:t xml:space="preserve"> משנת 1993 </w:t>
      </w:r>
      <w:r>
        <w:rPr>
          <w:rtl/>
        </w:rPr>
        <w:t>–</w:t>
      </w:r>
      <w:r>
        <w:rPr>
          <w:rFonts w:hint="cs"/>
          <w:rtl/>
        </w:rPr>
        <w:t xml:space="preserve"> יש לנקוט אמצעים שעלותם אינה עולה על ארבעה אחוזים מעלות הקמת מתקן החשמל, ושנקיטתם מביאה להפחתת השדה המגנטי בחמישה עשר אחוזים לפחות. </w:t>
      </w:r>
      <w:r w:rsidR="00641AB2">
        <w:rPr>
          <w:rFonts w:hint="cs"/>
          <w:rtl/>
        </w:rPr>
        <w:t xml:space="preserve">מודל קליפורניה מבוסס על כך שמחקרים אפידמיולוגיים לא הצביעו בוודאות על סף ברור של חשיפה ממושכת לשדה מגנטי, שמעליו קיים סיכון לתוספת תחלואה ומתחתיו אין סיכון כזה, ולכן הדרך לטפל </w:t>
      </w:r>
      <w:r w:rsidR="00641AB2">
        <w:rPr>
          <w:rFonts w:hint="cs"/>
          <w:rtl/>
        </w:rPr>
        <w:lastRenderedPageBreak/>
        <w:t>בסיכון המוגבר ועדיין לאפשר הקמה של מתקני חשמל חדשים, היא שימוש באמצעים להפחתת החשיפה ללא עלות או שעלותם נמוכה, ושיש בהם כדי להביא להפחתה משמעותית של החשיפה לקרינה</w:t>
      </w:r>
      <w:r w:rsidR="005A4709">
        <w:rPr>
          <w:rFonts w:hint="cs"/>
          <w:rtl/>
        </w:rPr>
        <w:t>. כך אם השקעה של 4% תביא להפחתת הקרינה בהיקף הנמוך מ-15%, לא תידרש השקעת עלויות כלל</w:t>
      </w:r>
      <w:r w:rsidR="00641AB2">
        <w:rPr>
          <w:rFonts w:hint="cs"/>
          <w:rtl/>
        </w:rPr>
        <w:t xml:space="preserve">. </w:t>
      </w:r>
      <w:r>
        <w:rPr>
          <w:rFonts w:hint="cs"/>
          <w:rtl/>
        </w:rPr>
        <w:t>בנוסף על מודל קליפורניה, מוצע לקבוע שסך העלות של הפחתת החשיפה לקרינה מכלל מקורות הקרינה המוקמים במשך שנתיים, לא תעלה על 70 מיליון ש"ח.</w:t>
      </w:r>
      <w:r w:rsidR="00641AB2">
        <w:rPr>
          <w:rFonts w:hint="cs"/>
          <w:rtl/>
        </w:rPr>
        <w:t xml:space="preserve"> </w:t>
      </w:r>
      <w:r w:rsidR="00641AB2" w:rsidRPr="007A0DF9">
        <w:rPr>
          <w:rFonts w:hint="cs"/>
          <w:rtl/>
        </w:rPr>
        <w:t>וזאת על מנת</w:t>
      </w:r>
      <w:r w:rsidR="0092637D" w:rsidRPr="007A0DF9">
        <w:rPr>
          <w:rFonts w:hint="cs"/>
          <w:rtl/>
        </w:rPr>
        <w:t xml:space="preserve"> לגדר את העלויות, כך שהשפעת</w:t>
      </w:r>
      <w:r w:rsidR="007A0DF9" w:rsidRPr="007A0DF9">
        <w:rPr>
          <w:rFonts w:hint="cs"/>
          <w:rtl/>
        </w:rPr>
        <w:t>ן</w:t>
      </w:r>
      <w:r w:rsidR="0092637D" w:rsidRPr="007A0DF9">
        <w:rPr>
          <w:rFonts w:hint="cs"/>
          <w:rtl/>
        </w:rPr>
        <w:t xml:space="preserve"> על תעריף החשמל תהיה מבוקרת.</w:t>
      </w:r>
      <w:r w:rsidR="00641AB2" w:rsidRPr="007A0DF9">
        <w:rPr>
          <w:rFonts w:hint="cs"/>
          <w:rtl/>
        </w:rPr>
        <w:t xml:space="preserve"> </w:t>
      </w:r>
    </w:p>
    <w:p w:rsidR="002D0489" w:rsidRDefault="00C731D3" w:rsidP="002D0489">
      <w:pPr>
        <w:pStyle w:val="Hesber"/>
        <w:rPr>
          <w:rtl/>
        </w:rPr>
      </w:pPr>
      <w:r>
        <w:rPr>
          <w:rFonts w:hint="cs"/>
          <w:rtl/>
        </w:rPr>
        <w:t xml:space="preserve">עוד נדרש, כי מי שמקים מתקן חשמל חדש </w:t>
      </w:r>
      <w:r w:rsidR="002D0489">
        <w:rPr>
          <w:rFonts w:hint="cs"/>
          <w:rtl/>
        </w:rPr>
        <w:t>ישמור על מרחק בין המתקן למקומות שבהם יש שה</w:t>
      </w:r>
      <w:r w:rsidR="0092637D">
        <w:rPr>
          <w:rFonts w:hint="cs"/>
          <w:rtl/>
        </w:rPr>
        <w:t>י</w:t>
      </w:r>
      <w:r w:rsidR="002D0489">
        <w:rPr>
          <w:rFonts w:hint="cs"/>
          <w:rtl/>
        </w:rPr>
        <w:t>יה ממושכת של בני אדם, וזאת בהתאם לסוג המתקן ולרמת הקרינה שהוא יוצר. המרחקים הנדרשים מפורטים בתוספת הרביעית המוצעת.</w:t>
      </w:r>
      <w:r w:rsidR="003C6461">
        <w:rPr>
          <w:rFonts w:hint="cs"/>
          <w:rtl/>
        </w:rPr>
        <w:t xml:space="preserve">     </w:t>
      </w:r>
    </w:p>
    <w:p w:rsidR="00210F33" w:rsidRDefault="002D0489" w:rsidP="004249DB">
      <w:pPr>
        <w:pStyle w:val="Hesber"/>
        <w:ind w:firstLine="0"/>
        <w:rPr>
          <w:rtl/>
        </w:rPr>
      </w:pPr>
      <w:r w:rsidRPr="00486F0A">
        <w:rPr>
          <w:rFonts w:hint="cs"/>
          <w:b/>
          <w:bCs/>
          <w:rtl/>
        </w:rPr>
        <w:t>הוספת</w:t>
      </w:r>
      <w:r w:rsidR="003C6461" w:rsidRPr="00486F0A">
        <w:rPr>
          <w:rFonts w:hint="cs"/>
          <w:b/>
          <w:bCs/>
          <w:rtl/>
        </w:rPr>
        <w:t xml:space="preserve"> </w:t>
      </w:r>
      <w:r w:rsidRPr="00486F0A">
        <w:rPr>
          <w:rFonts w:hint="cs"/>
          <w:b/>
          <w:bCs/>
          <w:rtl/>
        </w:rPr>
        <w:t>תקנה 4ד</w:t>
      </w:r>
      <w:r>
        <w:rPr>
          <w:rFonts w:hint="cs"/>
          <w:rtl/>
        </w:rPr>
        <w:t xml:space="preserve"> </w:t>
      </w:r>
      <w:r w:rsidR="00486F0A">
        <w:rPr>
          <w:rtl/>
        </w:rPr>
        <w:tab/>
      </w:r>
      <w:r>
        <w:rPr>
          <w:rFonts w:hint="cs"/>
          <w:rtl/>
        </w:rPr>
        <w:t xml:space="preserve">הפחתת רמת החשיפה ממקורות קרינה קיימים </w:t>
      </w:r>
      <w:r>
        <w:rPr>
          <w:rtl/>
        </w:rPr>
        <w:t>–</w:t>
      </w:r>
      <w:r>
        <w:rPr>
          <w:rFonts w:hint="cs"/>
          <w:rtl/>
        </w:rPr>
        <w:t xml:space="preserve"> על פי דו"ח ועדת המומחים, על חברת החשמל להקצות מדי שנה סך של 2 מיליון דולר לצורך ביצוע הדרגתי של פעולות להפחתת חשיפה לקרינה ממתקני חשמל קיימים. </w:t>
      </w:r>
      <w:r w:rsidR="00BC1A2C">
        <w:rPr>
          <w:rFonts w:hint="cs"/>
          <w:rtl/>
        </w:rPr>
        <w:t xml:space="preserve">במהלך השנים, נעשה שימוש בתקציב זה לפעולות שונות, ובהן לדוגמא החלפת חיווט בחדרי שנאים בבנייני מגורים מעילי לתחתי, </w:t>
      </w:r>
      <w:r w:rsidR="004249DB">
        <w:rPr>
          <w:rFonts w:hint="cs"/>
          <w:rtl/>
        </w:rPr>
        <w:t>ש</w:t>
      </w:r>
      <w:r w:rsidR="00BC1A2C">
        <w:rPr>
          <w:rFonts w:hint="cs"/>
          <w:rtl/>
        </w:rPr>
        <w:t>יכול פאזות בק</w:t>
      </w:r>
      <w:r w:rsidR="004249DB">
        <w:rPr>
          <w:rFonts w:hint="cs"/>
          <w:rtl/>
        </w:rPr>
        <w:t>ו</w:t>
      </w:r>
      <w:r w:rsidR="00BC1A2C">
        <w:rPr>
          <w:rFonts w:hint="cs"/>
          <w:rtl/>
        </w:rPr>
        <w:t>וי מתח עליון</w:t>
      </w:r>
      <w:r w:rsidR="004249DB">
        <w:rPr>
          <w:rFonts w:hint="cs"/>
          <w:rtl/>
        </w:rPr>
        <w:t xml:space="preserve"> והטמנת קווי מתח גבוה.</w:t>
      </w:r>
      <w:r w:rsidR="00BC1A2C">
        <w:rPr>
          <w:rFonts w:hint="cs"/>
          <w:rtl/>
        </w:rPr>
        <w:t xml:space="preserve"> </w:t>
      </w:r>
    </w:p>
    <w:p w:rsidR="00D93113" w:rsidRDefault="00D93113" w:rsidP="00486F0A">
      <w:pPr>
        <w:pStyle w:val="Hesber"/>
        <w:rPr>
          <w:rtl/>
        </w:rPr>
      </w:pPr>
      <w:r>
        <w:rPr>
          <w:rFonts w:hint="cs"/>
          <w:rtl/>
        </w:rPr>
        <w:t xml:space="preserve">פעולות להפחתת רמת הקרינה ננקטות הן ביוזמת חברת החשמל והן בעקבות דרישת הממונה במשרד להגנת הסביבה. דרישת הממונה נעשית בעקבות מדידות קרינה יזומות המתבצעות על ידי המשרד להגנת הסביבה, וכן במסגרת טיפול בפניות תושבים או בעקבות קבלת תוצאות מדידה מבעלי היתר למתן שירות </w:t>
      </w:r>
      <w:proofErr w:type="spellStart"/>
      <w:r>
        <w:rPr>
          <w:rFonts w:hint="cs"/>
          <w:rtl/>
        </w:rPr>
        <w:t>מכח</w:t>
      </w:r>
      <w:proofErr w:type="spellEnd"/>
      <w:r>
        <w:rPr>
          <w:rFonts w:hint="cs"/>
          <w:rtl/>
        </w:rPr>
        <w:t xml:space="preserve"> החוק.</w:t>
      </w:r>
    </w:p>
    <w:p w:rsidR="00CD3010" w:rsidRPr="00EF0393" w:rsidRDefault="002D0489" w:rsidP="00716471">
      <w:pPr>
        <w:pStyle w:val="Hesber"/>
        <w:rPr>
          <w:rtl/>
        </w:rPr>
      </w:pPr>
      <w:r w:rsidRPr="00EF0393">
        <w:rPr>
          <w:rFonts w:hint="cs"/>
          <w:rtl/>
        </w:rPr>
        <w:t xml:space="preserve">במסגרת תקנות אלה, מוצע כי </w:t>
      </w:r>
      <w:r w:rsidR="00D93113" w:rsidRPr="00EF0393">
        <w:rPr>
          <w:rFonts w:hint="cs"/>
          <w:rtl/>
        </w:rPr>
        <w:t xml:space="preserve">הסכום </w:t>
      </w:r>
      <w:r w:rsidRPr="00EF0393">
        <w:rPr>
          <w:rFonts w:hint="cs"/>
          <w:rtl/>
        </w:rPr>
        <w:t>ה</w:t>
      </w:r>
      <w:r w:rsidR="00D93113" w:rsidRPr="00EF0393">
        <w:rPr>
          <w:rFonts w:hint="cs"/>
          <w:rtl/>
        </w:rPr>
        <w:t xml:space="preserve">מיועד </w:t>
      </w:r>
      <w:r w:rsidR="00496B7F" w:rsidRPr="00EF0393">
        <w:rPr>
          <w:rFonts w:hint="cs"/>
          <w:rtl/>
        </w:rPr>
        <w:t>לפעולות שמטרתן הפחתת קרינה ממתקני חשמל קיימים,</w:t>
      </w:r>
      <w:r w:rsidRPr="00EF0393">
        <w:rPr>
          <w:rFonts w:hint="cs"/>
          <w:rtl/>
        </w:rPr>
        <w:t xml:space="preserve"> </w:t>
      </w:r>
      <w:r w:rsidR="00716471">
        <w:rPr>
          <w:rFonts w:hint="cs"/>
          <w:rtl/>
        </w:rPr>
        <w:t>יהיה ב</w:t>
      </w:r>
      <w:r w:rsidRPr="00EF0393">
        <w:rPr>
          <w:rFonts w:hint="cs"/>
          <w:rtl/>
        </w:rPr>
        <w:t>סך של 31 מיליון ש"ח מדי שנתיים.</w:t>
      </w:r>
      <w:r w:rsidR="004249DB" w:rsidRPr="00EF0393">
        <w:rPr>
          <w:rFonts w:hint="cs"/>
          <w:rtl/>
        </w:rPr>
        <w:t xml:space="preserve"> הגדלת הסכום </w:t>
      </w:r>
      <w:r w:rsidR="00716471">
        <w:rPr>
          <w:rFonts w:hint="cs"/>
          <w:rtl/>
        </w:rPr>
        <w:t>ביחס לסכום עליו הוחלט בוועדת המומחים</w:t>
      </w:r>
      <w:r w:rsidR="00716471" w:rsidRPr="00EF0393">
        <w:rPr>
          <w:rFonts w:hint="cs"/>
          <w:rtl/>
        </w:rPr>
        <w:t xml:space="preserve"> </w:t>
      </w:r>
      <w:r w:rsidR="004249DB" w:rsidRPr="00EF0393">
        <w:rPr>
          <w:rFonts w:hint="cs"/>
          <w:rtl/>
        </w:rPr>
        <w:t>תאפשר טיפול במתקנים רבים יותר בפרק זמן קצר יותר.</w:t>
      </w:r>
      <w:r w:rsidR="00CD3010" w:rsidRPr="00EF0393">
        <w:rPr>
          <w:rFonts w:hint="cs"/>
          <w:rtl/>
        </w:rPr>
        <w:t xml:space="preserve"> עוד מוצע, כי במסגרת ניצול התקציב הדו שנתי, יובאו בחשבון עלויות הנובעות מהוראות לנקיטת אמצעים להפחתת חשיפה לקרינה שניתנו באו</w:t>
      </w:r>
      <w:r w:rsidR="00496B7F" w:rsidRPr="00EF0393">
        <w:rPr>
          <w:rFonts w:hint="cs"/>
          <w:rtl/>
        </w:rPr>
        <w:t>תן שנתיים,</w:t>
      </w:r>
      <w:r w:rsidR="00CD3010" w:rsidRPr="00EF0393">
        <w:rPr>
          <w:rFonts w:hint="cs"/>
          <w:rtl/>
        </w:rPr>
        <w:t xml:space="preserve"> כך שעיכוב בנקיטת האמצעים בפועל לא יביא לכך שהתקציב לא ינוצל. מוצע לחייב את חברת החשמל לדווח לממונה פעמיים בשנה על הכספים שהוציאה לצורך הפחתת החשיפה לקרינה כאמור.</w:t>
      </w:r>
    </w:p>
    <w:p w:rsidR="00EF0393" w:rsidRPr="00EF0393" w:rsidRDefault="00EF0393" w:rsidP="007A0DF9">
      <w:pPr>
        <w:pStyle w:val="Hesber"/>
        <w:rPr>
          <w:rtl/>
        </w:rPr>
      </w:pPr>
      <w:r w:rsidRPr="00EF0393">
        <w:rPr>
          <w:rFonts w:hint="cs"/>
          <w:rtl/>
        </w:rPr>
        <w:t xml:space="preserve">בנוסף לחברת החשמל, ישנם גורמים נוספים שהם בעלי </w:t>
      </w:r>
      <w:r w:rsidR="00716471">
        <w:rPr>
          <w:rFonts w:hint="cs"/>
          <w:rtl/>
        </w:rPr>
        <w:t>רישיון חלוקה כהגדרתו בחוק משק החשמל, תשנ"ו-1996</w:t>
      </w:r>
      <w:r w:rsidRPr="00EF0393">
        <w:rPr>
          <w:rFonts w:hint="cs"/>
          <w:rtl/>
        </w:rPr>
        <w:t xml:space="preserve">, כגון </w:t>
      </w:r>
      <w:r w:rsidR="00716471">
        <w:rPr>
          <w:rFonts w:hint="cs"/>
          <w:rtl/>
        </w:rPr>
        <w:t xml:space="preserve">חברת החשמל </w:t>
      </w:r>
      <w:r w:rsidR="007A0DF9">
        <w:rPr>
          <w:rFonts w:hint="cs"/>
          <w:rtl/>
        </w:rPr>
        <w:t xml:space="preserve">מזרח </w:t>
      </w:r>
      <w:r w:rsidR="00716471">
        <w:rPr>
          <w:rFonts w:hint="cs"/>
          <w:rtl/>
        </w:rPr>
        <w:t>ירושלים בע"מ ו</w:t>
      </w:r>
      <w:r w:rsidRPr="00EF0393">
        <w:rPr>
          <w:rFonts w:hint="cs"/>
          <w:rtl/>
        </w:rPr>
        <w:t>קיבוצים שמ</w:t>
      </w:r>
      <w:r w:rsidR="00716471">
        <w:rPr>
          <w:rFonts w:hint="cs"/>
          <w:rtl/>
        </w:rPr>
        <w:t>עבירים חשמל אל צרכנים דרך קווי מתח גבוה או נמוך</w:t>
      </w:r>
      <w:r w:rsidRPr="00EF0393">
        <w:rPr>
          <w:rFonts w:hint="cs"/>
          <w:rtl/>
        </w:rPr>
        <w:t xml:space="preserve">. מוצע, לקבוע כי סך העלות שעל גורמים אלה להוציא לצורך הפחתת החשיפה לקרינה ממתקני החשמל שלהם לא תעלה על מיליון ש"ח בשנתיים. </w:t>
      </w:r>
      <w:r w:rsidR="009C496A">
        <w:rPr>
          <w:rFonts w:hint="cs"/>
          <w:rtl/>
        </w:rPr>
        <w:t xml:space="preserve">חלוקת הסכומים בין חברת החשמל ובעלי </w:t>
      </w:r>
      <w:proofErr w:type="spellStart"/>
      <w:r w:rsidR="009C496A">
        <w:rPr>
          <w:rFonts w:hint="cs"/>
          <w:rtl/>
        </w:rPr>
        <w:t>רשיונות</w:t>
      </w:r>
      <w:proofErr w:type="spellEnd"/>
      <w:r w:rsidR="009C496A">
        <w:rPr>
          <w:rFonts w:hint="cs"/>
          <w:rtl/>
        </w:rPr>
        <w:t xml:space="preserve"> חלוקה בוצעה בהתאם לחלקם היחסי בהיקפי חלוקת החשמל לצרכנים.</w:t>
      </w:r>
      <w:r w:rsidR="00F075AE">
        <w:rPr>
          <w:rFonts w:hint="cs"/>
          <w:rtl/>
        </w:rPr>
        <w:t xml:space="preserve"> מוצע, כי גם בעלי רישיונות חלוקה אלה יעבירו דיווח לממונה על הכספים שהוציאו לצורך הפחתת החשיפה לקרינה.</w:t>
      </w:r>
    </w:p>
    <w:p w:rsidR="00F075AE" w:rsidRDefault="00693CA9" w:rsidP="00D26EAB">
      <w:pPr>
        <w:pStyle w:val="Hesber1st"/>
        <w:tabs>
          <w:tab w:val="clear" w:pos="680"/>
        </w:tabs>
        <w:rPr>
          <w:rtl/>
        </w:rPr>
      </w:pPr>
      <w:r w:rsidRPr="00693CA9">
        <w:rPr>
          <w:rFonts w:hint="cs"/>
          <w:b/>
          <w:bCs/>
          <w:rtl/>
        </w:rPr>
        <w:t>הוספת תקנה 4</w:t>
      </w:r>
      <w:r w:rsidR="00D26EAB">
        <w:rPr>
          <w:rFonts w:hint="cs"/>
          <w:b/>
          <w:bCs/>
          <w:rtl/>
        </w:rPr>
        <w:t>ה</w:t>
      </w:r>
      <w:r w:rsidR="003C6461" w:rsidRPr="00693CA9">
        <w:rPr>
          <w:rFonts w:hint="cs"/>
          <w:rtl/>
        </w:rPr>
        <w:t xml:space="preserve"> </w:t>
      </w:r>
      <w:r>
        <w:rPr>
          <w:rtl/>
        </w:rPr>
        <w:tab/>
      </w:r>
      <w:r w:rsidRPr="00693CA9">
        <w:rPr>
          <w:rFonts w:hint="cs"/>
          <w:rtl/>
        </w:rPr>
        <w:t>מוצע לקבוע</w:t>
      </w:r>
      <w:r w:rsidR="00D026B3">
        <w:rPr>
          <w:rFonts w:hint="cs"/>
          <w:rtl/>
        </w:rPr>
        <w:t xml:space="preserve"> </w:t>
      </w:r>
      <w:r w:rsidR="00D026B3" w:rsidRPr="00D026B3">
        <w:rPr>
          <w:rtl/>
        </w:rPr>
        <w:t xml:space="preserve">כי למנהל המערכת, שהוא הגורם האמון על הבטחת השרידות והאמינות של אספקת החשמל, תהיה את האפשרות לקבוע, לגבי מקור קרינה מסוים, שלא ניתן להשתמש באחד מהאמצעים המפורטים להפחתת רמת חשיפה, וזאת רק משיקולים של שרידות המערכת ואמינות אספקת החשמל. מוצע, כי אפשרות זו של מנהל המערכת תחול לגבי כל אחד מסוגי </w:t>
      </w:r>
      <w:r w:rsidR="00D026B3" w:rsidRPr="00D026B3">
        <w:rPr>
          <w:rtl/>
        </w:rPr>
        <w:lastRenderedPageBreak/>
        <w:t>האמצעים - אמצעי שקבוע בתוספת השלישית, אמצעי שנקבע בהסכמה ואמצעי שנקבע על ידי הוועדה. יצוין, כי במסגרת תיקון חוק משק החשמל האחרון שבוצע במסגרת הרפורמה במשק החשמל, נקבע כי מנהל המערכת יופרד מחברת חשמל ויוקם כחברה ממשלתית עצמאית עד ליום 3.12.2019. החל ממועד זה מנהל המערכת יפעל באופן עצמאי במשק החשמל ולא במסגרת חברת החשמל.</w:t>
      </w:r>
    </w:p>
    <w:p w:rsidR="00D26EAB" w:rsidRPr="00693CA9" w:rsidRDefault="00D26EAB" w:rsidP="00D26EAB">
      <w:pPr>
        <w:pStyle w:val="Hesber"/>
        <w:ind w:firstLine="0"/>
        <w:rPr>
          <w:rtl/>
        </w:rPr>
      </w:pPr>
      <w:r w:rsidRPr="00693CA9">
        <w:rPr>
          <w:rFonts w:hint="cs"/>
          <w:b/>
          <w:bCs/>
          <w:rtl/>
        </w:rPr>
        <w:t>הוספת תקנה 4</w:t>
      </w:r>
      <w:r>
        <w:rPr>
          <w:rFonts w:hint="cs"/>
          <w:b/>
          <w:bCs/>
          <w:rtl/>
        </w:rPr>
        <w:t>ו</w:t>
      </w:r>
      <w:r>
        <w:rPr>
          <w:rFonts w:hint="cs"/>
          <w:rtl/>
        </w:rPr>
        <w:t xml:space="preserve"> </w:t>
      </w:r>
      <w:r>
        <w:rPr>
          <w:rtl/>
        </w:rPr>
        <w:tab/>
      </w:r>
      <w:r>
        <w:rPr>
          <w:rFonts w:hint="cs"/>
          <w:rtl/>
        </w:rPr>
        <w:t xml:space="preserve">מוצע לאפשר לממונה להורות לחברת החשמל להעביר כספים בין התקציב שיועד להפחתת חשיפה לקרינה ממתקני חשמל חדשים, כאמור בתקנה 4ג המוצעת, ובין התקציב שיועד להפחתת החשיפה ממתקנים קיימים, וזאת במטרה להביא לניצול מיטבי של הכספים. </w:t>
      </w:r>
      <w:r w:rsidR="00A14073">
        <w:rPr>
          <w:rFonts w:hint="cs"/>
          <w:rtl/>
        </w:rPr>
        <w:t xml:space="preserve">עוד מוצע, כי העברת סכום העולה על 10 מיליון ש"ח מהתקציב המיועד להפחתת חשיפה לקרינה ממתקני חשמל חדשים לתקציב </w:t>
      </w:r>
      <w:r w:rsidR="00F74327">
        <w:rPr>
          <w:rFonts w:hint="cs"/>
          <w:rtl/>
        </w:rPr>
        <w:t>המ</w:t>
      </w:r>
      <w:r w:rsidR="00A14073">
        <w:rPr>
          <w:rFonts w:hint="cs"/>
          <w:rtl/>
        </w:rPr>
        <w:t>יועד להפחתת החשיפה ממתקנים קיימים, תעשה באישור הועדה המקצועית שתוקם על פי תקנה 4ז.</w:t>
      </w:r>
    </w:p>
    <w:p w:rsidR="00233F0D" w:rsidRDefault="00F075AE" w:rsidP="00693CA9">
      <w:pPr>
        <w:pStyle w:val="Hesber"/>
        <w:ind w:firstLine="0"/>
        <w:rPr>
          <w:rtl/>
        </w:rPr>
      </w:pPr>
      <w:r w:rsidRPr="00486F0A">
        <w:rPr>
          <w:rFonts w:hint="cs"/>
          <w:b/>
          <w:bCs/>
          <w:rtl/>
        </w:rPr>
        <w:t>הוספת תקנה 4</w:t>
      </w:r>
      <w:r w:rsidR="00693CA9">
        <w:rPr>
          <w:rFonts w:hint="cs"/>
          <w:b/>
          <w:bCs/>
          <w:rtl/>
        </w:rPr>
        <w:t>ז</w:t>
      </w:r>
      <w:r w:rsidR="00486F0A">
        <w:rPr>
          <w:rtl/>
        </w:rPr>
        <w:tab/>
      </w:r>
      <w:r>
        <w:rPr>
          <w:rFonts w:hint="cs"/>
          <w:rtl/>
        </w:rPr>
        <w:t xml:space="preserve">ועדה מקצועית </w:t>
      </w:r>
      <w:r w:rsidR="00065880">
        <w:rPr>
          <w:rFonts w:hint="cs"/>
          <w:rtl/>
        </w:rPr>
        <w:t>- בתחום הקרינה הבלתי מייננת והשפעותיה על גוף האדם נערכים גם בימים אלה מחקרים חדשים</w:t>
      </w:r>
      <w:r w:rsidR="00A25B55">
        <w:rPr>
          <w:rFonts w:hint="cs"/>
          <w:rtl/>
        </w:rPr>
        <w:t>,</w:t>
      </w:r>
      <w:r w:rsidR="00065880">
        <w:rPr>
          <w:rFonts w:hint="cs"/>
          <w:rtl/>
        </w:rPr>
        <w:t xml:space="preserve"> ויתכן כי יהיו גילויים ומסקנות שיהיה בהם כדי להשפיע על הצורך ועל האופן שבו ננקטים אמצעים לצמצום חשיפה לקרינה. בנוסף לכך, גם בתחום של פיתוח אמצעים </w:t>
      </w:r>
      <w:r w:rsidR="00233F0D">
        <w:rPr>
          <w:rFonts w:hint="cs"/>
          <w:rtl/>
        </w:rPr>
        <w:t xml:space="preserve">טכנולוגיים להפחתת חשיפה לקרינה ישנה כל העת התקדמות, לדוגמא פיתוח של כבלים חדשים להולכת חשמל המפחיתים את הקרינה הנוצרת במקור, שילוב של חומרים שונים המונעים התפשטות של שדה מגנטי ועוד. </w:t>
      </w:r>
      <w:r w:rsidR="00065880">
        <w:rPr>
          <w:rFonts w:hint="cs"/>
          <w:rtl/>
        </w:rPr>
        <w:t xml:space="preserve"> לפיכך, </w:t>
      </w:r>
      <w:r>
        <w:rPr>
          <w:rFonts w:hint="cs"/>
          <w:rtl/>
        </w:rPr>
        <w:t>מוצע, כי מנכ"ל המשרד להגנת הסביבה יקים ועדה מקצועית, אשר תהווה גורם ממליץ לשר להגנת הסביבה, ותבחן את הצורך בעדכון הוראות התקנות הנוגעות לקרינה ממתקני חשמל</w:t>
      </w:r>
      <w:r w:rsidR="003C6461">
        <w:rPr>
          <w:rFonts w:hint="cs"/>
          <w:rtl/>
        </w:rPr>
        <w:t xml:space="preserve"> </w:t>
      </w:r>
      <w:r>
        <w:rPr>
          <w:rFonts w:hint="cs"/>
          <w:rtl/>
        </w:rPr>
        <w:t>לאור שינוי בהמלצות הגורמים הבינלאומיים העוסקים בנושא או במקרה של התפתחות טכנולוגית משמעותית בתחום.</w:t>
      </w:r>
      <w:r w:rsidR="003C6461">
        <w:rPr>
          <w:rFonts w:hint="cs"/>
          <w:rtl/>
        </w:rPr>
        <w:t xml:space="preserve"> </w:t>
      </w:r>
      <w:r w:rsidR="00233F0D">
        <w:rPr>
          <w:rFonts w:hint="cs"/>
          <w:rtl/>
        </w:rPr>
        <w:t>מוצע לקבוע את הרכב הועדה באופן שיאפשר ייצוג לכלל הגורמים הרלוונטיים לנושא, וכי החלטות הועדה יתקבלו ברוב של ארבעה חברים לפחות. עוד מוצע</w:t>
      </w:r>
      <w:r w:rsidR="00A25B55">
        <w:rPr>
          <w:rFonts w:hint="cs"/>
          <w:rtl/>
        </w:rPr>
        <w:t>,</w:t>
      </w:r>
      <w:r w:rsidR="00233F0D">
        <w:rPr>
          <w:rFonts w:hint="cs"/>
          <w:rtl/>
        </w:rPr>
        <w:t xml:space="preserve"> כי הועדה תהיה מוסמכת גם לקבוע סדרי עדיפויות לנקיטת אמצעים להפחתת חשיפה לקרינה ממתקני חשמל קיימים, במקרה של צפי לחריגה מהתקציב בסך 31 מיליון ש"ח, כאמור בתקנה 4ד, וכן כי הועדה תהיה מוסמכת להורות על שימוש באמצעי להפחתת חשיפה לקרינה שאינו מנוי בתוספת השלישית, אם ראתה לנכון לעשות כן לגבי מתקן חשמל מסוים.</w:t>
      </w:r>
    </w:p>
    <w:p w:rsidR="007C4647" w:rsidRDefault="00233F0D" w:rsidP="00A25B55">
      <w:pPr>
        <w:pStyle w:val="Hesber"/>
        <w:ind w:firstLine="0"/>
        <w:rPr>
          <w:rtl/>
        </w:rPr>
      </w:pPr>
      <w:r w:rsidRPr="00486F0A">
        <w:rPr>
          <w:rFonts w:hint="cs"/>
          <w:b/>
          <w:bCs/>
          <w:rtl/>
        </w:rPr>
        <w:t>תיקון תקנה 13 לתקנות העיקריות</w:t>
      </w:r>
      <w:r>
        <w:rPr>
          <w:rFonts w:hint="cs"/>
          <w:rtl/>
        </w:rPr>
        <w:t xml:space="preserve"> </w:t>
      </w:r>
      <w:r w:rsidR="00486F0A">
        <w:rPr>
          <w:rtl/>
        </w:rPr>
        <w:tab/>
      </w:r>
      <w:r>
        <w:rPr>
          <w:rFonts w:hint="cs"/>
          <w:rtl/>
        </w:rPr>
        <w:t xml:space="preserve">מאחר שהתקנות העיקריות הן תקנות </w:t>
      </w:r>
      <w:proofErr w:type="spellStart"/>
      <w:r>
        <w:rPr>
          <w:rFonts w:hint="cs"/>
          <w:rtl/>
        </w:rPr>
        <w:t>עונשיות</w:t>
      </w:r>
      <w:proofErr w:type="spellEnd"/>
      <w:r>
        <w:rPr>
          <w:rFonts w:hint="cs"/>
          <w:rtl/>
        </w:rPr>
        <w:t>, מוצע לתקן את התקנה בנושא עונשי</w:t>
      </w:r>
      <w:r w:rsidR="00A25B55">
        <w:rPr>
          <w:rFonts w:hint="cs"/>
          <w:rtl/>
        </w:rPr>
        <w:t>ן</w:t>
      </w:r>
      <w:r>
        <w:rPr>
          <w:rFonts w:hint="cs"/>
          <w:rtl/>
        </w:rPr>
        <w:t xml:space="preserve"> בתקנות העיקריות, ולהוסיף את האיסור על הקמת מקור קרינה חדש ללא נקיטת אמצעים לצמצום חשיפה לקרינה כאמור בתקנה 4ג המוצעת, ואת הפרת חובות הדיווח, האמורות בתקנה 4ד המוצעת.</w:t>
      </w:r>
    </w:p>
    <w:p w:rsidR="001A6D66" w:rsidRDefault="001A6D66" w:rsidP="004B4946">
      <w:pPr>
        <w:pStyle w:val="Hesber"/>
        <w:ind w:firstLine="0"/>
        <w:rPr>
          <w:rtl/>
        </w:rPr>
      </w:pPr>
      <w:r w:rsidRPr="00486F0A">
        <w:rPr>
          <w:rFonts w:hint="cs"/>
          <w:b/>
          <w:bCs/>
          <w:rtl/>
        </w:rPr>
        <w:t xml:space="preserve">תוספת שלישית </w:t>
      </w:r>
      <w:r w:rsidR="00715D93">
        <w:rPr>
          <w:rFonts w:hint="cs"/>
          <w:b/>
          <w:bCs/>
          <w:rtl/>
        </w:rPr>
        <w:t>-</w:t>
      </w:r>
      <w:r w:rsidRPr="00486F0A">
        <w:rPr>
          <w:rFonts w:hint="cs"/>
          <w:b/>
          <w:bCs/>
          <w:rtl/>
        </w:rPr>
        <w:t xml:space="preserve"> אמצעים שגרתיים להפחתת חשיפה לקרינה</w:t>
      </w:r>
      <w:r>
        <w:rPr>
          <w:rFonts w:hint="cs"/>
          <w:rtl/>
        </w:rPr>
        <w:t xml:space="preserve"> </w:t>
      </w:r>
      <w:r w:rsidR="00715D93">
        <w:rPr>
          <w:rFonts w:hint="cs"/>
          <w:rtl/>
        </w:rPr>
        <w:t>-</w:t>
      </w:r>
      <w:r>
        <w:rPr>
          <w:rFonts w:hint="cs"/>
          <w:rtl/>
        </w:rPr>
        <w:t xml:space="preserve"> על מנת לצמצם את חשיפת הציבור לקרינה שמקורה בשדה מגנטי ובשדה חשמלי הנוצרים ממתקני חשמל, ניתן לנקוט באמצעים שונים. ראשית, </w:t>
      </w:r>
      <w:r w:rsidR="009507DF">
        <w:rPr>
          <w:rFonts w:hint="cs"/>
          <w:rtl/>
        </w:rPr>
        <w:t xml:space="preserve">ניתן </w:t>
      </w:r>
      <w:r>
        <w:rPr>
          <w:rFonts w:hint="cs"/>
          <w:rtl/>
        </w:rPr>
        <w:t xml:space="preserve">להפחית את רמת הקרינה </w:t>
      </w:r>
      <w:r w:rsidR="009507DF">
        <w:rPr>
          <w:rFonts w:hint="cs"/>
          <w:rtl/>
        </w:rPr>
        <w:t>אליה נחשף הציבור באמצעות טיפול ב</w:t>
      </w:r>
      <w:r>
        <w:rPr>
          <w:rFonts w:hint="cs"/>
          <w:rtl/>
        </w:rPr>
        <w:t>מתקן החשמל עצמו. במסגרת זו, ניתן לנקוט באמצעים כגון צמצום המרחק בין המוליכים, דרכם עוב</w:t>
      </w:r>
      <w:r w:rsidR="004B4946">
        <w:rPr>
          <w:rFonts w:hint="cs"/>
          <w:rtl/>
        </w:rPr>
        <w:t>ר</w:t>
      </w:r>
      <w:r>
        <w:rPr>
          <w:rFonts w:hint="cs"/>
          <w:rtl/>
        </w:rPr>
        <w:t xml:space="preserve"> הזרם החשמלי, כדי לאפשר נטרול הדדי של השדה המגנטי, הרחקה של מקור הקרינה מאזורים בהם יש שהי</w:t>
      </w:r>
      <w:r w:rsidR="0092637D">
        <w:rPr>
          <w:rFonts w:hint="cs"/>
          <w:rtl/>
        </w:rPr>
        <w:t>י</w:t>
      </w:r>
      <w:r>
        <w:rPr>
          <w:rFonts w:hint="cs"/>
          <w:rtl/>
        </w:rPr>
        <w:t xml:space="preserve">ה ממושכת של בני אדם, הטמנת כבלי חשמל בקרקע, </w:t>
      </w:r>
      <w:r w:rsidR="00F22A4D">
        <w:rPr>
          <w:rFonts w:hint="cs"/>
          <w:rtl/>
        </w:rPr>
        <w:t>ו</w:t>
      </w:r>
      <w:r>
        <w:rPr>
          <w:rFonts w:hint="cs"/>
          <w:rtl/>
        </w:rPr>
        <w:t>ביצוע מיסוך</w:t>
      </w:r>
      <w:r w:rsidR="00F22A4D">
        <w:rPr>
          <w:rFonts w:hint="cs"/>
          <w:rtl/>
        </w:rPr>
        <w:t xml:space="preserve"> - בידוד</w:t>
      </w:r>
      <w:r>
        <w:rPr>
          <w:rFonts w:hint="cs"/>
          <w:rtl/>
        </w:rPr>
        <w:t xml:space="preserve"> יעיל של  מת</w:t>
      </w:r>
      <w:r w:rsidR="00F22A4D">
        <w:rPr>
          <w:rFonts w:hint="cs"/>
          <w:rtl/>
        </w:rPr>
        <w:t xml:space="preserve">קני חשמל קטנים יחסית, כמו חדרי שנאים וארונות חשמל, באופן שמונע את התפשטות השדות המגנטי והחשמלי. </w:t>
      </w:r>
    </w:p>
    <w:p w:rsidR="00F22A4D" w:rsidRDefault="00F22A4D" w:rsidP="00B63E26">
      <w:pPr>
        <w:pStyle w:val="Hesber"/>
        <w:rPr>
          <w:rtl/>
        </w:rPr>
      </w:pPr>
      <w:r>
        <w:rPr>
          <w:rFonts w:hint="cs"/>
          <w:rtl/>
        </w:rPr>
        <w:lastRenderedPageBreak/>
        <w:t xml:space="preserve">שנית, ניתן </w:t>
      </w:r>
      <w:r w:rsidR="009507DF">
        <w:rPr>
          <w:rFonts w:hint="cs"/>
          <w:rtl/>
        </w:rPr>
        <w:t xml:space="preserve">להפחית את רמת הקרינה אליה נחשף הציבור באמצעות נקיטת </w:t>
      </w:r>
      <w:r>
        <w:rPr>
          <w:rFonts w:hint="cs"/>
          <w:rtl/>
        </w:rPr>
        <w:t xml:space="preserve">אמצעים אצל הגורם החשוף לקרינה, שמטרתם לבטל את החשיפה לקרינה באזור מסוים, על ידי יצירת שדה מגנטי הפוך לשדה המגנטי שמקורו במתקן החשמל. עלותם של אמצעים מסוג זה היא גבוהה יחסית, והם מאפשרים צמצום החשיפה לקרינה בשטח מוגבל. לכן, אמצעים אלה לא נחשבים כאמצעים שגרתיים בעולם, וננקטים רק במקרים בהם האמצעים להפחתת הקרינה הנוצרת ממתקן החשמל עצמו לא הועילו. במסגרת תקנות אלה, ניתן יהיה לנקוט אמצעי מסוג זה בהסכמת </w:t>
      </w:r>
      <w:r w:rsidR="000C7852">
        <w:rPr>
          <w:rFonts w:hint="cs"/>
          <w:rtl/>
        </w:rPr>
        <w:t xml:space="preserve">מבקש או בעל היתר </w:t>
      </w:r>
      <w:r w:rsidR="00B63E26">
        <w:rPr>
          <w:rFonts w:hint="cs"/>
          <w:rtl/>
        </w:rPr>
        <w:t>ההקמה או היתר ההפעלה</w:t>
      </w:r>
      <w:r>
        <w:rPr>
          <w:rFonts w:hint="cs"/>
          <w:rtl/>
        </w:rPr>
        <w:t>, או על פי החלטת הועדה המקצועית, שתפעל על פי תקנה 4ו המוצעת.</w:t>
      </w:r>
    </w:p>
    <w:p w:rsidR="008D672B" w:rsidRDefault="008D672B" w:rsidP="00693CA9">
      <w:pPr>
        <w:pStyle w:val="Hesber"/>
        <w:rPr>
          <w:rtl/>
        </w:rPr>
      </w:pPr>
      <w:r>
        <w:rPr>
          <w:rFonts w:hint="cs"/>
          <w:rtl/>
        </w:rPr>
        <w:t xml:space="preserve">תוספת רביעית </w:t>
      </w:r>
      <w:r>
        <w:rPr>
          <w:rtl/>
        </w:rPr>
        <w:t>–</w:t>
      </w:r>
      <w:r>
        <w:rPr>
          <w:rFonts w:hint="cs"/>
          <w:rtl/>
        </w:rPr>
        <w:t xml:space="preserve"> מרחקים בין מקורות קרינה </w:t>
      </w:r>
      <w:r w:rsidR="00A25B55">
        <w:rPr>
          <w:rFonts w:hint="cs"/>
          <w:rtl/>
        </w:rPr>
        <w:t>-</w:t>
      </w:r>
      <w:r>
        <w:rPr>
          <w:rFonts w:hint="cs"/>
          <w:rtl/>
        </w:rPr>
        <w:t xml:space="preserve"> מתקני חשמל </w:t>
      </w:r>
      <w:r w:rsidR="00A25B55">
        <w:rPr>
          <w:rFonts w:hint="cs"/>
          <w:rtl/>
        </w:rPr>
        <w:t xml:space="preserve">- </w:t>
      </w:r>
      <w:r>
        <w:rPr>
          <w:rFonts w:hint="cs"/>
          <w:rtl/>
        </w:rPr>
        <w:t>למקומות שה</w:t>
      </w:r>
      <w:r w:rsidR="0092637D">
        <w:rPr>
          <w:rFonts w:hint="cs"/>
          <w:rtl/>
        </w:rPr>
        <w:t>י</w:t>
      </w:r>
      <w:r>
        <w:rPr>
          <w:rFonts w:hint="cs"/>
          <w:rtl/>
        </w:rPr>
        <w:t xml:space="preserve">יה ממושכת </w:t>
      </w:r>
      <w:r w:rsidR="00A25B55">
        <w:rPr>
          <w:rFonts w:hint="cs"/>
          <w:rtl/>
        </w:rPr>
        <w:t>-</w:t>
      </w:r>
      <w:r>
        <w:rPr>
          <w:rFonts w:hint="cs"/>
          <w:rtl/>
        </w:rPr>
        <w:t xml:space="preserve"> מוצע לקבוע</w:t>
      </w:r>
      <w:r w:rsidR="00A25B55">
        <w:rPr>
          <w:rFonts w:hint="cs"/>
          <w:rtl/>
        </w:rPr>
        <w:t>,</w:t>
      </w:r>
      <w:r>
        <w:rPr>
          <w:rFonts w:hint="cs"/>
          <w:rtl/>
        </w:rPr>
        <w:t xml:space="preserve">  על פי סוגי</w:t>
      </w:r>
      <w:r w:rsidR="00A72D4A">
        <w:rPr>
          <w:rFonts w:hint="cs"/>
          <w:rtl/>
        </w:rPr>
        <w:t>הם של</w:t>
      </w:r>
      <w:r>
        <w:rPr>
          <w:rFonts w:hint="cs"/>
          <w:rtl/>
        </w:rPr>
        <w:t xml:space="preserve"> מתקני החשמל השונים ורמ</w:t>
      </w:r>
      <w:r w:rsidR="00792C48">
        <w:rPr>
          <w:rFonts w:hint="cs"/>
          <w:rtl/>
        </w:rPr>
        <w:t>ו</w:t>
      </w:r>
      <w:r>
        <w:rPr>
          <w:rFonts w:hint="cs"/>
          <w:rtl/>
        </w:rPr>
        <w:t xml:space="preserve">ת השדה המגנטי והחשמלי </w:t>
      </w:r>
      <w:r w:rsidR="00792C48">
        <w:rPr>
          <w:rFonts w:hint="cs"/>
          <w:rtl/>
        </w:rPr>
        <w:t xml:space="preserve">הנוצרות </w:t>
      </w:r>
      <w:r>
        <w:rPr>
          <w:rFonts w:hint="cs"/>
          <w:rtl/>
        </w:rPr>
        <w:t xml:space="preserve">מהם, את המרחק הדרוש בין מתקנים אלה לבין מקומות </w:t>
      </w:r>
      <w:r w:rsidR="00F82C66">
        <w:rPr>
          <w:rFonts w:hint="cs"/>
          <w:rtl/>
        </w:rPr>
        <w:t>שהייה ממושכת כמפורט בתוספת.</w:t>
      </w:r>
      <w:r w:rsidR="00453F07">
        <w:rPr>
          <w:rFonts w:hint="cs"/>
          <w:rtl/>
        </w:rPr>
        <w:t xml:space="preserve"> מרחקים אלו נקבעו בדוח ועדת המומחים</w:t>
      </w:r>
      <w:r w:rsidR="00792C48">
        <w:rPr>
          <w:rFonts w:hint="cs"/>
          <w:rtl/>
        </w:rPr>
        <w:t>.</w:t>
      </w:r>
      <w:r w:rsidR="00453F07">
        <w:rPr>
          <w:rFonts w:hint="cs"/>
          <w:rtl/>
        </w:rPr>
        <w:t xml:space="preserve"> </w:t>
      </w:r>
      <w:r w:rsidR="00792C48">
        <w:rPr>
          <w:rFonts w:hint="cs"/>
          <w:rtl/>
        </w:rPr>
        <w:t xml:space="preserve"> </w:t>
      </w:r>
    </w:p>
    <w:p w:rsidR="008D672B" w:rsidRPr="008D672B" w:rsidRDefault="0077754C" w:rsidP="0034763C">
      <w:pPr>
        <w:pStyle w:val="Hesber1st"/>
        <w:tabs>
          <w:tab w:val="clear" w:pos="680"/>
        </w:tabs>
      </w:pPr>
      <w:r>
        <w:rPr>
          <w:rFonts w:hint="cs"/>
          <w:rtl/>
        </w:rPr>
        <w:t>מטרת ה</w:t>
      </w:r>
      <w:r w:rsidR="008D672B">
        <w:rPr>
          <w:rFonts w:hint="cs"/>
          <w:rtl/>
        </w:rPr>
        <w:t>שמירה על מרחקים אלה, ב</w:t>
      </w:r>
      <w:r>
        <w:rPr>
          <w:rFonts w:hint="cs"/>
          <w:rtl/>
        </w:rPr>
        <w:t>נוסף על</w:t>
      </w:r>
      <w:r w:rsidR="008D672B">
        <w:rPr>
          <w:rFonts w:hint="cs"/>
          <w:rtl/>
        </w:rPr>
        <w:t xml:space="preserve"> נקיטת האמצעים להפחתת חשיפה לקרינה המפורטים בתוספת השלישית המוצעת, </w:t>
      </w:r>
      <w:r>
        <w:rPr>
          <w:rFonts w:hint="cs"/>
          <w:rtl/>
        </w:rPr>
        <w:t xml:space="preserve">היא להביא </w:t>
      </w:r>
      <w:r w:rsidR="0034763C">
        <w:rPr>
          <w:rFonts w:hint="cs"/>
          <w:rtl/>
        </w:rPr>
        <w:t xml:space="preserve">להקטנת החשיפה לקרינה ממתקני חשמל בהתאם לעקרון הזהירות המונעת. </w:t>
      </w:r>
    </w:p>
    <w:sectPr w:rsidR="008D672B" w:rsidRPr="008D672B" w:rsidSect="00AA7EC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1B" w:rsidRDefault="004E7D1B" w:rsidP="00AE74F7">
      <w:pPr>
        <w:spacing w:line="240" w:lineRule="auto"/>
      </w:pPr>
      <w:r>
        <w:separator/>
      </w:r>
    </w:p>
  </w:endnote>
  <w:endnote w:type="continuationSeparator" w:id="0">
    <w:p w:rsidR="004E7D1B" w:rsidRDefault="004E7D1B" w:rsidP="00AE7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1B" w:rsidRDefault="004E7D1B" w:rsidP="00E67AA3">
      <w:pPr>
        <w:spacing w:line="240" w:lineRule="auto"/>
        <w:ind w:left="0"/>
      </w:pPr>
      <w:r>
        <w:separator/>
      </w:r>
    </w:p>
  </w:footnote>
  <w:footnote w:type="continuationSeparator" w:id="0">
    <w:p w:rsidR="004E7D1B" w:rsidRDefault="004E7D1B" w:rsidP="00AE74F7">
      <w:pPr>
        <w:spacing w:line="240" w:lineRule="auto"/>
      </w:pPr>
      <w:r>
        <w:continuationSeparator/>
      </w:r>
    </w:p>
  </w:footnote>
  <w:footnote w:id="1">
    <w:p w:rsidR="00AE74F7" w:rsidRPr="00DC5D20" w:rsidRDefault="00AE74F7" w:rsidP="00AE74F7">
      <w:pPr>
        <w:pStyle w:val="a5"/>
        <w:rPr>
          <w:rtl/>
        </w:rPr>
      </w:pPr>
      <w:r>
        <w:rPr>
          <w:rStyle w:val="a7"/>
        </w:rPr>
        <w:footnoteRef/>
      </w:r>
      <w:r>
        <w:rPr>
          <w:rFonts w:hint="cs"/>
          <w:rtl/>
        </w:rPr>
        <w:t xml:space="preserve">ס"ח </w:t>
      </w:r>
      <w:proofErr w:type="spellStart"/>
      <w:r>
        <w:rPr>
          <w:rFonts w:hint="cs"/>
          <w:rtl/>
        </w:rPr>
        <w:t>התשס"ו</w:t>
      </w:r>
      <w:proofErr w:type="spellEnd"/>
      <w:r>
        <w:rPr>
          <w:rFonts w:hint="cs"/>
          <w:rtl/>
        </w:rPr>
        <w:t>, עמ' 158 (257).</w:t>
      </w:r>
    </w:p>
  </w:footnote>
  <w:footnote w:id="2">
    <w:p w:rsidR="00E67AA3" w:rsidRDefault="00E67AA3">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התשס"ט</w:t>
      </w:r>
      <w:proofErr w:type="spellEnd"/>
      <w:r>
        <w:rPr>
          <w:rFonts w:hint="cs"/>
          <w:rtl/>
        </w:rPr>
        <w:t>, עמ' 381.</w:t>
      </w:r>
    </w:p>
  </w:footnote>
  <w:footnote w:id="3">
    <w:p w:rsidR="00F6704B" w:rsidRDefault="00F6704B" w:rsidP="00F6704B">
      <w:pPr>
        <w:pStyle w:val="a5"/>
        <w:rPr>
          <w:rtl/>
        </w:rPr>
      </w:pPr>
      <w:r w:rsidRPr="00F6704B">
        <w:footnoteRef/>
      </w:r>
      <w:r>
        <w:rPr>
          <w:rtl/>
        </w:rPr>
        <w:t xml:space="preserve"> </w:t>
      </w:r>
      <w:hyperlink r:id="rId1" w:history="1">
        <w:r w:rsidRPr="00F6704B">
          <w:rPr>
            <w:rFonts w:hint="cs"/>
            <w:rtl/>
          </w:rPr>
          <w:t xml:space="preserve">ס"ח </w:t>
        </w:r>
        <w:proofErr w:type="spellStart"/>
        <w:r w:rsidRPr="00F6704B">
          <w:rPr>
            <w:rFonts w:hint="cs"/>
            <w:rtl/>
          </w:rPr>
          <w:t>התשנ"ו</w:t>
        </w:r>
        <w:proofErr w:type="spellEnd"/>
        <w:r w:rsidRPr="00F6704B">
          <w:rPr>
            <w:rFonts w:hint="cs"/>
            <w:rtl/>
          </w:rPr>
          <w:t>,</w:t>
        </w:r>
      </w:hyperlink>
      <w:r w:rsidRPr="00F6704B">
        <w:rPr>
          <w:rFonts w:hint="cs"/>
          <w:rtl/>
        </w:rPr>
        <w:t xml:space="preserve"> עמ' 208.</w:t>
      </w:r>
    </w:p>
  </w:footnote>
  <w:footnote w:id="4">
    <w:p w:rsidR="00641AB2" w:rsidRDefault="00641AB2">
      <w:pPr>
        <w:pStyle w:val="a5"/>
      </w:pPr>
      <w:r>
        <w:rPr>
          <w:rStyle w:val="a7"/>
        </w:rPr>
        <w:footnoteRef/>
      </w:r>
      <w:r>
        <w:rPr>
          <w:rtl/>
        </w:rPr>
        <w:t xml:space="preserve"> </w:t>
      </w:r>
      <w:r w:rsidRPr="00641AB2">
        <w:t>http://www.cpuc.ca.gov/WorkArea/DownloadAsset.aspx?id=4884</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627E0"/>
    <w:multiLevelType w:val="hybridMultilevel"/>
    <w:tmpl w:val="44303A04"/>
    <w:lvl w:ilvl="0" w:tplc="79BC9E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E062F"/>
    <w:multiLevelType w:val="hybridMultilevel"/>
    <w:tmpl w:val="2B085610"/>
    <w:lvl w:ilvl="0" w:tplc="0CC65A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2476C"/>
    <w:multiLevelType w:val="hybridMultilevel"/>
    <w:tmpl w:val="82D4A2B0"/>
    <w:lvl w:ilvl="0" w:tplc="28B4EC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A1383"/>
    <w:multiLevelType w:val="hybridMultilevel"/>
    <w:tmpl w:val="86FA9D96"/>
    <w:lvl w:ilvl="0" w:tplc="01C89F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331A60"/>
    <w:multiLevelType w:val="hybridMultilevel"/>
    <w:tmpl w:val="38B4A3F0"/>
    <w:lvl w:ilvl="0" w:tplc="398E4EC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2351E"/>
    <w:multiLevelType w:val="hybridMultilevel"/>
    <w:tmpl w:val="EE28301A"/>
    <w:lvl w:ilvl="0" w:tplc="1CEC0DE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D67D3"/>
    <w:multiLevelType w:val="hybridMultilevel"/>
    <w:tmpl w:val="D3200DEE"/>
    <w:lvl w:ilvl="0" w:tplc="E7A4FF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1875"/>
    <w:multiLevelType w:val="hybridMultilevel"/>
    <w:tmpl w:val="FD880C24"/>
    <w:lvl w:ilvl="0" w:tplc="C3482E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A2443"/>
    <w:multiLevelType w:val="hybridMultilevel"/>
    <w:tmpl w:val="B0FAF5E4"/>
    <w:lvl w:ilvl="0" w:tplc="4EB4E5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C54DC"/>
    <w:multiLevelType w:val="hybridMultilevel"/>
    <w:tmpl w:val="C1B023E2"/>
    <w:lvl w:ilvl="0" w:tplc="20220316">
      <w:start w:val="1"/>
      <w:numFmt w:val="decimal"/>
      <w:lvlRestart w:val="0"/>
      <w:lvlText w:val="(%1)"/>
      <w:lvlJc w:val="left"/>
      <w:pPr>
        <w:ind w:left="1560" w:hanging="360"/>
      </w:pPr>
      <w:rPr>
        <w:rFont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C1B1D63"/>
    <w:multiLevelType w:val="hybridMultilevel"/>
    <w:tmpl w:val="32E02DF0"/>
    <w:lvl w:ilvl="0" w:tplc="747C1AB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168F6"/>
    <w:multiLevelType w:val="hybridMultilevel"/>
    <w:tmpl w:val="E4BC7B00"/>
    <w:lvl w:ilvl="0" w:tplc="643CC34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473ED"/>
    <w:multiLevelType w:val="hybridMultilevel"/>
    <w:tmpl w:val="1BCE14F4"/>
    <w:lvl w:ilvl="0" w:tplc="162E5F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E0403B"/>
    <w:multiLevelType w:val="hybridMultilevel"/>
    <w:tmpl w:val="C6B24C68"/>
    <w:lvl w:ilvl="0" w:tplc="2B941AD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0F14FB8"/>
    <w:multiLevelType w:val="hybridMultilevel"/>
    <w:tmpl w:val="123E3B44"/>
    <w:lvl w:ilvl="0" w:tplc="F4945B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124D6"/>
    <w:multiLevelType w:val="hybridMultilevel"/>
    <w:tmpl w:val="AAC8568C"/>
    <w:lvl w:ilvl="0" w:tplc="489604D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869A8"/>
    <w:multiLevelType w:val="hybridMultilevel"/>
    <w:tmpl w:val="4B1CD988"/>
    <w:lvl w:ilvl="0" w:tplc="9492255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D7EBA"/>
    <w:multiLevelType w:val="hybridMultilevel"/>
    <w:tmpl w:val="099CE136"/>
    <w:lvl w:ilvl="0" w:tplc="500EA3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21435"/>
    <w:multiLevelType w:val="hybridMultilevel"/>
    <w:tmpl w:val="D8608B58"/>
    <w:lvl w:ilvl="0" w:tplc="41F8475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num>
  <w:num w:numId="5">
    <w:abstractNumId w:val="15"/>
  </w:num>
  <w:num w:numId="6">
    <w:abstractNumId w:val="33"/>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5"/>
    <w:lvlOverride w:ilvl="0">
      <w:startOverride w:val="1"/>
    </w:lvlOverride>
  </w:num>
  <w:num w:numId="18">
    <w:abstractNumId w:val="14"/>
  </w:num>
  <w:num w:numId="19">
    <w:abstractNumId w:val="27"/>
  </w:num>
  <w:num w:numId="20">
    <w:abstractNumId w:val="26"/>
  </w:num>
  <w:num w:numId="21">
    <w:abstractNumId w:val="24"/>
  </w:num>
  <w:num w:numId="22">
    <w:abstractNumId w:val="29"/>
  </w:num>
  <w:num w:numId="23">
    <w:abstractNumId w:val="23"/>
  </w:num>
  <w:num w:numId="24">
    <w:abstractNumId w:val="17"/>
  </w:num>
  <w:num w:numId="25">
    <w:abstractNumId w:val="19"/>
  </w:num>
  <w:num w:numId="26">
    <w:abstractNumId w:val="34"/>
  </w:num>
  <w:num w:numId="27">
    <w:abstractNumId w:val="31"/>
  </w:num>
  <w:num w:numId="28">
    <w:abstractNumId w:val="18"/>
  </w:num>
  <w:num w:numId="29">
    <w:abstractNumId w:val="13"/>
  </w:num>
  <w:num w:numId="30">
    <w:abstractNumId w:val="12"/>
  </w:num>
  <w:num w:numId="31">
    <w:abstractNumId w:val="30"/>
  </w:num>
  <w:num w:numId="32">
    <w:abstractNumId w:val="11"/>
  </w:num>
  <w:num w:numId="33">
    <w:abstractNumId w:val="10"/>
  </w:num>
  <w:num w:numId="34">
    <w:abstractNumId w:val="21"/>
  </w:num>
  <w:num w:numId="35">
    <w:abstractNumId w:val="28"/>
  </w:num>
  <w:num w:numId="36">
    <w:abstractNumId w:val="16"/>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0"/>
    <w:rsid w:val="000106EF"/>
    <w:rsid w:val="0001745C"/>
    <w:rsid w:val="00062513"/>
    <w:rsid w:val="000627FC"/>
    <w:rsid w:val="00065880"/>
    <w:rsid w:val="00066028"/>
    <w:rsid w:val="000849EB"/>
    <w:rsid w:val="00084D81"/>
    <w:rsid w:val="000914CC"/>
    <w:rsid w:val="00091B83"/>
    <w:rsid w:val="000C7852"/>
    <w:rsid w:val="000E2675"/>
    <w:rsid w:val="000E7B21"/>
    <w:rsid w:val="00110CB4"/>
    <w:rsid w:val="00114DE3"/>
    <w:rsid w:val="001360D8"/>
    <w:rsid w:val="001368F9"/>
    <w:rsid w:val="00161315"/>
    <w:rsid w:val="00176563"/>
    <w:rsid w:val="00184352"/>
    <w:rsid w:val="001A387D"/>
    <w:rsid w:val="001A5BAC"/>
    <w:rsid w:val="001A6D66"/>
    <w:rsid w:val="001E5787"/>
    <w:rsid w:val="00210F33"/>
    <w:rsid w:val="00233D8F"/>
    <w:rsid w:val="00233F0D"/>
    <w:rsid w:val="002348F8"/>
    <w:rsid w:val="00252456"/>
    <w:rsid w:val="002642A9"/>
    <w:rsid w:val="00270608"/>
    <w:rsid w:val="00271C8A"/>
    <w:rsid w:val="00283631"/>
    <w:rsid w:val="002A07C0"/>
    <w:rsid w:val="002B1965"/>
    <w:rsid w:val="002C57B4"/>
    <w:rsid w:val="002D0489"/>
    <w:rsid w:val="002E1A34"/>
    <w:rsid w:val="002E6401"/>
    <w:rsid w:val="0031486F"/>
    <w:rsid w:val="00316C3D"/>
    <w:rsid w:val="003213E3"/>
    <w:rsid w:val="0033490B"/>
    <w:rsid w:val="00342C74"/>
    <w:rsid w:val="0034763C"/>
    <w:rsid w:val="00362927"/>
    <w:rsid w:val="0037062C"/>
    <w:rsid w:val="003C6461"/>
    <w:rsid w:val="00413170"/>
    <w:rsid w:val="004164CA"/>
    <w:rsid w:val="004249DB"/>
    <w:rsid w:val="0043657C"/>
    <w:rsid w:val="00453F07"/>
    <w:rsid w:val="00466CA1"/>
    <w:rsid w:val="00486F0A"/>
    <w:rsid w:val="00492D35"/>
    <w:rsid w:val="0049654F"/>
    <w:rsid w:val="00496B7F"/>
    <w:rsid w:val="004A26E2"/>
    <w:rsid w:val="004B4946"/>
    <w:rsid w:val="004C0405"/>
    <w:rsid w:val="004D3D21"/>
    <w:rsid w:val="004D5936"/>
    <w:rsid w:val="004E7095"/>
    <w:rsid w:val="004E7D1B"/>
    <w:rsid w:val="004F12A2"/>
    <w:rsid w:val="005162DE"/>
    <w:rsid w:val="0053170E"/>
    <w:rsid w:val="00545F8B"/>
    <w:rsid w:val="005505DD"/>
    <w:rsid w:val="00555724"/>
    <w:rsid w:val="005A4709"/>
    <w:rsid w:val="005B16BB"/>
    <w:rsid w:val="005B6258"/>
    <w:rsid w:val="005C06A7"/>
    <w:rsid w:val="00641AB2"/>
    <w:rsid w:val="006453AA"/>
    <w:rsid w:val="00693CA9"/>
    <w:rsid w:val="006A6109"/>
    <w:rsid w:val="006E0F13"/>
    <w:rsid w:val="006F37C7"/>
    <w:rsid w:val="00715D93"/>
    <w:rsid w:val="00716471"/>
    <w:rsid w:val="0075328D"/>
    <w:rsid w:val="00760CCB"/>
    <w:rsid w:val="0077754C"/>
    <w:rsid w:val="00780EA5"/>
    <w:rsid w:val="00792C48"/>
    <w:rsid w:val="007A0DF9"/>
    <w:rsid w:val="007B71E0"/>
    <w:rsid w:val="007C4647"/>
    <w:rsid w:val="007D3FDD"/>
    <w:rsid w:val="007E15F0"/>
    <w:rsid w:val="007E3F8B"/>
    <w:rsid w:val="008416ED"/>
    <w:rsid w:val="00843C0D"/>
    <w:rsid w:val="00882CED"/>
    <w:rsid w:val="00894044"/>
    <w:rsid w:val="008A52FF"/>
    <w:rsid w:val="008A7E16"/>
    <w:rsid w:val="008C1516"/>
    <w:rsid w:val="008C4965"/>
    <w:rsid w:val="008C4D74"/>
    <w:rsid w:val="008D672B"/>
    <w:rsid w:val="008E021F"/>
    <w:rsid w:val="008E20E0"/>
    <w:rsid w:val="008F5484"/>
    <w:rsid w:val="008F7197"/>
    <w:rsid w:val="00905ACC"/>
    <w:rsid w:val="00915DAF"/>
    <w:rsid w:val="0092637D"/>
    <w:rsid w:val="00927ADA"/>
    <w:rsid w:val="00934634"/>
    <w:rsid w:val="00935323"/>
    <w:rsid w:val="009507DF"/>
    <w:rsid w:val="00955707"/>
    <w:rsid w:val="00975498"/>
    <w:rsid w:val="009C496A"/>
    <w:rsid w:val="00A06EAB"/>
    <w:rsid w:val="00A07783"/>
    <w:rsid w:val="00A14073"/>
    <w:rsid w:val="00A25B55"/>
    <w:rsid w:val="00A2650D"/>
    <w:rsid w:val="00A30138"/>
    <w:rsid w:val="00A33DB7"/>
    <w:rsid w:val="00A34B4B"/>
    <w:rsid w:val="00A35AEB"/>
    <w:rsid w:val="00A72D4A"/>
    <w:rsid w:val="00A75438"/>
    <w:rsid w:val="00AA7EC0"/>
    <w:rsid w:val="00AC3B82"/>
    <w:rsid w:val="00AD276F"/>
    <w:rsid w:val="00AE74F7"/>
    <w:rsid w:val="00AF51D7"/>
    <w:rsid w:val="00AF7B36"/>
    <w:rsid w:val="00B24E45"/>
    <w:rsid w:val="00B36B3A"/>
    <w:rsid w:val="00B63E26"/>
    <w:rsid w:val="00B80177"/>
    <w:rsid w:val="00BA7C99"/>
    <w:rsid w:val="00BC1A2C"/>
    <w:rsid w:val="00BD00FB"/>
    <w:rsid w:val="00BE4212"/>
    <w:rsid w:val="00C05963"/>
    <w:rsid w:val="00C06286"/>
    <w:rsid w:val="00C2269E"/>
    <w:rsid w:val="00C268F6"/>
    <w:rsid w:val="00C26B9F"/>
    <w:rsid w:val="00C40571"/>
    <w:rsid w:val="00C731D3"/>
    <w:rsid w:val="00C77579"/>
    <w:rsid w:val="00CA4F36"/>
    <w:rsid w:val="00CB088A"/>
    <w:rsid w:val="00CB5B18"/>
    <w:rsid w:val="00CD3010"/>
    <w:rsid w:val="00CF1551"/>
    <w:rsid w:val="00CF4AB7"/>
    <w:rsid w:val="00D013FA"/>
    <w:rsid w:val="00D026B3"/>
    <w:rsid w:val="00D13A8D"/>
    <w:rsid w:val="00D15EF7"/>
    <w:rsid w:val="00D16242"/>
    <w:rsid w:val="00D26EAB"/>
    <w:rsid w:val="00D43502"/>
    <w:rsid w:val="00D52899"/>
    <w:rsid w:val="00D5577B"/>
    <w:rsid w:val="00D83E4E"/>
    <w:rsid w:val="00D93113"/>
    <w:rsid w:val="00DA0FF2"/>
    <w:rsid w:val="00DB06AB"/>
    <w:rsid w:val="00DB2E24"/>
    <w:rsid w:val="00DB6014"/>
    <w:rsid w:val="00DD4025"/>
    <w:rsid w:val="00DF621E"/>
    <w:rsid w:val="00E10465"/>
    <w:rsid w:val="00E2220E"/>
    <w:rsid w:val="00E35B86"/>
    <w:rsid w:val="00E53BC5"/>
    <w:rsid w:val="00E579FF"/>
    <w:rsid w:val="00E67AA3"/>
    <w:rsid w:val="00E83B44"/>
    <w:rsid w:val="00E948C1"/>
    <w:rsid w:val="00E978BE"/>
    <w:rsid w:val="00ED736D"/>
    <w:rsid w:val="00EF0393"/>
    <w:rsid w:val="00EF1202"/>
    <w:rsid w:val="00F0736F"/>
    <w:rsid w:val="00F075AE"/>
    <w:rsid w:val="00F22A4D"/>
    <w:rsid w:val="00F345F0"/>
    <w:rsid w:val="00F35D5D"/>
    <w:rsid w:val="00F4230F"/>
    <w:rsid w:val="00F6704B"/>
    <w:rsid w:val="00F71B51"/>
    <w:rsid w:val="00F74327"/>
    <w:rsid w:val="00F82C66"/>
    <w:rsid w:val="00F943D4"/>
    <w:rsid w:val="00F944D4"/>
    <w:rsid w:val="00FC33F2"/>
    <w:rsid w:val="00FD4A51"/>
    <w:rsid w:val="00FE1AEF"/>
    <w:rsid w:val="00FF62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1AD60-590D-4AF4-8674-0581983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C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AA7EC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AA7EC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AA7EC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AA7EC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AA7EC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A7EC0"/>
    <w:rPr>
      <w:rFonts w:asciiTheme="majorHAnsi" w:eastAsiaTheme="majorEastAsia" w:hAnsiTheme="majorHAnsi" w:cs="David"/>
      <w:bCs/>
      <w:sz w:val="32"/>
      <w:szCs w:val="36"/>
    </w:rPr>
  </w:style>
  <w:style w:type="character" w:customStyle="1" w:styleId="40">
    <w:name w:val="כותרת 4 תו"/>
    <w:basedOn w:val="a0"/>
    <w:link w:val="4"/>
    <w:uiPriority w:val="9"/>
    <w:rsid w:val="00AA7EC0"/>
    <w:rPr>
      <w:rFonts w:ascii="David" w:hAnsi="David" w:cs="David"/>
      <w:b/>
      <w:bCs/>
      <w:color w:val="000000" w:themeColor="text1"/>
      <w:sz w:val="24"/>
      <w:szCs w:val="28"/>
    </w:rPr>
  </w:style>
  <w:style w:type="paragraph" w:customStyle="1" w:styleId="TableText">
    <w:name w:val="Table Text"/>
    <w:basedOn w:val="a"/>
    <w:rsid w:val="00AA7EC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AA7EC0"/>
    <w:pPr>
      <w:outlineLvl w:val="2"/>
    </w:pPr>
  </w:style>
  <w:style w:type="paragraph" w:customStyle="1" w:styleId="TableBlock">
    <w:name w:val="Table Block"/>
    <w:basedOn w:val="TableText"/>
    <w:rsid w:val="00AA7EC0"/>
    <w:pPr>
      <w:jc w:val="both"/>
    </w:pPr>
  </w:style>
  <w:style w:type="paragraph" w:customStyle="1" w:styleId="TableHead">
    <w:name w:val="Table Head"/>
    <w:basedOn w:val="TableText"/>
    <w:rsid w:val="00AA7EC0"/>
    <w:pPr>
      <w:jc w:val="center"/>
      <w:outlineLvl w:val="1"/>
    </w:pPr>
    <w:rPr>
      <w:b/>
      <w:bCs/>
    </w:rPr>
  </w:style>
  <w:style w:type="paragraph" w:customStyle="1" w:styleId="HeadMitparsemetBaze">
    <w:name w:val="Head MitparsemetBaze"/>
    <w:basedOn w:val="a"/>
    <w:rsid w:val="00AA7EC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AA7EC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AA7EC0"/>
    <w:pPr>
      <w:tabs>
        <w:tab w:val="left" w:pos="680"/>
        <w:tab w:val="left" w:pos="1020"/>
      </w:tabs>
      <w:ind w:firstLine="0"/>
    </w:pPr>
  </w:style>
  <w:style w:type="paragraph" w:customStyle="1" w:styleId="HeadDivreiHesber">
    <w:name w:val="Head DivreiHesber"/>
    <w:basedOn w:val="a"/>
    <w:rsid w:val="00AA7EC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AA7EC0"/>
    <w:rPr>
      <w:rFonts w:asciiTheme="majorHAnsi" w:eastAsiaTheme="majorEastAsia" w:hAnsiTheme="majorHAnsi" w:cs="David"/>
      <w:bCs/>
      <w:sz w:val="26"/>
      <w:szCs w:val="36"/>
      <w:u w:val="single"/>
    </w:rPr>
  </w:style>
  <w:style w:type="character" w:customStyle="1" w:styleId="30">
    <w:name w:val="כותרת 3 תו"/>
    <w:basedOn w:val="a0"/>
    <w:link w:val="3"/>
    <w:rsid w:val="00AA7EC0"/>
    <w:rPr>
      <w:rFonts w:asciiTheme="majorHAnsi" w:eastAsiaTheme="majorEastAsia" w:hAnsiTheme="majorHAnsi" w:cs="David"/>
      <w:sz w:val="24"/>
      <w:szCs w:val="28"/>
      <w:u w:val="double"/>
    </w:rPr>
  </w:style>
  <w:style w:type="character" w:customStyle="1" w:styleId="50">
    <w:name w:val="כותרת 5 תו"/>
    <w:basedOn w:val="a0"/>
    <w:link w:val="5"/>
    <w:uiPriority w:val="9"/>
    <w:rsid w:val="00AA7EC0"/>
    <w:rPr>
      <w:rFonts w:ascii="David" w:hAnsi="David" w:cs="David"/>
      <w:color w:val="000000" w:themeColor="text1"/>
      <w:sz w:val="24"/>
      <w:szCs w:val="24"/>
    </w:rPr>
  </w:style>
  <w:style w:type="paragraph" w:customStyle="1" w:styleId="HeadHatzaotHok4Futer">
    <w:name w:val="Head HatzaotHok4Futer"/>
    <w:basedOn w:val="HeadHatzaotHok"/>
    <w:rsid w:val="00AA7EC0"/>
    <w:pPr>
      <w:spacing w:before="120" w:after="120"/>
    </w:pPr>
    <w:rPr>
      <w:color w:val="FF0000"/>
      <w:w w:val="80"/>
    </w:rPr>
  </w:style>
  <w:style w:type="paragraph" w:styleId="a3">
    <w:name w:val="endnote text"/>
    <w:basedOn w:val="a"/>
    <w:link w:val="a4"/>
    <w:semiHidden/>
    <w:rsid w:val="00AA7EC0"/>
    <w:pPr>
      <w:ind w:left="227" w:hanging="227"/>
    </w:pPr>
    <w:rPr>
      <w:sz w:val="14"/>
      <w:szCs w:val="22"/>
    </w:rPr>
  </w:style>
  <w:style w:type="character" w:customStyle="1" w:styleId="a4">
    <w:name w:val="טקסט הערת סיום תו"/>
    <w:basedOn w:val="a0"/>
    <w:link w:val="a3"/>
    <w:semiHidden/>
    <w:rsid w:val="00AA7EC0"/>
    <w:rPr>
      <w:rFonts w:ascii="David" w:hAnsi="David" w:cs="David"/>
      <w:sz w:val="14"/>
    </w:rPr>
  </w:style>
  <w:style w:type="paragraph" w:customStyle="1" w:styleId="TableInnerSideHeading">
    <w:name w:val="Table InnerSideHeading"/>
    <w:basedOn w:val="TableSideHeading"/>
    <w:rsid w:val="00AA7EC0"/>
    <w:pPr>
      <w:outlineLvl w:val="9"/>
    </w:pPr>
  </w:style>
  <w:style w:type="paragraph" w:customStyle="1" w:styleId="Hesber">
    <w:name w:val="Hesber"/>
    <w:basedOn w:val="a"/>
    <w:rsid w:val="00AA7EC0"/>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AA7EC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AA7EC0"/>
    <w:rPr>
      <w:rFonts w:ascii="Arial" w:eastAsia="Arial Unicode MS" w:hAnsi="Arial" w:cs="David"/>
      <w:snapToGrid w:val="0"/>
      <w:sz w:val="14"/>
      <w:szCs w:val="20"/>
    </w:rPr>
  </w:style>
  <w:style w:type="character" w:styleId="a7">
    <w:name w:val="footnote reference"/>
    <w:aliases w:val="Footnote Reference"/>
    <w:basedOn w:val="a0"/>
    <w:semiHidden/>
    <w:rsid w:val="00AA7EC0"/>
    <w:rPr>
      <w:vertAlign w:val="superscript"/>
    </w:rPr>
  </w:style>
  <w:style w:type="paragraph" w:customStyle="1" w:styleId="HesberHeading">
    <w:name w:val="Hesber Heading"/>
    <w:basedOn w:val="Hesber"/>
    <w:rsid w:val="00AA7EC0"/>
    <w:pPr>
      <w:tabs>
        <w:tab w:val="left" w:pos="624"/>
        <w:tab w:val="left" w:pos="1247"/>
      </w:tabs>
    </w:pPr>
    <w:rPr>
      <w:b/>
      <w:bCs/>
    </w:rPr>
  </w:style>
  <w:style w:type="paragraph" w:customStyle="1" w:styleId="HesberWriters">
    <w:name w:val="Hesber Writers"/>
    <w:basedOn w:val="Hesber"/>
    <w:rsid w:val="00AA7EC0"/>
    <w:pPr>
      <w:spacing w:before="120" w:after="120"/>
      <w:ind w:left="1418"/>
      <w:jc w:val="right"/>
    </w:pPr>
    <w:rPr>
      <w:b/>
      <w:bCs/>
    </w:rPr>
  </w:style>
  <w:style w:type="character" w:styleId="a8">
    <w:name w:val="endnote reference"/>
    <w:basedOn w:val="a0"/>
    <w:semiHidden/>
    <w:rsid w:val="00AA7EC0"/>
    <w:rPr>
      <w:vertAlign w:val="superscript"/>
    </w:rPr>
  </w:style>
  <w:style w:type="paragraph" w:customStyle="1" w:styleId="TableBlockOutdent">
    <w:name w:val="Table BlockOutdent"/>
    <w:basedOn w:val="TableBlock"/>
    <w:rsid w:val="00AA7EC0"/>
    <w:pPr>
      <w:ind w:left="624" w:hanging="624"/>
    </w:pPr>
  </w:style>
  <w:style w:type="paragraph" w:styleId="a9">
    <w:name w:val="header"/>
    <w:basedOn w:val="a"/>
    <w:link w:val="aa"/>
    <w:rsid w:val="00AA7EC0"/>
    <w:pPr>
      <w:tabs>
        <w:tab w:val="center" w:pos="4153"/>
        <w:tab w:val="right" w:pos="8306"/>
      </w:tabs>
    </w:pPr>
  </w:style>
  <w:style w:type="character" w:customStyle="1" w:styleId="aa">
    <w:name w:val="כותרת עליונה תו"/>
    <w:basedOn w:val="a0"/>
    <w:link w:val="a9"/>
    <w:rsid w:val="00AA7EC0"/>
    <w:rPr>
      <w:rFonts w:ascii="David" w:hAnsi="David" w:cs="David"/>
      <w:sz w:val="24"/>
      <w:szCs w:val="24"/>
    </w:rPr>
  </w:style>
  <w:style w:type="paragraph" w:styleId="ab">
    <w:name w:val="footer"/>
    <w:basedOn w:val="a"/>
    <w:link w:val="ac"/>
    <w:rsid w:val="00AA7EC0"/>
    <w:pPr>
      <w:tabs>
        <w:tab w:val="center" w:pos="4153"/>
        <w:tab w:val="right" w:pos="8306"/>
      </w:tabs>
    </w:pPr>
  </w:style>
  <w:style w:type="character" w:customStyle="1" w:styleId="ac">
    <w:name w:val="כותרת תחתונה תו"/>
    <w:basedOn w:val="a0"/>
    <w:link w:val="ab"/>
    <w:rsid w:val="00AA7EC0"/>
    <w:rPr>
      <w:rFonts w:ascii="David" w:hAnsi="David" w:cs="David"/>
      <w:sz w:val="24"/>
      <w:szCs w:val="24"/>
    </w:rPr>
  </w:style>
  <w:style w:type="character" w:styleId="ad">
    <w:name w:val="page number"/>
    <w:basedOn w:val="a0"/>
    <w:rsid w:val="00AA7EC0"/>
  </w:style>
  <w:style w:type="paragraph" w:customStyle="1" w:styleId="Cover1-Reshumot">
    <w:name w:val="Cover 1-Reshumot"/>
    <w:basedOn w:val="a"/>
    <w:rsid w:val="00AA7EC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AA7EC0"/>
    <w:rPr>
      <w:sz w:val="36"/>
      <w:szCs w:val="52"/>
    </w:rPr>
  </w:style>
  <w:style w:type="paragraph" w:customStyle="1" w:styleId="Cover3-Haknesset">
    <w:name w:val="Cover 3-Haknesset"/>
    <w:basedOn w:val="Cover1-Reshumot"/>
    <w:rsid w:val="00AA7EC0"/>
    <w:rPr>
      <w:b/>
      <w:bCs/>
      <w:spacing w:val="60"/>
    </w:rPr>
  </w:style>
  <w:style w:type="paragraph" w:customStyle="1" w:styleId="Cover4-Date">
    <w:name w:val="Cover 4-Date"/>
    <w:basedOn w:val="a"/>
    <w:rsid w:val="00AA7EC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AA7EC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AA7EC0"/>
    <w:pPr>
      <w:widowControl/>
      <w:spacing w:before="120" w:after="120"/>
      <w:outlineLvl w:val="9"/>
    </w:pPr>
    <w:rPr>
      <w:rtl/>
      <w:cs/>
    </w:rPr>
  </w:style>
  <w:style w:type="paragraph" w:styleId="TOC1">
    <w:name w:val="toc 1"/>
    <w:basedOn w:val="a"/>
    <w:next w:val="a"/>
    <w:autoRedefine/>
    <w:uiPriority w:val="39"/>
    <w:unhideWhenUsed/>
    <w:rsid w:val="00AA7EC0"/>
    <w:pPr>
      <w:tabs>
        <w:tab w:val="right" w:leader="dot" w:pos="9629"/>
      </w:tabs>
      <w:spacing w:after="100"/>
    </w:pPr>
    <w:rPr>
      <w:bCs/>
      <w:szCs w:val="22"/>
    </w:rPr>
  </w:style>
  <w:style w:type="paragraph" w:styleId="TOC2">
    <w:name w:val="toc 2"/>
    <w:basedOn w:val="a"/>
    <w:next w:val="a"/>
    <w:uiPriority w:val="39"/>
    <w:unhideWhenUsed/>
    <w:rsid w:val="00AA7EC0"/>
    <w:pPr>
      <w:tabs>
        <w:tab w:val="right" w:leader="dot" w:pos="9628"/>
      </w:tabs>
      <w:spacing w:after="100"/>
    </w:pPr>
    <w:rPr>
      <w:szCs w:val="22"/>
    </w:rPr>
  </w:style>
  <w:style w:type="character" w:styleId="Hyperlink">
    <w:name w:val="Hyperlink"/>
    <w:basedOn w:val="a0"/>
    <w:uiPriority w:val="99"/>
    <w:unhideWhenUsed/>
    <w:rsid w:val="00AA7EC0"/>
    <w:rPr>
      <w:color w:val="0563C1" w:themeColor="hyperlink"/>
      <w:u w:val="single"/>
    </w:rPr>
  </w:style>
  <w:style w:type="paragraph" w:styleId="TOC3">
    <w:name w:val="toc 3"/>
    <w:basedOn w:val="a"/>
    <w:next w:val="a"/>
    <w:uiPriority w:val="39"/>
    <w:unhideWhenUsed/>
    <w:rsid w:val="00AA7EC0"/>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AA7EC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AA7EC0"/>
    <w:pPr>
      <w:tabs>
        <w:tab w:val="right" w:leader="dot" w:pos="9628"/>
      </w:tabs>
      <w:spacing w:after="100"/>
      <w:ind w:left="567"/>
    </w:pPr>
    <w:rPr>
      <w:szCs w:val="22"/>
    </w:rPr>
  </w:style>
  <w:style w:type="paragraph" w:styleId="TOC6">
    <w:name w:val="toc 6"/>
    <w:basedOn w:val="a"/>
    <w:next w:val="a"/>
    <w:autoRedefine/>
    <w:semiHidden/>
    <w:unhideWhenUsed/>
    <w:rsid w:val="00AA7EC0"/>
    <w:pPr>
      <w:spacing w:after="100"/>
      <w:ind w:left="850"/>
    </w:pPr>
  </w:style>
  <w:style w:type="paragraph" w:styleId="TOC7">
    <w:name w:val="toc 7"/>
    <w:basedOn w:val="a"/>
    <w:next w:val="a"/>
    <w:autoRedefine/>
    <w:semiHidden/>
    <w:unhideWhenUsed/>
    <w:rsid w:val="00AA7EC0"/>
    <w:pPr>
      <w:spacing w:after="100"/>
      <w:ind w:left="1020"/>
    </w:pPr>
  </w:style>
  <w:style w:type="paragraph" w:styleId="TOC8">
    <w:name w:val="toc 8"/>
    <w:basedOn w:val="a"/>
    <w:next w:val="a"/>
    <w:autoRedefine/>
    <w:semiHidden/>
    <w:unhideWhenUsed/>
    <w:rsid w:val="00AA7EC0"/>
    <w:pPr>
      <w:spacing w:after="100"/>
      <w:ind w:left="1190"/>
    </w:pPr>
  </w:style>
  <w:style w:type="paragraph" w:styleId="TOC9">
    <w:name w:val="toc 9"/>
    <w:basedOn w:val="a"/>
    <w:next w:val="a"/>
    <w:autoRedefine/>
    <w:semiHidden/>
    <w:unhideWhenUsed/>
    <w:rsid w:val="00AA7EC0"/>
    <w:pPr>
      <w:spacing w:after="100"/>
      <w:ind w:left="1360"/>
    </w:pPr>
  </w:style>
  <w:style w:type="paragraph" w:customStyle="1" w:styleId="TableHead2">
    <w:name w:val="Table Head2"/>
    <w:basedOn w:val="TableHead"/>
    <w:qFormat/>
    <w:rsid w:val="00AA7EC0"/>
    <w:pPr>
      <w:outlineLvl w:val="9"/>
    </w:pPr>
  </w:style>
  <w:style w:type="paragraph" w:customStyle="1" w:styleId="TableSideHeading2">
    <w:name w:val="Table SideHeading2"/>
    <w:basedOn w:val="TableSideHeading"/>
    <w:autoRedefine/>
    <w:qFormat/>
    <w:rsid w:val="00AA7EC0"/>
    <w:pPr>
      <w:keepLines w:val="0"/>
      <w:outlineLvl w:val="9"/>
    </w:pPr>
  </w:style>
  <w:style w:type="paragraph" w:customStyle="1" w:styleId="0">
    <w:name w:val="סגנון שורה ראשונה:  0  ס''מ"/>
    <w:basedOn w:val="2"/>
    <w:rsid w:val="00AA7EC0"/>
    <w:rPr>
      <w:rFonts w:eastAsia="Times New Roman"/>
    </w:rPr>
  </w:style>
  <w:style w:type="paragraph" w:styleId="af">
    <w:name w:val="List Paragraph"/>
    <w:basedOn w:val="a"/>
    <w:uiPriority w:val="34"/>
    <w:qFormat/>
    <w:rsid w:val="00AA7EC0"/>
    <w:pPr>
      <w:widowControl/>
      <w:spacing w:line="259" w:lineRule="auto"/>
    </w:pPr>
    <w:rPr>
      <w:rFonts w:asciiTheme="minorHAnsi" w:hAnsiTheme="minorHAnsi"/>
      <w:sz w:val="22"/>
    </w:rPr>
  </w:style>
  <w:style w:type="table" w:styleId="af0">
    <w:name w:val="Table Grid"/>
    <w:basedOn w:val="a1"/>
    <w:rsid w:val="00AA7EC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AA7EC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AA7EC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AA7EC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AA7EC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semiHidden/>
    <w:rsid w:val="006A6109"/>
    <w:rPr>
      <w:sz w:val="16"/>
      <w:szCs w:val="16"/>
    </w:rPr>
  </w:style>
  <w:style w:type="paragraph" w:styleId="af3">
    <w:name w:val="annotation text"/>
    <w:basedOn w:val="a"/>
    <w:link w:val="af4"/>
    <w:semiHidden/>
    <w:rsid w:val="006A6109"/>
    <w:pPr>
      <w:autoSpaceDE w:val="0"/>
      <w:autoSpaceDN w:val="0"/>
      <w:adjustRightInd w:val="0"/>
      <w:spacing w:before="102" w:line="204" w:lineRule="atLeast"/>
      <w:ind w:left="0" w:firstLine="340"/>
      <w:contextualSpacing w:val="0"/>
      <w:textAlignment w:val="center"/>
    </w:pPr>
    <w:rPr>
      <w:rFonts w:ascii="Hadasa Roso SL" w:eastAsia="MS Mincho" w:hAnsi="Hadasa Roso SL" w:cs="Hadasa Roso SL"/>
      <w:color w:val="000000"/>
      <w:spacing w:val="1"/>
      <w:sz w:val="20"/>
      <w:szCs w:val="20"/>
      <w:lang w:eastAsia="ja-JP"/>
    </w:rPr>
  </w:style>
  <w:style w:type="character" w:customStyle="1" w:styleId="af4">
    <w:name w:val="טקסט הערה תו"/>
    <w:basedOn w:val="a0"/>
    <w:link w:val="af3"/>
    <w:semiHidden/>
    <w:rsid w:val="006A6109"/>
    <w:rPr>
      <w:rFonts w:ascii="Hadasa Roso SL" w:eastAsia="MS Mincho" w:hAnsi="Hadasa Roso SL" w:cs="Hadasa Roso SL"/>
      <w:color w:val="000000"/>
      <w:spacing w:val="1"/>
      <w:sz w:val="20"/>
      <w:szCs w:val="20"/>
      <w:lang w:eastAsia="ja-JP"/>
    </w:rPr>
  </w:style>
  <w:style w:type="paragraph" w:styleId="af5">
    <w:name w:val="Balloon Text"/>
    <w:basedOn w:val="a"/>
    <w:link w:val="af6"/>
    <w:uiPriority w:val="99"/>
    <w:semiHidden/>
    <w:unhideWhenUsed/>
    <w:rsid w:val="006A6109"/>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6A6109"/>
    <w:rPr>
      <w:rFonts w:ascii="Tahoma" w:hAnsi="Tahoma" w:cs="Tahoma"/>
      <w:sz w:val="18"/>
      <w:szCs w:val="18"/>
    </w:rPr>
  </w:style>
  <w:style w:type="paragraph" w:customStyle="1" w:styleId="P00">
    <w:name w:val="P00"/>
    <w:rsid w:val="0028363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a0"/>
    <w:rsid w:val="00283631"/>
    <w:rPr>
      <w:rFonts w:ascii="Times New Roman" w:hAnsi="Times New Roman" w:cs="Times New Roman"/>
      <w:sz w:val="32"/>
      <w:szCs w:val="32"/>
    </w:rPr>
  </w:style>
  <w:style w:type="paragraph" w:styleId="af7">
    <w:name w:val="annotation subject"/>
    <w:basedOn w:val="af3"/>
    <w:next w:val="af3"/>
    <w:link w:val="af8"/>
    <w:uiPriority w:val="99"/>
    <w:semiHidden/>
    <w:unhideWhenUsed/>
    <w:rsid w:val="006453AA"/>
    <w:pPr>
      <w:autoSpaceDE/>
      <w:autoSpaceDN/>
      <w:adjustRightInd/>
      <w:spacing w:before="0" w:line="240" w:lineRule="auto"/>
      <w:ind w:left="340" w:firstLine="0"/>
      <w:contextualSpacing/>
      <w:textAlignment w:val="auto"/>
    </w:pPr>
    <w:rPr>
      <w:rFonts w:ascii="David" w:eastAsiaTheme="minorHAnsi" w:hAnsi="David" w:cs="David"/>
      <w:b/>
      <w:bCs/>
      <w:color w:val="auto"/>
      <w:spacing w:val="0"/>
      <w:lang w:eastAsia="en-US"/>
    </w:rPr>
  </w:style>
  <w:style w:type="character" w:customStyle="1" w:styleId="af8">
    <w:name w:val="נושא הערה תו"/>
    <w:basedOn w:val="af4"/>
    <w:link w:val="af7"/>
    <w:uiPriority w:val="99"/>
    <w:semiHidden/>
    <w:rsid w:val="006453AA"/>
    <w:rPr>
      <w:rFonts w:ascii="David" w:eastAsia="MS Mincho" w:hAnsi="David" w:cs="David"/>
      <w:b/>
      <w:bCs/>
      <w:color w:val="000000"/>
      <w:spacing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word/law14/LAW-1579.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Number xmlns="d2589617-2f74-4077-aee7-f516ed639388">44881</Ref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6B28-6E58-47E5-99EE-39BF3FA75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C9D2E3-B271-4AD3-A455-BF5F518AD80B}">
  <ds:schemaRefs>
    <ds:schemaRef ds:uri="http://schemas.microsoft.com/sharepoint/v3/contenttype/forms"/>
  </ds:schemaRefs>
</ds:datastoreItem>
</file>

<file path=customXml/itemProps3.xml><?xml version="1.0" encoding="utf-8"?>
<ds:datastoreItem xmlns:ds="http://schemas.openxmlformats.org/officeDocument/2006/customXml" ds:itemID="{AAA0A57E-7163-462E-8108-3B196ADEC99E}">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2589617-2f74-4077-aee7-f516ed639388"/>
    <ds:schemaRef ds:uri="http://www.w3.org/XML/1998/namespace"/>
    <ds:schemaRef ds:uri="http://purl.org/dc/dcmitype/"/>
  </ds:schemaRefs>
</ds:datastoreItem>
</file>

<file path=customXml/itemProps4.xml><?xml version="1.0" encoding="utf-8"?>
<ds:datastoreItem xmlns:ds="http://schemas.openxmlformats.org/officeDocument/2006/customXml" ds:itemID="{90F06AEE-3FD1-4026-AD41-A4BD85AC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3461</Words>
  <Characters>17310</Characters>
  <Application>Microsoft Office Word</Application>
  <DocSecurity>4</DocSecurity>
  <Lines>144</Lines>
  <Paragraphs>41</Paragraphs>
  <ScaleCrop>false</ScaleCrop>
  <HeadingPairs>
    <vt:vector size="2" baseType="variant">
      <vt:variant>
        <vt:lpstr>שם</vt:lpstr>
      </vt:variant>
      <vt:variant>
        <vt:i4>1</vt:i4>
      </vt:variant>
    </vt:vector>
  </HeadingPairs>
  <TitlesOfParts>
    <vt:vector size="1" baseType="lpstr">
      <vt:lpstr>תקנות קרינה ממתקני חשמל 23 דצמבר 2018 נקי.docx</vt:lpstr>
    </vt:vector>
  </TitlesOfParts>
  <Company>MOE-SCCM</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קרינה ממתקני חשמל 23 דצמבר 2018 נקי.docx</dc:title>
  <dc:creator>ג'נט שלום</dc:creator>
  <cp:lastModifiedBy>Raz Hillman - Chamber Of Commerce</cp:lastModifiedBy>
  <cp:revision>2</cp:revision>
  <cp:lastPrinted>2018-12-02T12:21:00Z</cp:lastPrinted>
  <dcterms:created xsi:type="dcterms:W3CDTF">2018-12-23T13:55:00Z</dcterms:created>
  <dcterms:modified xsi:type="dcterms:W3CDTF">2018-12-23T13:55:00Z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y fmtid="{D5CDD505-2E9C-101B-9397-08002B2CF9AE}" pid="3" name="xmlns:z">
    <vt:lpwstr>#RowsetSchema</vt:lpwstr>
  </property>
  <property fmtid="{D5CDD505-2E9C-101B-9397-08002B2CF9AE}" pid="4" name="FileLeafRef">
    <vt:lpwstr>5051;#00658618.docx</vt:lpwstr>
  </property>
  <property fmtid="{D5CDD505-2E9C-101B-9397-08002B2CF9AE}" pid="5" name="Modified_x0020_By">
    <vt:lpwstr>i:0#.w|mnidom\herut</vt:lpwstr>
  </property>
  <property fmtid="{D5CDD505-2E9C-101B-9397-08002B2CF9AE}" pid="6" name="Created_x0020_By">
    <vt:lpwstr>i:0#.w|mnidom\herut</vt:lpwstr>
  </property>
  <property fmtid="{D5CDD505-2E9C-101B-9397-08002B2CF9AE}" pid="7" name="File_x0020_Type">
    <vt:lpwstr>docx</vt:lpwstr>
  </property>
  <property fmtid="{D5CDD505-2E9C-101B-9397-08002B2CF9AE}" pid="8" name="AutoNumber">
    <vt:lpwstr>00658618</vt:lpwstr>
  </property>
  <property fmtid="{D5CDD505-2E9C-101B-9397-08002B2CF9AE}" pid="9" name="SDCategories">
    <vt:lpwstr>:רשות החשמל:אגף משפטי:הליכים משפטיים:בג"צים:מלר"ז - קרינה בלתי מייננת;#</vt:lpwstr>
  </property>
  <property fmtid="{D5CDD505-2E9C-101B-9397-08002B2CF9AE}" pid="10" name="SDCategoryID">
    <vt:lpwstr>6db0ad458008;#</vt:lpwstr>
  </property>
  <property fmtid="{D5CDD505-2E9C-101B-9397-08002B2CF9AE}" pid="11" name="SDAuthor">
    <vt:lpwstr>חרות חסיד</vt:lpwstr>
  </property>
  <property fmtid="{D5CDD505-2E9C-101B-9397-08002B2CF9AE}" pid="12" name="SDDocDate">
    <vt:lpwstr>2018-11-05T22:00:00+00:00</vt:lpwstr>
  </property>
  <property fmtid="{D5CDD505-2E9C-101B-9397-08002B2CF9AE}" pid="13" name="SDHebDate">
    <vt:lpwstr>כ"ח בחשון, התשע"ט</vt:lpwstr>
  </property>
  <property fmtid="{D5CDD505-2E9C-101B-9397-08002B2CF9AE}" pid="14" name="SDImportance">
    <vt:lpwstr>0</vt:lpwstr>
  </property>
  <property fmtid="{D5CDD505-2E9C-101B-9397-08002B2CF9AE}" pid="15" name="SDDocumentSource">
    <vt:lpwstr>OfficeAddIn</vt:lpwstr>
  </property>
  <property fmtid="{D5CDD505-2E9C-101B-9397-08002B2CF9AE}" pid="16" name="ID">
    <vt:lpwstr>5051</vt:lpwstr>
  </property>
  <property fmtid="{D5CDD505-2E9C-101B-9397-08002B2CF9AE}" pid="17" name="ContentType">
    <vt:lpwstr>משפטי - מסמך קיים</vt:lpwstr>
  </property>
  <property fmtid="{D5CDD505-2E9C-101B-9397-08002B2CF9AE}" pid="18" name="Created">
    <vt:lpwstr>08/11/2018</vt:lpwstr>
  </property>
  <property fmtid="{D5CDD505-2E9C-101B-9397-08002B2CF9AE}" pid="19" name="Author">
    <vt:lpwstr>113;#חרות חסיד</vt:lpwstr>
  </property>
  <property fmtid="{D5CDD505-2E9C-101B-9397-08002B2CF9AE}" pid="20" name="Modified">
    <vt:lpwstr>03/12/2018</vt:lpwstr>
  </property>
  <property fmtid="{D5CDD505-2E9C-101B-9397-08002B2CF9AE}" pid="21" name="Editor">
    <vt:lpwstr>113;#חרות חסיד</vt:lpwstr>
  </property>
  <property fmtid="{D5CDD505-2E9C-101B-9397-08002B2CF9AE}" pid="22" name="_ModerationStatus">
    <vt:lpwstr>0</vt:lpwstr>
  </property>
  <property fmtid="{D5CDD505-2E9C-101B-9397-08002B2CF9AE}" pid="23" name="FileRef">
    <vt:lpwstr>5051;#sites/PUA/Mispati/DocLib1/DocLib1 automatically created by sharedocs 1/00658618.docx</vt:lpwstr>
  </property>
  <property fmtid="{D5CDD505-2E9C-101B-9397-08002B2CF9AE}" pid="24" name="FileDirRef">
    <vt:lpwstr>5051;#sites/PUA/Mispati/DocLib1/DocLib1 automatically created by sharedocs 1</vt:lpwstr>
  </property>
  <property fmtid="{D5CDD505-2E9C-101B-9397-08002B2CF9AE}" pid="25" name="Last_x0020_Modified">
    <vt:lpwstr>5051;#2018-12-03 09:17:54</vt:lpwstr>
  </property>
  <property fmtid="{D5CDD505-2E9C-101B-9397-08002B2CF9AE}" pid="26" name="Created_x0020_Date">
    <vt:lpwstr>5051;#2018-11-08 13:47:54</vt:lpwstr>
  </property>
  <property fmtid="{D5CDD505-2E9C-101B-9397-08002B2CF9AE}" pid="27" name="File_x0020_Size">
    <vt:lpwstr>5051;#68943</vt:lpwstr>
  </property>
  <property fmtid="{D5CDD505-2E9C-101B-9397-08002B2CF9AE}" pid="28" name="FSObjType">
    <vt:lpwstr>5051;#0</vt:lpwstr>
  </property>
  <property fmtid="{D5CDD505-2E9C-101B-9397-08002B2CF9AE}" pid="29" name="SortBehavior">
    <vt:lpwstr>5051;#0</vt:lpwstr>
  </property>
  <property fmtid="{D5CDD505-2E9C-101B-9397-08002B2CF9AE}" pid="30" name="PermMask">
    <vt:lpwstr>0x1b03c431aef</vt:lpwstr>
  </property>
  <property fmtid="{D5CDD505-2E9C-101B-9397-08002B2CF9AE}" pid="31" name="CheckedOutUserId">
    <vt:lpwstr>5051;#</vt:lpwstr>
  </property>
  <property fmtid="{D5CDD505-2E9C-101B-9397-08002B2CF9AE}" pid="32" name="IsCheckedoutToLocal">
    <vt:lpwstr>5051;#0</vt:lpwstr>
  </property>
  <property fmtid="{D5CDD505-2E9C-101B-9397-08002B2CF9AE}" pid="33" name="UniqueId">
    <vt:lpwstr>5051;#{86008394-450F-4848-B4B6-41E2B927E636}</vt:lpwstr>
  </property>
  <property fmtid="{D5CDD505-2E9C-101B-9397-08002B2CF9AE}" pid="34" name="ProgId">
    <vt:lpwstr>5051;#</vt:lpwstr>
  </property>
  <property fmtid="{D5CDD505-2E9C-101B-9397-08002B2CF9AE}" pid="35" name="ScopeId">
    <vt:lpwstr>5051;#{24A10884-1DB9-44E0-9F82-B8CC3EBC4528}</vt:lpwstr>
  </property>
  <property fmtid="{D5CDD505-2E9C-101B-9397-08002B2CF9AE}" pid="36" name="VirusStatus">
    <vt:lpwstr>5051;#68943</vt:lpwstr>
  </property>
  <property fmtid="{D5CDD505-2E9C-101B-9397-08002B2CF9AE}" pid="37" name="CheckedOutTitle">
    <vt:lpwstr>5051;#</vt:lpwstr>
  </property>
  <property fmtid="{D5CDD505-2E9C-101B-9397-08002B2CF9AE}" pid="38" name="_CheckinComment">
    <vt:lpwstr>5051;#</vt:lpwstr>
  </property>
  <property fmtid="{D5CDD505-2E9C-101B-9397-08002B2CF9AE}" pid="39" name="_EditMenuTableStart">
    <vt:lpwstr>00658618.docx</vt:lpwstr>
  </property>
  <property fmtid="{D5CDD505-2E9C-101B-9397-08002B2CF9AE}" pid="40" name="_EditMenuTableStart2">
    <vt:lpwstr>5051</vt:lpwstr>
  </property>
  <property fmtid="{D5CDD505-2E9C-101B-9397-08002B2CF9AE}" pid="41" name="_EditMenuTableEnd">
    <vt:lpwstr>5051</vt:lpwstr>
  </property>
  <property fmtid="{D5CDD505-2E9C-101B-9397-08002B2CF9AE}" pid="42" name="LinkFilenameNoMenu">
    <vt:lpwstr>00658618.docx</vt:lpwstr>
  </property>
  <property fmtid="{D5CDD505-2E9C-101B-9397-08002B2CF9AE}" pid="43" name="LinkFilename">
    <vt:lpwstr>00658618.docx</vt:lpwstr>
  </property>
  <property fmtid="{D5CDD505-2E9C-101B-9397-08002B2CF9AE}" pid="44" name="LinkFilename2">
    <vt:lpwstr>00658618.docx</vt:lpwstr>
  </property>
  <property fmtid="{D5CDD505-2E9C-101B-9397-08002B2CF9AE}" pid="45" name="DocIcon">
    <vt:lpwstr>docx</vt:lpwstr>
  </property>
  <property fmtid="{D5CDD505-2E9C-101B-9397-08002B2CF9AE}" pid="46" name="ServerUrl">
    <vt:lpwstr>/sites/PUA/Mispati/DocLib1/DocLib1 automatically created by sharedocs 1/00658618.docx</vt:lpwstr>
  </property>
  <property fmtid="{D5CDD505-2E9C-101B-9397-08002B2CF9AE}" pid="47" name="EncodedAbsUrl">
    <vt:lpwstr>http://sdocs13/sites/PUA/Mispati/DocLib1/DocLib1%20automatically%20created%20by%20sharedocs%201/00658618.docx</vt:lpwstr>
  </property>
  <property fmtid="{D5CDD505-2E9C-101B-9397-08002B2CF9AE}" pid="48" name="BaseName">
    <vt:lpwstr>00658618</vt:lpwstr>
  </property>
  <property fmtid="{D5CDD505-2E9C-101B-9397-08002B2CF9AE}" pid="49" name="FileSizeDisplay">
    <vt:lpwstr>68943</vt:lpwstr>
  </property>
  <property fmtid="{D5CDD505-2E9C-101B-9397-08002B2CF9AE}" pid="50" name="MetaInfo">
    <vt:lpwstr>5051;#Etag:SW|{86008394-450F-4848-B4B6-41E2B927E636},35_x000d_
_Level:SW|1_x000d_
ItemChildCount:SW|5051;#0_x000d_
vti_thumbnailexists:BW|false_x000d_
SugMismah:EW|_x000d_
Order:SW|505100.000000000_x000d_
vti_pluggableparserversion:SR|15.0.0.4919_x000d_
SDLastSigningDate:EW|_x000d_
Last Modified:SW|505</vt:lpwstr>
  </property>
  <property fmtid="{D5CDD505-2E9C-101B-9397-08002B2CF9AE}" pid="51" name="_Level">
    <vt:lpwstr>1</vt:lpwstr>
  </property>
  <property fmtid="{D5CDD505-2E9C-101B-9397-08002B2CF9AE}" pid="52" name="_IsCurrentVersion">
    <vt:lpwstr>1</vt:lpwstr>
  </property>
  <property fmtid="{D5CDD505-2E9C-101B-9397-08002B2CF9AE}" pid="53" name="ItemChildCount">
    <vt:lpwstr>5051;#0</vt:lpwstr>
  </property>
  <property fmtid="{D5CDD505-2E9C-101B-9397-08002B2CF9AE}" pid="54" name="FolderChildCount">
    <vt:lpwstr>5051;#0</vt:lpwstr>
  </property>
  <property fmtid="{D5CDD505-2E9C-101B-9397-08002B2CF9AE}" pid="55" name="SelectTitle">
    <vt:lpwstr>5051</vt:lpwstr>
  </property>
  <property fmtid="{D5CDD505-2E9C-101B-9397-08002B2CF9AE}" pid="56" name="SelectFilename">
    <vt:lpwstr>5051</vt:lpwstr>
  </property>
  <property fmtid="{D5CDD505-2E9C-101B-9397-08002B2CF9AE}" pid="57" name="Edit">
    <vt:lpwstr>0</vt:lpwstr>
  </property>
  <property fmtid="{D5CDD505-2E9C-101B-9397-08002B2CF9AE}" pid="58" name="owshiddenversion">
    <vt:lpwstr>42</vt:lpwstr>
  </property>
  <property fmtid="{D5CDD505-2E9C-101B-9397-08002B2CF9AE}" pid="59" name="_UIVersion">
    <vt:lpwstr>4096</vt:lpwstr>
  </property>
  <property fmtid="{D5CDD505-2E9C-101B-9397-08002B2CF9AE}" pid="60" name="Order">
    <vt:lpwstr>505100.000000000</vt:lpwstr>
  </property>
  <property fmtid="{D5CDD505-2E9C-101B-9397-08002B2CF9AE}" pid="61" name="GUID">
    <vt:lpwstr>{17FA13A2-4437-4532-AD49-98FBC18CAA9E}</vt:lpwstr>
  </property>
  <property fmtid="{D5CDD505-2E9C-101B-9397-08002B2CF9AE}" pid="62" name="WorkflowVersion">
    <vt:lpwstr>1</vt:lpwstr>
  </property>
  <property fmtid="{D5CDD505-2E9C-101B-9397-08002B2CF9AE}" pid="63" name="ParentVersionString">
    <vt:lpwstr>5051;#</vt:lpwstr>
  </property>
  <property fmtid="{D5CDD505-2E9C-101B-9397-08002B2CF9AE}" pid="64" name="ParentLeafName">
    <vt:lpwstr>5051;#</vt:lpwstr>
  </property>
  <property fmtid="{D5CDD505-2E9C-101B-9397-08002B2CF9AE}" pid="65" name="Etag">
    <vt:lpwstr>{86008394-450F-4848-B4B6-41E2B927E636},42</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y fmtid="{D5CDD505-2E9C-101B-9397-08002B2CF9AE}" pid="69" name="Last Modified">
    <vt:lpwstr>5051;#2018-11-15 16:03:40</vt:lpwstr>
  </property>
  <property fmtid="{D5CDD505-2E9C-101B-9397-08002B2CF9AE}" pid="70" name="Created By">
    <vt:lpwstr>i:0#.w|mnidom\herut</vt:lpwstr>
  </property>
  <property fmtid="{D5CDD505-2E9C-101B-9397-08002B2CF9AE}" pid="71" name="File Type">
    <vt:lpwstr>docx</vt:lpwstr>
  </property>
  <property fmtid="{D5CDD505-2E9C-101B-9397-08002B2CF9AE}" pid="72" name="File Size">
    <vt:lpwstr>5051;#57949</vt:lpwstr>
  </property>
  <property fmtid="{D5CDD505-2E9C-101B-9397-08002B2CF9AE}" pid="73" name="Modified By">
    <vt:lpwstr>i:0#.w|mnidom\herut</vt:lpwstr>
  </property>
  <property fmtid="{D5CDD505-2E9C-101B-9397-08002B2CF9AE}" pid="74" name="Created Date">
    <vt:lpwstr>5051;#2018-11-08 13:47:54</vt:lpwstr>
  </property>
</Properties>
</file>