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C6" w:rsidRPr="000D1E29" w:rsidRDefault="009A2BC6" w:rsidP="009A2BC6">
      <w:pPr>
        <w:widowControl w:val="0"/>
        <w:autoSpaceDE w:val="0"/>
        <w:autoSpaceDN w:val="0"/>
        <w:adjustRightInd w:val="0"/>
        <w:spacing w:before="102" w:after="0" w:line="300" w:lineRule="atLeast"/>
        <w:jc w:val="center"/>
        <w:rPr>
          <w:rFonts w:ascii="Hadasa Roso SL" w:eastAsia="Times New Roman" w:hAnsi="Hadasa Roso SL" w:cs="David" w:hint="cs"/>
          <w:b/>
          <w:bCs/>
          <w:color w:val="000000"/>
          <w:spacing w:val="1"/>
          <w:sz w:val="30"/>
          <w:szCs w:val="30"/>
          <w:lang w:eastAsia="ja-JP"/>
        </w:rPr>
      </w:pPr>
    </w:p>
    <w:p w:rsidR="009A2BC6" w:rsidRPr="000D1E29" w:rsidRDefault="009A2BC6" w:rsidP="009A2BC6">
      <w:pPr>
        <w:widowControl w:val="0"/>
        <w:autoSpaceDE w:val="0"/>
        <w:autoSpaceDN w:val="0"/>
        <w:adjustRightInd w:val="0"/>
        <w:spacing w:before="102" w:after="0" w:line="300" w:lineRule="atLeast"/>
        <w:jc w:val="center"/>
        <w:rPr>
          <w:rFonts w:ascii="Hadasa Roso SL" w:eastAsia="Times New Roman" w:hAnsi="Hadasa Roso SL" w:cs="David"/>
          <w:b/>
          <w:bCs/>
          <w:color w:val="000000"/>
          <w:spacing w:val="1"/>
          <w:sz w:val="30"/>
          <w:szCs w:val="30"/>
          <w:rtl/>
          <w:lang w:eastAsia="ja-JP"/>
        </w:rPr>
      </w:pPr>
    </w:p>
    <w:p w:rsidR="009A2BC6" w:rsidRPr="0049402D" w:rsidRDefault="009A2BC6" w:rsidP="009A2BC6">
      <w:pPr>
        <w:widowControl w:val="0"/>
        <w:autoSpaceDE w:val="0"/>
        <w:autoSpaceDN w:val="0"/>
        <w:adjustRightInd w:val="0"/>
        <w:spacing w:before="102" w:after="0" w:line="300" w:lineRule="atLeast"/>
        <w:jc w:val="center"/>
        <w:rPr>
          <w:rFonts w:ascii="Hadasa Roso SL" w:eastAsia="Times New Roman" w:hAnsi="Hadasa Roso SL" w:cs="David"/>
          <w:b/>
          <w:bCs/>
          <w:color w:val="000000"/>
          <w:spacing w:val="1"/>
          <w:sz w:val="32"/>
          <w:szCs w:val="32"/>
          <w:rtl/>
          <w:lang w:eastAsia="ja-JP"/>
        </w:rPr>
      </w:pPr>
    </w:p>
    <w:p w:rsidR="009A2BC6" w:rsidRPr="0049402D" w:rsidRDefault="009A2BC6" w:rsidP="0049402D">
      <w:pPr>
        <w:widowControl w:val="0"/>
        <w:autoSpaceDE w:val="0"/>
        <w:autoSpaceDN w:val="0"/>
        <w:adjustRightInd w:val="0"/>
        <w:spacing w:before="102" w:after="0" w:line="300" w:lineRule="atLeast"/>
        <w:jc w:val="center"/>
        <w:rPr>
          <w:rFonts w:ascii="Hadasa Roso SL" w:eastAsia="Times New Roman" w:hAnsi="Hadasa Roso SL" w:cs="David"/>
          <w:b/>
          <w:bCs/>
          <w:color w:val="000000"/>
          <w:spacing w:val="1"/>
          <w:sz w:val="28"/>
          <w:szCs w:val="28"/>
          <w:rtl/>
          <w:lang w:eastAsia="ja-JP"/>
        </w:rPr>
      </w:pPr>
      <w:r w:rsidRPr="0049402D">
        <w:rPr>
          <w:rFonts w:ascii="Hadasa Roso SL" w:eastAsia="Times New Roman" w:hAnsi="Hadasa Roso SL" w:cs="David" w:hint="cs"/>
          <w:b/>
          <w:bCs/>
          <w:color w:val="000000"/>
          <w:spacing w:val="1"/>
          <w:sz w:val="28"/>
          <w:szCs w:val="28"/>
          <w:rtl/>
          <w:lang w:eastAsia="ja-JP"/>
        </w:rPr>
        <w:t>תקנות שירותי הכבאות (אספקת מים וברזי כיבוי),</w:t>
      </w:r>
      <w:r w:rsidRPr="0049402D">
        <w:rPr>
          <w:rFonts w:ascii="Hadasa Roso SL" w:eastAsia="Times New Roman" w:hAnsi="Hadasa Roso SL" w:cs="David"/>
          <w:b/>
          <w:bCs/>
          <w:color w:val="000000"/>
          <w:spacing w:val="1"/>
          <w:sz w:val="28"/>
          <w:szCs w:val="28"/>
          <w:lang w:eastAsia="ja-JP"/>
        </w:rPr>
        <w:t xml:space="preserve"> </w:t>
      </w:r>
      <w:r w:rsidRPr="0049402D">
        <w:rPr>
          <w:rFonts w:ascii="Hadasa Roso SL" w:eastAsia="Times New Roman" w:hAnsi="Hadasa Roso SL" w:cs="David" w:hint="cs"/>
          <w:b/>
          <w:bCs/>
          <w:color w:val="000000"/>
          <w:spacing w:val="1"/>
          <w:sz w:val="28"/>
          <w:szCs w:val="28"/>
          <w:rtl/>
          <w:lang w:eastAsia="ja-JP"/>
        </w:rPr>
        <w:t>(תיקון), התשע"ח-2018</w:t>
      </w:r>
    </w:p>
    <w:p w:rsidR="009A2BC6" w:rsidRPr="000D1E29" w:rsidRDefault="009A2BC6" w:rsidP="009A2BC6">
      <w:pPr>
        <w:widowControl w:val="0"/>
        <w:autoSpaceDE w:val="0"/>
        <w:autoSpaceDN w:val="0"/>
        <w:adjustRightInd w:val="0"/>
        <w:spacing w:before="102" w:after="0" w:line="300" w:lineRule="atLeast"/>
        <w:ind w:firstLine="340"/>
        <w:jc w:val="center"/>
        <w:rPr>
          <w:rFonts w:ascii="Hadasa Roso SL" w:eastAsia="Times New Roman" w:hAnsi="Hadasa Roso SL" w:cs="David"/>
          <w:b/>
          <w:bCs/>
          <w:color w:val="000000"/>
          <w:spacing w:val="1"/>
          <w:sz w:val="26"/>
          <w:szCs w:val="26"/>
          <w:rtl/>
          <w:lang w:eastAsia="ja-JP"/>
        </w:rPr>
      </w:pPr>
    </w:p>
    <w:p w:rsidR="009A2BC6" w:rsidRPr="000D1E29" w:rsidRDefault="009A2BC6" w:rsidP="009A2BC6">
      <w:pPr>
        <w:widowControl w:val="0"/>
        <w:autoSpaceDE w:val="0"/>
        <w:autoSpaceDN w:val="0"/>
        <w:adjustRightInd w:val="0"/>
        <w:spacing w:before="102" w:after="0" w:line="300" w:lineRule="atLeast"/>
        <w:ind w:firstLine="340"/>
        <w:jc w:val="center"/>
        <w:rPr>
          <w:rFonts w:ascii="Hadasa Roso SL" w:eastAsia="Times New Roman" w:hAnsi="Hadasa Roso SL" w:cs="David"/>
          <w:b/>
          <w:bCs/>
          <w:color w:val="000000"/>
          <w:spacing w:val="1"/>
          <w:sz w:val="26"/>
          <w:szCs w:val="26"/>
          <w:rtl/>
          <w:lang w:eastAsia="ja-JP"/>
        </w:rPr>
      </w:pPr>
    </w:p>
    <w:tbl>
      <w:tblPr>
        <w:bidiVisual/>
        <w:tblW w:w="1035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624"/>
        <w:gridCol w:w="7854"/>
      </w:tblGrid>
      <w:tr w:rsidR="009A2BC6" w:rsidRPr="000D1E29" w:rsidTr="005053E5">
        <w:trPr>
          <w:cantSplit/>
          <w:trHeight w:val="60"/>
        </w:trPr>
        <w:tc>
          <w:tcPr>
            <w:tcW w:w="10350" w:type="dxa"/>
            <w:gridSpan w:val="3"/>
            <w:hideMark/>
          </w:tcPr>
          <w:p w:rsidR="009A2BC6" w:rsidRDefault="009A2BC6" w:rsidP="009041D7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  <w:r w:rsidRPr="000D1E29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בתוקף סמכותי לפי </w:t>
            </w:r>
            <w:r w:rsidRPr="000D1E29">
              <w:rPr>
                <w:rFonts w:ascii="Arial" w:eastAsia="Arial Unicode MS" w:hAnsi="Arial" w:cs="David" w:hint="cs"/>
                <w:sz w:val="26"/>
                <w:szCs w:val="26"/>
                <w:rtl/>
                <w:lang w:eastAsia="ja-JP"/>
              </w:rPr>
              <w:t>סעיפים</w:t>
            </w:r>
            <w:r w:rsidRPr="00B36B4F">
              <w:rPr>
                <w:rFonts w:ascii="Arial" w:eastAsia="Arial Unicode MS" w:hAnsi="Arial" w:cs="David" w:hint="cs"/>
                <w:sz w:val="26"/>
                <w:szCs w:val="26"/>
                <w:rtl/>
                <w:lang w:eastAsia="ja-JP"/>
              </w:rPr>
              <w:t xml:space="preserve"> </w:t>
            </w:r>
            <w:r w:rsidR="000F3178">
              <w:rPr>
                <w:rFonts w:ascii="Arial" w:eastAsia="Arial Unicode MS" w:hAnsi="Arial" w:cs="David" w:hint="cs"/>
                <w:sz w:val="26"/>
                <w:szCs w:val="26"/>
                <w:rtl/>
                <w:lang w:eastAsia="ja-JP"/>
              </w:rPr>
              <w:t xml:space="preserve">128 ו-147(א)(11) </w:t>
            </w:r>
            <w:r w:rsidRPr="000D1E29">
              <w:rPr>
                <w:rFonts w:ascii="Arial" w:eastAsia="Arial Unicode MS" w:hAnsi="Arial" w:cs="David" w:hint="cs"/>
                <w:sz w:val="26"/>
                <w:szCs w:val="26"/>
                <w:rtl/>
                <w:lang w:eastAsia="ja-JP"/>
              </w:rPr>
              <w:t xml:space="preserve"> לחוק הרשות הארצית לכבאות והצלה התשע"ב-2012</w:t>
            </w:r>
            <w:r w:rsidRPr="00B36B4F">
              <w:rPr>
                <w:rFonts w:ascii="Arial" w:eastAsia="Arial Unicode MS" w:hAnsi="Arial" w:cs="David"/>
                <w:color w:val="000000"/>
                <w:sz w:val="26"/>
                <w:szCs w:val="26"/>
                <w:vertAlign w:val="superscript"/>
                <w:rtl/>
                <w:lang w:eastAsia="ja-JP"/>
              </w:rPr>
              <w:footnoteReference w:id="1"/>
            </w:r>
            <w:r w:rsidRPr="000D1E29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, אני מתקין תקנות אלה:</w:t>
            </w:r>
          </w:p>
          <w:p w:rsidR="009041D7" w:rsidRPr="000D1E29" w:rsidRDefault="009041D7" w:rsidP="009041D7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="Arial Unicode MS" w:hAnsi="Arial" w:cs="David"/>
                <w:color w:val="000000"/>
                <w:sz w:val="26"/>
                <w:szCs w:val="26"/>
                <w:lang w:eastAsia="ja-JP"/>
              </w:rPr>
            </w:pPr>
          </w:p>
        </w:tc>
      </w:tr>
      <w:tr w:rsidR="009A2BC6" w:rsidRPr="000D1E29" w:rsidTr="005053E5">
        <w:trPr>
          <w:cantSplit/>
          <w:trHeight w:val="60"/>
        </w:trPr>
        <w:tc>
          <w:tcPr>
            <w:tcW w:w="1872" w:type="dxa"/>
          </w:tcPr>
          <w:p w:rsidR="009A2BC6" w:rsidRPr="00B36B4F" w:rsidRDefault="009A2BC6" w:rsidP="005053E5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ind w:right="57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תיקון השם</w:t>
            </w:r>
          </w:p>
        </w:tc>
        <w:tc>
          <w:tcPr>
            <w:tcW w:w="624" w:type="dxa"/>
          </w:tcPr>
          <w:p w:rsidR="009A2BC6" w:rsidRPr="000D1E29" w:rsidRDefault="009A2BC6" w:rsidP="005053E5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ind w:right="57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1.</w:t>
            </w:r>
          </w:p>
        </w:tc>
        <w:tc>
          <w:tcPr>
            <w:tcW w:w="7854" w:type="dxa"/>
          </w:tcPr>
          <w:p w:rsidR="009A2BC6" w:rsidRPr="00F1787E" w:rsidRDefault="009A2BC6" w:rsidP="008F0B4D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בשמן של </w:t>
            </w:r>
            <w:r w:rsidRPr="00F1787E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תקנות</w:t>
            </w:r>
            <w:r w:rsidRPr="00F1787E"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  <w:t xml:space="preserve"> </w:t>
            </w:r>
            <w:r w:rsidRPr="00F1787E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שירותי</w:t>
            </w:r>
            <w:r w:rsidRPr="00F1787E"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  <w:t xml:space="preserve"> </w:t>
            </w:r>
            <w:r w:rsidRPr="00F1787E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הכבאות</w:t>
            </w:r>
            <w:r w:rsidRPr="00F1787E"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  <w:t xml:space="preserve"> (</w:t>
            </w: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אספקת מים וברזי כיבוי</w:t>
            </w:r>
            <w:r w:rsidRPr="00F1787E"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  <w:t xml:space="preserve">), </w:t>
            </w:r>
            <w:r w:rsidRPr="00F1787E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התשל</w:t>
            </w:r>
            <w:r w:rsidRPr="00F1787E"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  <w:t>"</w:t>
            </w: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א</w:t>
            </w:r>
            <w:r w:rsidRPr="00F1787E"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  <w:t>-</w:t>
            </w: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1971</w:t>
            </w:r>
            <w:r w:rsidR="009A19EA">
              <w:rPr>
                <w:rStyle w:val="a5"/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  <w:footnoteReference w:id="2"/>
            </w: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 (להלן- התקנות העיקריות), במקום "שירותי הכבאות</w:t>
            </w:r>
            <w:r w:rsidR="00C939F7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 (אספקת מים וברזי כיבוי)</w:t>
            </w: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" יבוא "הרשות הארצית לכבאות והצלה</w:t>
            </w:r>
            <w:r w:rsidR="00C939F7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 (מים)</w:t>
            </w: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".</w:t>
            </w:r>
          </w:p>
        </w:tc>
      </w:tr>
      <w:tr w:rsidR="009A2BC6" w:rsidRPr="000D1E29" w:rsidTr="00390B9A">
        <w:trPr>
          <w:cantSplit/>
          <w:trHeight w:val="418"/>
        </w:trPr>
        <w:tc>
          <w:tcPr>
            <w:tcW w:w="1872" w:type="dxa"/>
            <w:vMerge w:val="restart"/>
            <w:hideMark/>
          </w:tcPr>
          <w:p w:rsidR="009A2BC6" w:rsidRPr="000D1E29" w:rsidRDefault="009A2BC6" w:rsidP="00712282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ind w:right="57"/>
              <w:rPr>
                <w:rFonts w:ascii="Arial" w:eastAsia="Arial Unicode MS" w:hAnsi="Arial" w:cs="David"/>
                <w:color w:val="000000"/>
                <w:sz w:val="26"/>
                <w:szCs w:val="26"/>
                <w:lang w:eastAsia="ja-JP"/>
              </w:rPr>
            </w:pPr>
            <w:r w:rsidRPr="00B36B4F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תיקון תקנה</w:t>
            </w:r>
            <w:r w:rsidRPr="000D1E29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 </w:t>
            </w:r>
            <w:r w:rsidR="00712282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1</w:t>
            </w: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 </w:t>
            </w:r>
          </w:p>
        </w:tc>
        <w:tc>
          <w:tcPr>
            <w:tcW w:w="624" w:type="dxa"/>
            <w:vMerge w:val="restart"/>
            <w:hideMark/>
          </w:tcPr>
          <w:p w:rsidR="009A2BC6" w:rsidRPr="000D1E29" w:rsidRDefault="009A2BC6" w:rsidP="005053E5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ind w:right="57"/>
              <w:rPr>
                <w:rFonts w:ascii="Arial" w:eastAsia="Arial Unicode MS" w:hAnsi="Arial" w:cs="David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2</w:t>
            </w:r>
            <w:r w:rsidRPr="000D1E29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.</w:t>
            </w:r>
          </w:p>
        </w:tc>
        <w:tc>
          <w:tcPr>
            <w:tcW w:w="7854" w:type="dxa"/>
            <w:hideMark/>
          </w:tcPr>
          <w:p w:rsidR="009A2BC6" w:rsidRPr="00B67E6F" w:rsidRDefault="009A2BC6" w:rsidP="00C939F7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  <w:r w:rsidRPr="00F1787E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בתקנה</w:t>
            </w:r>
            <w:r w:rsidRPr="00F1787E"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  <w:t xml:space="preserve"> </w:t>
            </w:r>
            <w:r w:rsidR="00C939F7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1</w:t>
            </w:r>
            <w:r w:rsidRPr="00F1787E"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  <w:t xml:space="preserve"> </w:t>
            </w:r>
            <w:r w:rsidRPr="00F1787E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לתקנות</w:t>
            </w:r>
            <w:r w:rsidRPr="00F1787E"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  <w:t xml:space="preserve"> </w:t>
            </w: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העיקריות:</w:t>
            </w:r>
          </w:p>
        </w:tc>
      </w:tr>
      <w:tr w:rsidR="009A2BC6" w:rsidRPr="000D1E29" w:rsidTr="00390B9A">
        <w:trPr>
          <w:cantSplit/>
          <w:trHeight w:val="375"/>
        </w:trPr>
        <w:tc>
          <w:tcPr>
            <w:tcW w:w="1872" w:type="dxa"/>
            <w:vMerge/>
          </w:tcPr>
          <w:p w:rsidR="009A2BC6" w:rsidRPr="00B36B4F" w:rsidRDefault="009A2BC6" w:rsidP="005053E5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ind w:right="57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</w:p>
        </w:tc>
        <w:tc>
          <w:tcPr>
            <w:tcW w:w="624" w:type="dxa"/>
            <w:vMerge/>
          </w:tcPr>
          <w:p w:rsidR="009A2BC6" w:rsidRDefault="009A2BC6" w:rsidP="005053E5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ind w:right="57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</w:p>
        </w:tc>
        <w:tc>
          <w:tcPr>
            <w:tcW w:w="7854" w:type="dxa"/>
          </w:tcPr>
          <w:p w:rsidR="009A2BC6" w:rsidRPr="00F1787E" w:rsidRDefault="009A2BC6" w:rsidP="00601AE1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(א) </w:t>
            </w:r>
            <w:r w:rsidR="00601AE1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במקום </w:t>
            </w:r>
            <w:r w:rsidR="00C939F7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הגדרת "בעל רשת צינורות מים",</w:t>
            </w:r>
            <w:r w:rsidR="00601AE1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 יבוא: ""בעל רשת צינורות מים"- </w:t>
            </w:r>
            <w:r w:rsidR="00712282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 מי שמס</w:t>
            </w:r>
            <w:r w:rsidR="00601AE1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פ</w:t>
            </w:r>
            <w:r w:rsidR="00712282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ק מים לפי </w:t>
            </w:r>
            <w:proofErr w:type="spellStart"/>
            <w:r w:rsidR="00712282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רשיון</w:t>
            </w:r>
            <w:proofErr w:type="spellEnd"/>
            <w:r w:rsidR="00712282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"</w:t>
            </w: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;</w:t>
            </w:r>
          </w:p>
        </w:tc>
      </w:tr>
      <w:tr w:rsidR="009A2BC6" w:rsidRPr="000D1E29" w:rsidTr="00390B9A">
        <w:trPr>
          <w:cantSplit/>
          <w:trHeight w:val="723"/>
        </w:trPr>
        <w:tc>
          <w:tcPr>
            <w:tcW w:w="1872" w:type="dxa"/>
            <w:vMerge/>
          </w:tcPr>
          <w:p w:rsidR="009A2BC6" w:rsidRPr="00B36B4F" w:rsidRDefault="009A2BC6" w:rsidP="005053E5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ind w:right="57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</w:p>
        </w:tc>
        <w:tc>
          <w:tcPr>
            <w:tcW w:w="624" w:type="dxa"/>
            <w:vMerge/>
          </w:tcPr>
          <w:p w:rsidR="009A2BC6" w:rsidRDefault="009A2BC6" w:rsidP="005053E5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ind w:right="57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</w:p>
        </w:tc>
        <w:tc>
          <w:tcPr>
            <w:tcW w:w="7854" w:type="dxa"/>
          </w:tcPr>
          <w:p w:rsidR="009A2BC6" w:rsidRPr="00F1787E" w:rsidRDefault="009A2BC6" w:rsidP="00E40F88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(ב) </w:t>
            </w:r>
            <w:r w:rsidR="00E40F88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הגדרות "המפקח" ,"רשות כבאות" ו-"תחנת כבאות"- </w:t>
            </w:r>
            <w:r w:rsidR="00712282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יימחקו;</w:t>
            </w:r>
          </w:p>
        </w:tc>
      </w:tr>
      <w:tr w:rsidR="009A2BC6" w:rsidRPr="000D1E29" w:rsidTr="005053E5">
        <w:trPr>
          <w:cantSplit/>
          <w:trHeight w:val="910"/>
        </w:trPr>
        <w:tc>
          <w:tcPr>
            <w:tcW w:w="1872" w:type="dxa"/>
          </w:tcPr>
          <w:p w:rsidR="00ED0621" w:rsidRDefault="00BA4FED" w:rsidP="00BA4FED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ind w:right="57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ביטול תקנות</w:t>
            </w:r>
            <w:r w:rsidR="00ED0621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 2, ו-</w:t>
            </w:r>
          </w:p>
          <w:p w:rsidR="009A2BC6" w:rsidRPr="00B36B4F" w:rsidRDefault="00ED0621" w:rsidP="00BA4FED">
            <w:pPr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ind w:right="57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5-13</w:t>
            </w:r>
          </w:p>
        </w:tc>
        <w:tc>
          <w:tcPr>
            <w:tcW w:w="624" w:type="dxa"/>
          </w:tcPr>
          <w:p w:rsidR="009A2BC6" w:rsidRDefault="00712282" w:rsidP="005053E5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ind w:right="57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3</w:t>
            </w:r>
          </w:p>
        </w:tc>
        <w:tc>
          <w:tcPr>
            <w:tcW w:w="7854" w:type="dxa"/>
          </w:tcPr>
          <w:p w:rsidR="009A2BC6" w:rsidRDefault="001A06D3" w:rsidP="00BA4FED">
            <w:pPr>
              <w:keepLines/>
              <w:widowControl w:val="0"/>
              <w:tabs>
                <w:tab w:val="left" w:pos="624"/>
                <w:tab w:val="left" w:pos="1247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</w:pP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תקנות 2, </w:t>
            </w:r>
            <w:r w:rsidR="00BA4FED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ו- 5 עד </w:t>
            </w: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13 </w:t>
            </w:r>
            <w:r w:rsidR="00BA4FED">
              <w:rPr>
                <w:rFonts w:ascii="Arial" w:eastAsia="Arial Unicode MS" w:hAnsi="Arial" w:cs="David"/>
                <w:color w:val="000000"/>
                <w:sz w:val="26"/>
                <w:szCs w:val="26"/>
                <w:rtl/>
                <w:lang w:eastAsia="ja-JP"/>
              </w:rPr>
              <w:t>–</w:t>
            </w:r>
            <w:r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 xml:space="preserve"> ימחקו</w:t>
            </w:r>
            <w:r w:rsidR="00BA4FED">
              <w:rPr>
                <w:rFonts w:ascii="Arial" w:eastAsia="Arial Unicode MS" w:hAnsi="Arial" w:cs="David" w:hint="cs"/>
                <w:color w:val="000000"/>
                <w:sz w:val="26"/>
                <w:szCs w:val="26"/>
                <w:rtl/>
                <w:lang w:eastAsia="ja-JP"/>
              </w:rPr>
              <w:t>.</w:t>
            </w:r>
          </w:p>
        </w:tc>
      </w:tr>
    </w:tbl>
    <w:p w:rsidR="009A2BC6" w:rsidRPr="000D1E29" w:rsidRDefault="009A2BC6" w:rsidP="009A2BC6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jc w:val="both"/>
        <w:rPr>
          <w:rFonts w:ascii="Hadasa Roso SL" w:eastAsia="MS Mincho" w:hAnsi="Hadasa Roso SL" w:cs="Hadasa Roso SL"/>
          <w:color w:val="000000"/>
          <w:spacing w:val="1"/>
          <w:sz w:val="26"/>
          <w:szCs w:val="26"/>
          <w:lang w:eastAsia="ja-JP"/>
        </w:rPr>
      </w:pPr>
    </w:p>
    <w:p w:rsidR="009A2BC6" w:rsidRPr="000D1E29" w:rsidRDefault="009A2BC6" w:rsidP="009A2BC6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jc w:val="both"/>
        <w:rPr>
          <w:rFonts w:ascii="Hadasa Roso SL" w:eastAsia="MS Mincho" w:hAnsi="Hadasa Roso SL" w:cs="Hadasa Roso SL"/>
          <w:color w:val="000000"/>
          <w:spacing w:val="1"/>
          <w:sz w:val="26"/>
          <w:szCs w:val="26"/>
          <w:rtl/>
          <w:lang w:eastAsia="ja-JP"/>
        </w:rPr>
      </w:pPr>
    </w:p>
    <w:p w:rsidR="009A2BC6" w:rsidRPr="000D1E29" w:rsidRDefault="009A2BC6" w:rsidP="00046706">
      <w:pPr>
        <w:widowControl w:val="0"/>
        <w:autoSpaceDE w:val="0"/>
        <w:autoSpaceDN w:val="0"/>
        <w:adjustRightInd w:val="0"/>
        <w:spacing w:before="102" w:after="0" w:line="204" w:lineRule="atLeast"/>
        <w:ind w:left="2160" w:hanging="2160"/>
        <w:jc w:val="both"/>
        <w:rPr>
          <w:rFonts w:ascii="Hadasa Roso SL" w:eastAsia="MS Mincho" w:hAnsi="Hadasa Roso SL" w:cs="David"/>
          <w:color w:val="000000"/>
          <w:spacing w:val="1"/>
          <w:sz w:val="26"/>
          <w:szCs w:val="26"/>
          <w:rtl/>
          <w:lang w:eastAsia="ja-JP"/>
        </w:rPr>
      </w:pPr>
      <w:r w:rsidRPr="000D1E29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 xml:space="preserve">          </w:t>
      </w:r>
      <w:r w:rsidRPr="00B36B4F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 xml:space="preserve">   </w:t>
      </w:r>
      <w:r w:rsidR="00046706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 xml:space="preserve"> ___</w:t>
      </w:r>
      <w:r w:rsidRPr="00B36B4F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 xml:space="preserve">_______ </w:t>
      </w:r>
      <w:proofErr w:type="spellStart"/>
      <w:r w:rsidRPr="00B36B4F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>התשע"</w:t>
      </w:r>
      <w:r w:rsidR="00FF32F9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>ח</w:t>
      </w:r>
      <w:proofErr w:type="spellEnd"/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 xml:space="preserve"> </w:t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</w:r>
      <w:r w:rsidRPr="000D1E29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>________________</w:t>
      </w:r>
    </w:p>
    <w:p w:rsidR="009A2BC6" w:rsidRPr="000D1E29" w:rsidRDefault="009A2BC6" w:rsidP="00046706">
      <w:pPr>
        <w:widowControl w:val="0"/>
        <w:autoSpaceDE w:val="0"/>
        <w:autoSpaceDN w:val="0"/>
        <w:adjustRightInd w:val="0"/>
        <w:spacing w:before="102" w:after="0" w:line="204" w:lineRule="atLeast"/>
        <w:ind w:left="2160" w:hanging="2160"/>
        <w:jc w:val="both"/>
        <w:rPr>
          <w:rFonts w:ascii="Hadasa Roso SL" w:eastAsia="MS Mincho" w:hAnsi="Hadasa Roso SL" w:cs="David"/>
          <w:color w:val="000000"/>
          <w:spacing w:val="1"/>
          <w:sz w:val="26"/>
          <w:szCs w:val="26"/>
          <w:rtl/>
          <w:lang w:eastAsia="ja-JP"/>
        </w:rPr>
      </w:pPr>
      <w:r w:rsidRPr="000D1E29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 xml:space="preserve">            </w:t>
      </w:r>
      <w:r w:rsidRPr="00B36B4F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 xml:space="preserve">  (       </w:t>
      </w:r>
      <w:r w:rsidR="00046706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 xml:space="preserve">       </w:t>
      </w:r>
      <w:r w:rsidRPr="00B36B4F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 xml:space="preserve">            201</w:t>
      </w:r>
      <w:r w:rsidR="00FF32F9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>8</w:t>
      </w:r>
      <w:r w:rsidRPr="000D1E29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 xml:space="preserve"> )</w:t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  <w:t xml:space="preserve">    </w:t>
      </w:r>
      <w:r w:rsidRPr="00B36B4F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 xml:space="preserve">     גלעד ארדן</w:t>
      </w:r>
    </w:p>
    <w:p w:rsidR="009A2BC6" w:rsidRPr="000D1E29" w:rsidRDefault="009A2BC6" w:rsidP="009A2BC6">
      <w:pPr>
        <w:widowControl w:val="0"/>
        <w:autoSpaceDE w:val="0"/>
        <w:autoSpaceDN w:val="0"/>
        <w:adjustRightInd w:val="0"/>
        <w:spacing w:before="102" w:after="0" w:line="204" w:lineRule="atLeast"/>
        <w:ind w:left="2160" w:hanging="2160"/>
        <w:jc w:val="both"/>
        <w:rPr>
          <w:rFonts w:ascii="Hadasa Roso SL" w:eastAsia="MS Mincho" w:hAnsi="Hadasa Roso SL" w:cs="David"/>
          <w:color w:val="000000"/>
          <w:spacing w:val="1"/>
          <w:sz w:val="26"/>
          <w:szCs w:val="26"/>
          <w:rtl/>
          <w:lang w:eastAsia="ja-JP"/>
        </w:rPr>
      </w:pP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</w:r>
      <w:r w:rsidRPr="00B36B4F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ab/>
        <w:t xml:space="preserve">               </w:t>
      </w:r>
      <w:r w:rsidRPr="000D1E29">
        <w:rPr>
          <w:rFonts w:ascii="Arial" w:eastAsia="Arial Unicode MS" w:hAnsi="Arial" w:cs="David" w:hint="cs"/>
          <w:snapToGrid w:val="0"/>
          <w:color w:val="000000"/>
          <w:spacing w:val="1"/>
          <w:sz w:val="26"/>
          <w:szCs w:val="26"/>
          <w:rtl/>
          <w:lang w:eastAsia="ja-JP"/>
        </w:rPr>
        <w:t>השר לביטחון</w:t>
      </w:r>
      <w:r w:rsidRPr="000D1E29">
        <w:rPr>
          <w:rFonts w:ascii="Hadasa Roso SL" w:eastAsia="MS Mincho" w:hAnsi="Hadasa Roso SL" w:cs="David" w:hint="cs"/>
          <w:color w:val="000000"/>
          <w:spacing w:val="1"/>
          <w:sz w:val="26"/>
          <w:szCs w:val="26"/>
          <w:rtl/>
          <w:lang w:eastAsia="ja-JP"/>
        </w:rPr>
        <w:t xml:space="preserve"> הפנים</w:t>
      </w:r>
    </w:p>
    <w:p w:rsidR="009A2BC6" w:rsidRPr="000D1E29" w:rsidRDefault="009A2BC6" w:rsidP="009A2BC6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jc w:val="both"/>
        <w:rPr>
          <w:rFonts w:ascii="Hadasa Roso SL" w:eastAsia="MS Mincho" w:hAnsi="Hadasa Roso SL" w:cs="Hadasa Roso SL"/>
          <w:color w:val="000000"/>
          <w:spacing w:val="1"/>
          <w:sz w:val="26"/>
          <w:szCs w:val="26"/>
          <w:rtl/>
          <w:lang w:eastAsia="ja-JP"/>
        </w:rPr>
      </w:pPr>
    </w:p>
    <w:p w:rsidR="009A2BC6" w:rsidRPr="000D1E29" w:rsidRDefault="009A2BC6" w:rsidP="009A2BC6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jc w:val="both"/>
        <w:rPr>
          <w:rFonts w:ascii="Hadasa Roso SL" w:eastAsia="MS Mincho" w:hAnsi="Hadasa Roso SL" w:cs="Hadasa Roso SL"/>
          <w:color w:val="000000"/>
          <w:spacing w:val="1"/>
          <w:sz w:val="26"/>
          <w:szCs w:val="26"/>
          <w:rtl/>
          <w:lang w:eastAsia="ja-JP"/>
        </w:rPr>
      </w:pPr>
    </w:p>
    <w:p w:rsidR="009A2BC6" w:rsidRPr="000D1E29" w:rsidRDefault="009A2BC6" w:rsidP="009A2BC6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jc w:val="both"/>
        <w:rPr>
          <w:rFonts w:ascii="Hadasa Roso SL" w:eastAsia="MS Mincho" w:hAnsi="Hadasa Roso SL" w:cs="Hadasa Roso SL"/>
          <w:color w:val="000000"/>
          <w:spacing w:val="1"/>
          <w:sz w:val="26"/>
          <w:szCs w:val="26"/>
          <w:rtl/>
          <w:lang w:eastAsia="ja-JP"/>
        </w:rPr>
      </w:pPr>
    </w:p>
    <w:p w:rsidR="009A2BC6" w:rsidRDefault="009A2BC6" w:rsidP="009A2BC6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jc w:val="both"/>
        <w:rPr>
          <w:rFonts w:ascii="Hadasa Roso SL" w:eastAsia="MS Mincho" w:hAnsi="Hadasa Roso SL" w:cs="Hadasa Roso SL"/>
          <w:color w:val="000000"/>
          <w:spacing w:val="1"/>
          <w:sz w:val="26"/>
          <w:szCs w:val="26"/>
          <w:rtl/>
          <w:lang w:eastAsia="ja-JP"/>
        </w:rPr>
      </w:pPr>
    </w:p>
    <w:p w:rsidR="00E278D0" w:rsidRDefault="00E278D0" w:rsidP="009A2BC6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jc w:val="both"/>
        <w:rPr>
          <w:rFonts w:ascii="Hadasa Roso SL" w:eastAsia="MS Mincho" w:hAnsi="Hadasa Roso SL" w:cs="Hadasa Roso SL"/>
          <w:color w:val="000000"/>
          <w:spacing w:val="1"/>
          <w:sz w:val="26"/>
          <w:szCs w:val="26"/>
          <w:rtl/>
          <w:lang w:eastAsia="ja-JP"/>
        </w:rPr>
      </w:pPr>
    </w:p>
    <w:p w:rsidR="00E278D0" w:rsidRPr="000D1E29" w:rsidRDefault="00E278D0" w:rsidP="009A2BC6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jc w:val="both"/>
        <w:rPr>
          <w:rFonts w:ascii="Hadasa Roso SL" w:eastAsia="MS Mincho" w:hAnsi="Hadasa Roso SL" w:cs="Hadasa Roso SL"/>
          <w:color w:val="000000"/>
          <w:spacing w:val="1"/>
          <w:sz w:val="26"/>
          <w:szCs w:val="26"/>
          <w:rtl/>
          <w:lang w:eastAsia="ja-JP"/>
        </w:rPr>
      </w:pPr>
    </w:p>
    <w:p w:rsidR="009A2BC6" w:rsidRDefault="009A2BC6" w:rsidP="009A2BC6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jc w:val="both"/>
        <w:rPr>
          <w:rFonts w:ascii="Hadasa Roso SL" w:eastAsia="MS Mincho" w:hAnsi="Hadasa Roso SL" w:cs="Hadasa Roso SL"/>
          <w:color w:val="000000"/>
          <w:spacing w:val="1"/>
          <w:sz w:val="26"/>
          <w:szCs w:val="26"/>
          <w:rtl/>
          <w:lang w:eastAsia="ja-JP"/>
        </w:rPr>
      </w:pPr>
    </w:p>
    <w:p w:rsidR="009A2BC6" w:rsidRDefault="009A2BC6" w:rsidP="009A2BC6">
      <w:pPr>
        <w:widowControl w:val="0"/>
        <w:autoSpaceDE w:val="0"/>
        <w:autoSpaceDN w:val="0"/>
        <w:adjustRightInd w:val="0"/>
        <w:spacing w:before="102" w:after="0" w:line="204" w:lineRule="atLeast"/>
        <w:ind w:firstLine="340"/>
        <w:jc w:val="both"/>
        <w:rPr>
          <w:rFonts w:ascii="Hadasa Roso SL" w:eastAsia="MS Mincho" w:hAnsi="Hadasa Roso SL" w:cs="Hadasa Roso SL"/>
          <w:color w:val="000000"/>
          <w:spacing w:val="1"/>
          <w:sz w:val="26"/>
          <w:szCs w:val="26"/>
          <w:rtl/>
          <w:lang w:eastAsia="ja-JP"/>
        </w:rPr>
      </w:pPr>
    </w:p>
    <w:p w:rsidR="009A2BC6" w:rsidRPr="00E103BD" w:rsidRDefault="009A2BC6" w:rsidP="009A2BC6">
      <w:pPr>
        <w:widowControl w:val="0"/>
        <w:autoSpaceDE w:val="0"/>
        <w:autoSpaceDN w:val="0"/>
        <w:adjustRightInd w:val="0"/>
        <w:spacing w:before="102" w:after="0" w:line="204" w:lineRule="atLeast"/>
        <w:jc w:val="center"/>
        <w:rPr>
          <w:rFonts w:ascii="Hadasa Roso SL" w:eastAsia="MS Mincho" w:hAnsi="Hadasa Roso SL" w:cs="David"/>
          <w:b/>
          <w:bCs/>
          <w:color w:val="000000"/>
          <w:spacing w:val="1"/>
          <w:sz w:val="26"/>
          <w:szCs w:val="26"/>
          <w:u w:val="single"/>
          <w:rtl/>
          <w:lang w:eastAsia="ja-JP"/>
        </w:rPr>
      </w:pPr>
      <w:r w:rsidRPr="00E103BD">
        <w:rPr>
          <w:rFonts w:ascii="Hadasa Roso SL" w:eastAsia="MS Mincho" w:hAnsi="Hadasa Roso SL" w:cs="David" w:hint="cs"/>
          <w:b/>
          <w:bCs/>
          <w:color w:val="000000"/>
          <w:spacing w:val="1"/>
          <w:sz w:val="26"/>
          <w:szCs w:val="26"/>
          <w:u w:val="single"/>
          <w:rtl/>
          <w:lang w:eastAsia="ja-JP"/>
        </w:rPr>
        <w:t>דברי הסבר</w:t>
      </w:r>
    </w:p>
    <w:p w:rsidR="009A2BC6" w:rsidRPr="008C0289" w:rsidRDefault="009A2BC6" w:rsidP="009A2BC6">
      <w:pPr>
        <w:jc w:val="both"/>
        <w:rPr>
          <w:rFonts w:ascii="Arial" w:eastAsia="Arial Unicode MS" w:hAnsi="Arial" w:cs="David"/>
          <w:color w:val="000000"/>
          <w:sz w:val="26"/>
          <w:szCs w:val="26"/>
          <w:rtl/>
          <w:lang w:eastAsia="ja-JP"/>
        </w:rPr>
      </w:pPr>
    </w:p>
    <w:p w:rsidR="008C0289" w:rsidRDefault="008C0289" w:rsidP="00912C29">
      <w:pPr>
        <w:pStyle w:val="HeadDivreiHesber"/>
        <w:jc w:val="both"/>
        <w:rPr>
          <w:b w:val="0"/>
          <w:spacing w:val="0"/>
          <w:sz w:val="26"/>
          <w:rtl/>
        </w:rPr>
      </w:pPr>
      <w:r>
        <w:rPr>
          <w:rFonts w:hint="cs"/>
          <w:b w:val="0"/>
          <w:spacing w:val="0"/>
          <w:sz w:val="26"/>
          <w:rtl/>
        </w:rPr>
        <w:t xml:space="preserve">תקנות </w:t>
      </w:r>
      <w:r w:rsidRPr="008C0289">
        <w:rPr>
          <w:rFonts w:hint="cs"/>
          <w:b w:val="0"/>
          <w:spacing w:val="0"/>
          <w:sz w:val="26"/>
          <w:rtl/>
        </w:rPr>
        <w:t>שירותי</w:t>
      </w:r>
      <w:r w:rsidRPr="008C0289">
        <w:rPr>
          <w:b w:val="0"/>
          <w:spacing w:val="0"/>
          <w:sz w:val="26"/>
          <w:rtl/>
        </w:rPr>
        <w:t xml:space="preserve"> </w:t>
      </w:r>
      <w:r w:rsidRPr="008C0289">
        <w:rPr>
          <w:rFonts w:hint="cs"/>
          <w:b w:val="0"/>
          <w:spacing w:val="0"/>
          <w:sz w:val="26"/>
          <w:rtl/>
        </w:rPr>
        <w:t>הכבאות</w:t>
      </w:r>
      <w:r w:rsidRPr="008C0289">
        <w:rPr>
          <w:b w:val="0"/>
          <w:spacing w:val="0"/>
          <w:sz w:val="26"/>
          <w:rtl/>
        </w:rPr>
        <w:t xml:space="preserve"> (</w:t>
      </w:r>
      <w:r w:rsidRPr="008C0289">
        <w:rPr>
          <w:rFonts w:hint="cs"/>
          <w:b w:val="0"/>
          <w:spacing w:val="0"/>
          <w:sz w:val="26"/>
          <w:rtl/>
        </w:rPr>
        <w:t>אספקת מים וברזי כיבוי</w:t>
      </w:r>
      <w:r w:rsidRPr="008C0289">
        <w:rPr>
          <w:b w:val="0"/>
          <w:spacing w:val="0"/>
          <w:sz w:val="26"/>
          <w:rtl/>
        </w:rPr>
        <w:t xml:space="preserve">), </w:t>
      </w:r>
      <w:r w:rsidRPr="008C0289">
        <w:rPr>
          <w:rFonts w:hint="cs"/>
          <w:b w:val="0"/>
          <w:spacing w:val="0"/>
          <w:sz w:val="26"/>
          <w:rtl/>
        </w:rPr>
        <w:t>התשל</w:t>
      </w:r>
      <w:r w:rsidRPr="008C0289">
        <w:rPr>
          <w:b w:val="0"/>
          <w:spacing w:val="0"/>
          <w:sz w:val="26"/>
          <w:rtl/>
        </w:rPr>
        <w:t>"</w:t>
      </w:r>
      <w:r w:rsidRPr="008C0289">
        <w:rPr>
          <w:rFonts w:hint="cs"/>
          <w:b w:val="0"/>
          <w:spacing w:val="0"/>
          <w:sz w:val="26"/>
          <w:rtl/>
        </w:rPr>
        <w:t>א</w:t>
      </w:r>
      <w:r w:rsidRPr="008C0289">
        <w:rPr>
          <w:b w:val="0"/>
          <w:spacing w:val="0"/>
          <w:sz w:val="26"/>
          <w:rtl/>
        </w:rPr>
        <w:t>-</w:t>
      </w:r>
      <w:r w:rsidRPr="008C0289">
        <w:rPr>
          <w:rFonts w:hint="cs"/>
          <w:b w:val="0"/>
          <w:spacing w:val="0"/>
          <w:sz w:val="26"/>
          <w:rtl/>
        </w:rPr>
        <w:t>1971</w:t>
      </w:r>
      <w:r>
        <w:rPr>
          <w:rFonts w:hint="cs"/>
          <w:b w:val="0"/>
          <w:spacing w:val="0"/>
          <w:sz w:val="26"/>
          <w:rtl/>
        </w:rPr>
        <w:t xml:space="preserve">, הותקנו בשנת 1971. מאז התקנתן, שונה </w:t>
      </w:r>
      <w:r w:rsidR="00ED0621">
        <w:rPr>
          <w:rFonts w:hint="cs"/>
          <w:b w:val="0"/>
          <w:spacing w:val="0"/>
          <w:sz w:val="26"/>
          <w:rtl/>
        </w:rPr>
        <w:t xml:space="preserve">באופן מהותי </w:t>
      </w:r>
      <w:r>
        <w:rPr>
          <w:rFonts w:hint="cs"/>
          <w:b w:val="0"/>
          <w:spacing w:val="0"/>
          <w:sz w:val="26"/>
          <w:rtl/>
        </w:rPr>
        <w:t>משטר המים בישראל</w:t>
      </w:r>
      <w:r w:rsidR="00ED0621">
        <w:rPr>
          <w:rFonts w:hint="cs"/>
          <w:b w:val="0"/>
          <w:spacing w:val="0"/>
          <w:sz w:val="26"/>
          <w:rtl/>
        </w:rPr>
        <w:t xml:space="preserve">, הוקמו תאגידי המים, </w:t>
      </w:r>
      <w:r>
        <w:rPr>
          <w:rFonts w:hint="cs"/>
          <w:b w:val="0"/>
          <w:spacing w:val="0"/>
          <w:sz w:val="26"/>
          <w:rtl/>
        </w:rPr>
        <w:t>ו</w:t>
      </w:r>
      <w:r w:rsidR="00ED0621">
        <w:rPr>
          <w:rFonts w:hint="cs"/>
          <w:b w:val="0"/>
          <w:spacing w:val="0"/>
          <w:sz w:val="26"/>
          <w:rtl/>
        </w:rPr>
        <w:t xml:space="preserve">בהמשך בשנת 2013 </w:t>
      </w:r>
      <w:r>
        <w:rPr>
          <w:rFonts w:hint="cs"/>
          <w:b w:val="0"/>
          <w:spacing w:val="0"/>
          <w:sz w:val="26"/>
          <w:rtl/>
        </w:rPr>
        <w:t>הוקמה הרשות הארצית לכבאות והצלה</w:t>
      </w:r>
      <w:r w:rsidR="00E30E45">
        <w:rPr>
          <w:rFonts w:hint="cs"/>
          <w:b w:val="0"/>
          <w:spacing w:val="0"/>
          <w:sz w:val="26"/>
          <w:rtl/>
        </w:rPr>
        <w:t xml:space="preserve">, ומשכך </w:t>
      </w:r>
      <w:r w:rsidR="003A1054">
        <w:rPr>
          <w:rFonts w:hint="cs"/>
          <w:b w:val="0"/>
          <w:spacing w:val="0"/>
          <w:sz w:val="26"/>
          <w:rtl/>
        </w:rPr>
        <w:t>מרבית הוראות</w:t>
      </w:r>
      <w:r w:rsidR="00ED0621">
        <w:rPr>
          <w:rFonts w:hint="cs"/>
          <w:b w:val="0"/>
          <w:spacing w:val="0"/>
          <w:sz w:val="26"/>
          <w:rtl/>
        </w:rPr>
        <w:t xml:space="preserve"> התקנות</w:t>
      </w:r>
      <w:r w:rsidR="003A1054">
        <w:rPr>
          <w:rFonts w:hint="cs"/>
          <w:b w:val="0"/>
          <w:spacing w:val="0"/>
          <w:sz w:val="26"/>
          <w:rtl/>
        </w:rPr>
        <w:t xml:space="preserve"> </w:t>
      </w:r>
      <w:r w:rsidR="005E0F02">
        <w:rPr>
          <w:rFonts w:hint="cs"/>
          <w:b w:val="0"/>
          <w:spacing w:val="0"/>
          <w:sz w:val="26"/>
          <w:rtl/>
        </w:rPr>
        <w:t xml:space="preserve">הפכו ללא </w:t>
      </w:r>
      <w:r w:rsidR="00317222">
        <w:rPr>
          <w:rFonts w:hint="cs"/>
          <w:b w:val="0"/>
          <w:spacing w:val="0"/>
          <w:sz w:val="26"/>
          <w:rtl/>
        </w:rPr>
        <w:t xml:space="preserve">עדכניות ואף לא </w:t>
      </w:r>
      <w:bookmarkStart w:id="0" w:name="_GoBack"/>
      <w:bookmarkEnd w:id="0"/>
      <w:r w:rsidR="00802D28">
        <w:rPr>
          <w:rFonts w:hint="cs"/>
          <w:b w:val="0"/>
          <w:spacing w:val="0"/>
          <w:sz w:val="26"/>
          <w:rtl/>
        </w:rPr>
        <w:t>ישימות</w:t>
      </w:r>
      <w:r w:rsidR="005E0F02">
        <w:rPr>
          <w:rFonts w:hint="cs"/>
          <w:b w:val="0"/>
          <w:spacing w:val="0"/>
          <w:sz w:val="26"/>
          <w:rtl/>
        </w:rPr>
        <w:t xml:space="preserve">. </w:t>
      </w:r>
    </w:p>
    <w:p w:rsidR="00802D28" w:rsidRDefault="005E0F02" w:rsidP="00802D28">
      <w:pPr>
        <w:pStyle w:val="HeadDivreiHesber"/>
        <w:jc w:val="both"/>
        <w:rPr>
          <w:b w:val="0"/>
          <w:spacing w:val="0"/>
          <w:sz w:val="26"/>
          <w:rtl/>
        </w:rPr>
      </w:pPr>
      <w:r>
        <w:rPr>
          <w:rFonts w:hint="cs"/>
          <w:b w:val="0"/>
          <w:spacing w:val="0"/>
          <w:sz w:val="26"/>
          <w:rtl/>
        </w:rPr>
        <w:t xml:space="preserve">לאחר עבודת מטה </w:t>
      </w:r>
      <w:r w:rsidR="00802D28">
        <w:rPr>
          <w:rFonts w:hint="cs"/>
          <w:b w:val="0"/>
          <w:spacing w:val="0"/>
          <w:sz w:val="26"/>
          <w:rtl/>
        </w:rPr>
        <w:t xml:space="preserve">בהובלת </w:t>
      </w:r>
      <w:r>
        <w:rPr>
          <w:rFonts w:hint="cs"/>
          <w:b w:val="0"/>
          <w:spacing w:val="0"/>
          <w:sz w:val="26"/>
          <w:rtl/>
        </w:rPr>
        <w:t>הרשות הממשלתית למים וביוב</w:t>
      </w:r>
      <w:r w:rsidR="00802D28">
        <w:rPr>
          <w:rFonts w:hint="cs"/>
          <w:b w:val="0"/>
          <w:spacing w:val="0"/>
          <w:sz w:val="26"/>
          <w:rtl/>
        </w:rPr>
        <w:t xml:space="preserve"> (להלן רשות המים)</w:t>
      </w:r>
      <w:r>
        <w:rPr>
          <w:rFonts w:hint="cs"/>
          <w:b w:val="0"/>
          <w:spacing w:val="0"/>
          <w:sz w:val="26"/>
          <w:rtl/>
        </w:rPr>
        <w:t xml:space="preserve">, </w:t>
      </w:r>
      <w:r w:rsidR="00FA41EE">
        <w:rPr>
          <w:rFonts w:hint="cs"/>
          <w:b w:val="0"/>
          <w:spacing w:val="0"/>
          <w:sz w:val="26"/>
          <w:rtl/>
        </w:rPr>
        <w:t>נחתמו על יד</w:t>
      </w:r>
      <w:r w:rsidR="00802D28">
        <w:rPr>
          <w:rFonts w:hint="cs"/>
          <w:b w:val="0"/>
          <w:spacing w:val="0"/>
          <w:sz w:val="26"/>
          <w:rtl/>
        </w:rPr>
        <w:t xml:space="preserve">י רשות המים ופורסמו </w:t>
      </w:r>
      <w:r>
        <w:rPr>
          <w:rFonts w:hint="cs"/>
          <w:b w:val="0"/>
          <w:spacing w:val="0"/>
          <w:sz w:val="26"/>
          <w:rtl/>
        </w:rPr>
        <w:t xml:space="preserve">ברשומות </w:t>
      </w:r>
      <w:r w:rsidR="00E30E45">
        <w:rPr>
          <w:rFonts w:hint="cs"/>
          <w:b w:val="0"/>
          <w:spacing w:val="0"/>
          <w:sz w:val="26"/>
          <w:rtl/>
        </w:rPr>
        <w:t>ביום 6.5.2018</w:t>
      </w:r>
      <w:r>
        <w:rPr>
          <w:rFonts w:hint="cs"/>
          <w:b w:val="0"/>
          <w:spacing w:val="0"/>
          <w:sz w:val="26"/>
          <w:rtl/>
        </w:rPr>
        <w:t xml:space="preserve">, </w:t>
      </w:r>
      <w:r w:rsidR="00E30E45">
        <w:rPr>
          <w:rFonts w:hint="cs"/>
          <w:b w:val="0"/>
          <w:spacing w:val="0"/>
          <w:sz w:val="26"/>
          <w:rtl/>
        </w:rPr>
        <w:t>כללי המים (אספקת מים לכבאות והצלה), התשע"ח-2018</w:t>
      </w:r>
      <w:r w:rsidR="000D07BF">
        <w:rPr>
          <w:rFonts w:hint="cs"/>
          <w:b w:val="0"/>
          <w:spacing w:val="0"/>
          <w:sz w:val="26"/>
          <w:rtl/>
        </w:rPr>
        <w:t xml:space="preserve"> (להלן- </w:t>
      </w:r>
      <w:r w:rsidR="001E7989">
        <w:rPr>
          <w:rFonts w:hint="cs"/>
          <w:b w:val="0"/>
          <w:spacing w:val="0"/>
          <w:sz w:val="26"/>
          <w:rtl/>
        </w:rPr>
        <w:t>כללי המים</w:t>
      </w:r>
      <w:r w:rsidR="000D07BF">
        <w:rPr>
          <w:rFonts w:hint="cs"/>
          <w:b w:val="0"/>
          <w:spacing w:val="0"/>
          <w:sz w:val="26"/>
          <w:rtl/>
        </w:rPr>
        <w:t>)</w:t>
      </w:r>
      <w:r w:rsidR="00FA41EE">
        <w:rPr>
          <w:rFonts w:hint="cs"/>
          <w:b w:val="0"/>
          <w:spacing w:val="0"/>
          <w:sz w:val="26"/>
          <w:rtl/>
        </w:rPr>
        <w:t xml:space="preserve">. </w:t>
      </w:r>
    </w:p>
    <w:p w:rsidR="00E30E45" w:rsidRDefault="00FA41EE" w:rsidP="00802D28">
      <w:pPr>
        <w:pStyle w:val="HeadDivreiHesber"/>
        <w:jc w:val="both"/>
        <w:rPr>
          <w:b w:val="0"/>
          <w:spacing w:val="0"/>
          <w:sz w:val="26"/>
          <w:rtl/>
        </w:rPr>
      </w:pPr>
      <w:r>
        <w:rPr>
          <w:rFonts w:hint="cs"/>
          <w:b w:val="0"/>
          <w:spacing w:val="0"/>
          <w:sz w:val="26"/>
          <w:rtl/>
        </w:rPr>
        <w:t xml:space="preserve">בכללי המים </w:t>
      </w:r>
      <w:r w:rsidR="00CA654E">
        <w:rPr>
          <w:rFonts w:hint="cs"/>
          <w:b w:val="0"/>
          <w:spacing w:val="0"/>
          <w:sz w:val="26"/>
          <w:rtl/>
        </w:rPr>
        <w:t xml:space="preserve"> רוכזו הוראות עדכניות </w:t>
      </w:r>
      <w:r w:rsidR="002B100C">
        <w:rPr>
          <w:rFonts w:hint="cs"/>
          <w:b w:val="0"/>
          <w:spacing w:val="0"/>
          <w:sz w:val="26"/>
          <w:rtl/>
        </w:rPr>
        <w:t xml:space="preserve">המחייבות את כלל ספקי המים, </w:t>
      </w:r>
      <w:r w:rsidR="00CA654E">
        <w:rPr>
          <w:rFonts w:hint="cs"/>
          <w:b w:val="0"/>
          <w:spacing w:val="0"/>
          <w:sz w:val="26"/>
          <w:rtl/>
        </w:rPr>
        <w:t>לעניין</w:t>
      </w:r>
      <w:r w:rsidR="00481D13">
        <w:rPr>
          <w:rFonts w:hint="cs"/>
          <w:b w:val="0"/>
          <w:spacing w:val="0"/>
          <w:sz w:val="26"/>
          <w:rtl/>
        </w:rPr>
        <w:t xml:space="preserve"> </w:t>
      </w:r>
      <w:r>
        <w:rPr>
          <w:rFonts w:hint="cs"/>
          <w:b w:val="0"/>
          <w:spacing w:val="0"/>
          <w:sz w:val="26"/>
          <w:rtl/>
        </w:rPr>
        <w:t xml:space="preserve">אספקת מים, </w:t>
      </w:r>
      <w:r w:rsidR="00481D13">
        <w:rPr>
          <w:rFonts w:hint="cs"/>
          <w:b w:val="0"/>
          <w:spacing w:val="0"/>
          <w:sz w:val="26"/>
          <w:rtl/>
        </w:rPr>
        <w:t xml:space="preserve">התקנת </w:t>
      </w:r>
      <w:r w:rsidR="00D60D7E">
        <w:rPr>
          <w:rFonts w:hint="cs"/>
          <w:b w:val="0"/>
          <w:spacing w:val="0"/>
          <w:sz w:val="26"/>
          <w:rtl/>
        </w:rPr>
        <w:t xml:space="preserve">ותחזוקת </w:t>
      </w:r>
      <w:r w:rsidR="00481D13">
        <w:rPr>
          <w:rFonts w:hint="cs"/>
          <w:b w:val="0"/>
          <w:spacing w:val="0"/>
          <w:sz w:val="26"/>
          <w:rtl/>
        </w:rPr>
        <w:t xml:space="preserve">צנרת, ברזי כיבוי ומתקנים אחרים </w:t>
      </w:r>
      <w:r w:rsidR="00366E6B">
        <w:rPr>
          <w:rFonts w:hint="cs"/>
          <w:b w:val="0"/>
          <w:spacing w:val="0"/>
          <w:sz w:val="26"/>
          <w:rtl/>
        </w:rPr>
        <w:t xml:space="preserve">הדרושים </w:t>
      </w:r>
      <w:r w:rsidR="00481D13">
        <w:rPr>
          <w:rFonts w:hint="cs"/>
          <w:b w:val="0"/>
          <w:spacing w:val="0"/>
          <w:sz w:val="26"/>
          <w:rtl/>
        </w:rPr>
        <w:t xml:space="preserve">לאספקת מים כנדרש לצורך טיפול באירוע כבאות והצלה, לרבות במקומות ציבוריים, שטחים פתוחים, ביערות וחורשים. </w:t>
      </w:r>
      <w:r w:rsidR="002B100C">
        <w:rPr>
          <w:rFonts w:hint="cs"/>
          <w:b w:val="0"/>
          <w:spacing w:val="0"/>
          <w:sz w:val="26"/>
          <w:rtl/>
        </w:rPr>
        <w:t xml:space="preserve"> בכלל האמור</w:t>
      </w:r>
      <w:r w:rsidR="00366E6B">
        <w:rPr>
          <w:rFonts w:hint="cs"/>
          <w:b w:val="0"/>
          <w:spacing w:val="0"/>
          <w:sz w:val="26"/>
          <w:rtl/>
        </w:rPr>
        <w:t xml:space="preserve"> </w:t>
      </w:r>
      <w:r w:rsidR="002B100C">
        <w:rPr>
          <w:rFonts w:hint="cs"/>
          <w:b w:val="0"/>
          <w:spacing w:val="0"/>
          <w:sz w:val="26"/>
          <w:rtl/>
        </w:rPr>
        <w:t>שולבו בכללים הוראות בדבר</w:t>
      </w:r>
      <w:r w:rsidR="00366E6B">
        <w:rPr>
          <w:rFonts w:hint="cs"/>
          <w:b w:val="0"/>
          <w:spacing w:val="0"/>
          <w:sz w:val="26"/>
          <w:rtl/>
        </w:rPr>
        <w:t xml:space="preserve"> </w:t>
      </w:r>
      <w:r w:rsidR="002B100C">
        <w:rPr>
          <w:rFonts w:hint="cs"/>
          <w:b w:val="0"/>
          <w:spacing w:val="0"/>
          <w:sz w:val="26"/>
          <w:rtl/>
        </w:rPr>
        <w:t>שימוש נאות.</w:t>
      </w:r>
    </w:p>
    <w:p w:rsidR="00366E6B" w:rsidRDefault="00366E6B" w:rsidP="0031602A">
      <w:pPr>
        <w:pStyle w:val="HeadDivreiHesber"/>
        <w:jc w:val="both"/>
        <w:rPr>
          <w:b w:val="0"/>
          <w:spacing w:val="0"/>
          <w:sz w:val="26"/>
          <w:rtl/>
        </w:rPr>
      </w:pPr>
      <w:r>
        <w:rPr>
          <w:rFonts w:hint="cs"/>
          <w:b w:val="0"/>
          <w:spacing w:val="0"/>
          <w:sz w:val="26"/>
          <w:rtl/>
        </w:rPr>
        <w:t xml:space="preserve">כהמשך </w:t>
      </w:r>
      <w:r w:rsidR="0031602A">
        <w:rPr>
          <w:rFonts w:hint="cs"/>
          <w:b w:val="0"/>
          <w:spacing w:val="0"/>
          <w:sz w:val="26"/>
          <w:rtl/>
        </w:rPr>
        <w:t xml:space="preserve">לאמור, </w:t>
      </w:r>
      <w:r>
        <w:rPr>
          <w:rFonts w:hint="cs"/>
          <w:b w:val="0"/>
          <w:spacing w:val="0"/>
          <w:sz w:val="26"/>
          <w:rtl/>
        </w:rPr>
        <w:t xml:space="preserve">והשלמה </w:t>
      </w:r>
      <w:r w:rsidR="00317222">
        <w:rPr>
          <w:rFonts w:hint="cs"/>
          <w:b w:val="0"/>
          <w:spacing w:val="0"/>
          <w:sz w:val="26"/>
          <w:rtl/>
        </w:rPr>
        <w:t xml:space="preserve">לפרסום כללי המים כאמור,  מוצע לבטל את </w:t>
      </w:r>
      <w:r w:rsidR="00390B9A">
        <w:rPr>
          <w:rFonts w:hint="cs"/>
          <w:b w:val="0"/>
          <w:spacing w:val="0"/>
          <w:sz w:val="26"/>
          <w:rtl/>
        </w:rPr>
        <w:t>מרבית סעיפי תקנות שירותי הכבאות.</w:t>
      </w:r>
      <w:r w:rsidR="00317222">
        <w:rPr>
          <w:rFonts w:hint="cs"/>
          <w:b w:val="0"/>
          <w:spacing w:val="0"/>
          <w:sz w:val="26"/>
          <w:rtl/>
        </w:rPr>
        <w:t xml:space="preserve"> </w:t>
      </w:r>
    </w:p>
    <w:p w:rsidR="000D07BF" w:rsidRDefault="008C0289" w:rsidP="0067118E">
      <w:pPr>
        <w:pStyle w:val="HeadDivreiHesber"/>
        <w:jc w:val="both"/>
        <w:rPr>
          <w:b w:val="0"/>
          <w:spacing w:val="0"/>
          <w:sz w:val="26"/>
          <w:rtl/>
        </w:rPr>
      </w:pPr>
      <w:r w:rsidRPr="008C0289">
        <w:rPr>
          <w:rFonts w:hint="cs"/>
          <w:b w:val="0"/>
          <w:spacing w:val="0"/>
          <w:sz w:val="26"/>
          <w:rtl/>
        </w:rPr>
        <w:t xml:space="preserve">לסעיף 1 – </w:t>
      </w:r>
      <w:r w:rsidR="0067118E">
        <w:rPr>
          <w:rFonts w:hint="cs"/>
          <w:b w:val="0"/>
          <w:spacing w:val="0"/>
          <w:sz w:val="26"/>
          <w:rtl/>
        </w:rPr>
        <w:t>נוכח שינוי משטר המים בישראל, נדרש לתקן את</w:t>
      </w:r>
      <w:r w:rsidR="0067118E" w:rsidRPr="008C0289">
        <w:rPr>
          <w:rFonts w:hint="cs"/>
          <w:b w:val="0"/>
          <w:spacing w:val="0"/>
          <w:sz w:val="26"/>
          <w:rtl/>
        </w:rPr>
        <w:t xml:space="preserve"> </w:t>
      </w:r>
      <w:r w:rsidR="0067118E">
        <w:rPr>
          <w:rFonts w:hint="cs"/>
          <w:b w:val="0"/>
          <w:spacing w:val="0"/>
          <w:sz w:val="26"/>
          <w:rtl/>
        </w:rPr>
        <w:t xml:space="preserve"> </w:t>
      </w:r>
      <w:r w:rsidR="000D07BF">
        <w:rPr>
          <w:rFonts w:hint="cs"/>
          <w:b w:val="0"/>
          <w:spacing w:val="0"/>
          <w:sz w:val="26"/>
          <w:rtl/>
        </w:rPr>
        <w:t>הגדרת "בעל רשת צינורות מים" כך שיובהר כי מדובר ב</w:t>
      </w:r>
      <w:r w:rsidR="0067118E">
        <w:rPr>
          <w:rFonts w:hint="cs"/>
          <w:b w:val="0"/>
          <w:spacing w:val="0"/>
          <w:sz w:val="26"/>
          <w:rtl/>
        </w:rPr>
        <w:t xml:space="preserve">כל מי שמספק מים לפי </w:t>
      </w:r>
      <w:proofErr w:type="spellStart"/>
      <w:r w:rsidR="0067118E">
        <w:rPr>
          <w:rFonts w:hint="cs"/>
          <w:b w:val="0"/>
          <w:spacing w:val="0"/>
          <w:sz w:val="26"/>
          <w:rtl/>
        </w:rPr>
        <w:t>רישון</w:t>
      </w:r>
      <w:proofErr w:type="spellEnd"/>
      <w:r w:rsidR="0067118E">
        <w:rPr>
          <w:rFonts w:hint="cs"/>
          <w:b w:val="0"/>
          <w:spacing w:val="0"/>
          <w:sz w:val="26"/>
          <w:rtl/>
        </w:rPr>
        <w:t xml:space="preserve">. </w:t>
      </w:r>
    </w:p>
    <w:p w:rsidR="001E7989" w:rsidRDefault="001E7989" w:rsidP="00DF0030">
      <w:pPr>
        <w:pStyle w:val="HeadDivreiHesber"/>
        <w:jc w:val="both"/>
        <w:rPr>
          <w:b w:val="0"/>
          <w:spacing w:val="0"/>
          <w:sz w:val="26"/>
          <w:rtl/>
        </w:rPr>
      </w:pPr>
      <w:r>
        <w:rPr>
          <w:rFonts w:hint="cs"/>
          <w:b w:val="0"/>
          <w:spacing w:val="0"/>
          <w:sz w:val="26"/>
          <w:rtl/>
        </w:rPr>
        <w:t xml:space="preserve">לסעיף 2- מוצע לבטל את תקנות </w:t>
      </w:r>
      <w:r w:rsidRPr="001E7989">
        <w:rPr>
          <w:rFonts w:hint="cs"/>
          <w:b w:val="0"/>
          <w:spacing w:val="0"/>
          <w:sz w:val="26"/>
          <w:rtl/>
        </w:rPr>
        <w:t xml:space="preserve">2, ו-5 עד 13 נוכח </w:t>
      </w:r>
      <w:r>
        <w:rPr>
          <w:rFonts w:hint="cs"/>
          <w:b w:val="0"/>
          <w:spacing w:val="0"/>
          <w:sz w:val="26"/>
          <w:rtl/>
        </w:rPr>
        <w:t>הסדרת</w:t>
      </w:r>
      <w:r w:rsidR="00DF0030">
        <w:rPr>
          <w:rFonts w:hint="cs"/>
          <w:b w:val="0"/>
          <w:spacing w:val="0"/>
          <w:sz w:val="26"/>
          <w:rtl/>
        </w:rPr>
        <w:t xml:space="preserve"> מרבית</w:t>
      </w:r>
      <w:r>
        <w:rPr>
          <w:rFonts w:hint="cs"/>
          <w:b w:val="0"/>
          <w:spacing w:val="0"/>
          <w:sz w:val="26"/>
          <w:rtl/>
        </w:rPr>
        <w:t xml:space="preserve"> הנושאים המנויים </w:t>
      </w:r>
      <w:r w:rsidR="003A1054">
        <w:rPr>
          <w:rFonts w:hint="cs"/>
          <w:b w:val="0"/>
          <w:spacing w:val="0"/>
          <w:sz w:val="26"/>
          <w:rtl/>
        </w:rPr>
        <w:t>בתקנות אלה בכללי המים</w:t>
      </w:r>
      <w:r w:rsidR="00DF0030">
        <w:rPr>
          <w:rFonts w:hint="cs"/>
          <w:b w:val="0"/>
          <w:spacing w:val="0"/>
          <w:sz w:val="26"/>
          <w:rtl/>
        </w:rPr>
        <w:t xml:space="preserve"> או הפיכתן ללא ישימות נוכח הזמן שחלף מאז התקנתן. </w:t>
      </w:r>
    </w:p>
    <w:p w:rsidR="00390B9A" w:rsidRDefault="00390B9A" w:rsidP="003A1054">
      <w:pPr>
        <w:pStyle w:val="HeadDivreiHesber"/>
        <w:jc w:val="both"/>
        <w:rPr>
          <w:b w:val="0"/>
          <w:spacing w:val="0"/>
          <w:sz w:val="26"/>
          <w:rtl/>
        </w:rPr>
      </w:pPr>
    </w:p>
    <w:sectPr w:rsidR="00390B9A" w:rsidSect="00277B88">
      <w:pgSz w:w="11906" w:h="16838"/>
      <w:pgMar w:top="1440" w:right="851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21" w:rsidRDefault="00292B21" w:rsidP="009A2BC6">
      <w:pPr>
        <w:spacing w:after="0" w:line="240" w:lineRule="auto"/>
      </w:pPr>
      <w:r>
        <w:separator/>
      </w:r>
    </w:p>
  </w:endnote>
  <w:endnote w:type="continuationSeparator" w:id="0">
    <w:p w:rsidR="00292B21" w:rsidRDefault="00292B21" w:rsidP="009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21" w:rsidRDefault="00292B21" w:rsidP="009A2BC6">
      <w:pPr>
        <w:spacing w:after="0" w:line="240" w:lineRule="auto"/>
      </w:pPr>
      <w:r>
        <w:separator/>
      </w:r>
    </w:p>
  </w:footnote>
  <w:footnote w:type="continuationSeparator" w:id="0">
    <w:p w:rsidR="00292B21" w:rsidRDefault="00292B21" w:rsidP="009A2BC6">
      <w:pPr>
        <w:spacing w:after="0" w:line="240" w:lineRule="auto"/>
      </w:pPr>
      <w:r>
        <w:continuationSeparator/>
      </w:r>
    </w:p>
  </w:footnote>
  <w:footnote w:id="1">
    <w:p w:rsidR="009A2BC6" w:rsidRPr="009A19EA" w:rsidRDefault="009A2BC6" w:rsidP="009A2BC6">
      <w:pPr>
        <w:pStyle w:val="a3"/>
        <w:rPr>
          <w:sz w:val="16"/>
          <w:szCs w:val="16"/>
          <w:rtl/>
        </w:rPr>
      </w:pPr>
      <w:r w:rsidRPr="009A19EA">
        <w:rPr>
          <w:sz w:val="16"/>
          <w:szCs w:val="16"/>
        </w:rPr>
        <w:footnoteRef/>
      </w:r>
      <w:r w:rsidRPr="009A19EA">
        <w:rPr>
          <w:rFonts w:hint="cs"/>
          <w:sz w:val="16"/>
          <w:szCs w:val="16"/>
          <w:rtl/>
        </w:rPr>
        <w:t xml:space="preserve"> </w:t>
      </w:r>
      <w:r w:rsidRPr="008F0B4D">
        <w:rPr>
          <w:rFonts w:hint="cs"/>
          <w:sz w:val="16"/>
          <w:szCs w:val="16"/>
          <w:rtl/>
        </w:rPr>
        <w:t xml:space="preserve">ס"ח </w:t>
      </w:r>
      <w:proofErr w:type="spellStart"/>
      <w:r w:rsidRPr="008F0B4D">
        <w:rPr>
          <w:rFonts w:hint="cs"/>
          <w:sz w:val="16"/>
          <w:szCs w:val="16"/>
          <w:rtl/>
        </w:rPr>
        <w:t>התשע"ב</w:t>
      </w:r>
      <w:proofErr w:type="spellEnd"/>
      <w:r w:rsidRPr="008F0B4D">
        <w:rPr>
          <w:rFonts w:hint="cs"/>
          <w:sz w:val="16"/>
          <w:szCs w:val="16"/>
          <w:rtl/>
        </w:rPr>
        <w:t>, עמ' 702</w:t>
      </w:r>
      <w:r w:rsidR="00E74C11">
        <w:rPr>
          <w:rFonts w:hint="cs"/>
          <w:sz w:val="16"/>
          <w:szCs w:val="16"/>
          <w:rtl/>
        </w:rPr>
        <w:t xml:space="preserve">; </w:t>
      </w:r>
      <w:proofErr w:type="spellStart"/>
      <w:r w:rsidR="00E74C11">
        <w:rPr>
          <w:rFonts w:hint="cs"/>
          <w:sz w:val="16"/>
          <w:szCs w:val="16"/>
          <w:rtl/>
        </w:rPr>
        <w:t>התשע"ח</w:t>
      </w:r>
      <w:proofErr w:type="spellEnd"/>
      <w:r w:rsidR="009A19EA">
        <w:rPr>
          <w:rFonts w:hint="cs"/>
          <w:sz w:val="16"/>
          <w:szCs w:val="16"/>
          <w:rtl/>
        </w:rPr>
        <w:t>,</w:t>
      </w:r>
      <w:r w:rsidR="00E74C11">
        <w:rPr>
          <w:rFonts w:hint="cs"/>
          <w:sz w:val="16"/>
          <w:szCs w:val="16"/>
          <w:rtl/>
        </w:rPr>
        <w:t xml:space="preserve"> עמ' 500.</w:t>
      </w:r>
    </w:p>
  </w:footnote>
  <w:footnote w:id="2">
    <w:p w:rsidR="009A19EA" w:rsidRPr="009A19EA" w:rsidRDefault="009A19EA">
      <w:pPr>
        <w:pStyle w:val="a3"/>
        <w:rPr>
          <w:sz w:val="16"/>
          <w:szCs w:val="16"/>
        </w:rPr>
      </w:pPr>
      <w:r w:rsidRPr="009A19EA">
        <w:rPr>
          <w:sz w:val="16"/>
          <w:szCs w:val="16"/>
        </w:rPr>
        <w:footnoteRef/>
      </w:r>
      <w:r w:rsidRPr="009A19EA">
        <w:rPr>
          <w:sz w:val="16"/>
          <w:szCs w:val="16"/>
          <w:rtl/>
        </w:rPr>
        <w:t xml:space="preserve"> </w:t>
      </w:r>
      <w:proofErr w:type="spellStart"/>
      <w:r w:rsidRPr="009A19EA">
        <w:rPr>
          <w:rFonts w:hint="cs"/>
          <w:sz w:val="16"/>
          <w:szCs w:val="16"/>
          <w:rtl/>
        </w:rPr>
        <w:t>ק"ת</w:t>
      </w:r>
      <w:proofErr w:type="spellEnd"/>
      <w:r w:rsidRPr="009A19EA">
        <w:rPr>
          <w:rFonts w:hint="cs"/>
          <w:sz w:val="16"/>
          <w:szCs w:val="16"/>
          <w:rtl/>
        </w:rPr>
        <w:t xml:space="preserve"> תשל"א, עמ' 1168.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D55"/>
    <w:multiLevelType w:val="hybridMultilevel"/>
    <w:tmpl w:val="2A5C6DB4"/>
    <w:lvl w:ilvl="0" w:tplc="D9E4AC58">
      <w:start w:val="1"/>
      <w:numFmt w:val="hebrew1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F1"/>
    <w:rsid w:val="00046706"/>
    <w:rsid w:val="000D07BF"/>
    <w:rsid w:val="000F3178"/>
    <w:rsid w:val="00117916"/>
    <w:rsid w:val="001A06D3"/>
    <w:rsid w:val="001A22AE"/>
    <w:rsid w:val="001E7989"/>
    <w:rsid w:val="00292B21"/>
    <w:rsid w:val="002B100C"/>
    <w:rsid w:val="003143F1"/>
    <w:rsid w:val="0031602A"/>
    <w:rsid w:val="00317222"/>
    <w:rsid w:val="0032223D"/>
    <w:rsid w:val="00366E6B"/>
    <w:rsid w:val="00390B9A"/>
    <w:rsid w:val="003A1054"/>
    <w:rsid w:val="00481D13"/>
    <w:rsid w:val="0049402D"/>
    <w:rsid w:val="0056483D"/>
    <w:rsid w:val="005C48B6"/>
    <w:rsid w:val="005E0F02"/>
    <w:rsid w:val="00601AE1"/>
    <w:rsid w:val="0067118E"/>
    <w:rsid w:val="00712282"/>
    <w:rsid w:val="00802D28"/>
    <w:rsid w:val="00855F39"/>
    <w:rsid w:val="008C0289"/>
    <w:rsid w:val="008E407C"/>
    <w:rsid w:val="008F0B4D"/>
    <w:rsid w:val="009041D7"/>
    <w:rsid w:val="00912C29"/>
    <w:rsid w:val="009A19EA"/>
    <w:rsid w:val="009A2BC6"/>
    <w:rsid w:val="00AD723D"/>
    <w:rsid w:val="00B65E6A"/>
    <w:rsid w:val="00B950A2"/>
    <w:rsid w:val="00BA4FED"/>
    <w:rsid w:val="00C939F7"/>
    <w:rsid w:val="00CA654E"/>
    <w:rsid w:val="00D46766"/>
    <w:rsid w:val="00D60D7E"/>
    <w:rsid w:val="00DB3A86"/>
    <w:rsid w:val="00DF0030"/>
    <w:rsid w:val="00E278D0"/>
    <w:rsid w:val="00E30E45"/>
    <w:rsid w:val="00E40F88"/>
    <w:rsid w:val="00E61F92"/>
    <w:rsid w:val="00E74C11"/>
    <w:rsid w:val="00ED0621"/>
    <w:rsid w:val="00F65BD1"/>
    <w:rsid w:val="00FA41EE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2BC6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9A2BC6"/>
    <w:rPr>
      <w:sz w:val="20"/>
      <w:szCs w:val="20"/>
    </w:rPr>
  </w:style>
  <w:style w:type="character" w:styleId="a5">
    <w:name w:val="footnote reference"/>
    <w:aliases w:val="Footnote Reference"/>
    <w:semiHidden/>
    <w:unhideWhenUsed/>
    <w:rsid w:val="009A2BC6"/>
    <w:rPr>
      <w:vertAlign w:val="superscript"/>
    </w:rPr>
  </w:style>
  <w:style w:type="character" w:styleId="Hyperlink">
    <w:name w:val="Hyperlink"/>
    <w:basedOn w:val="a0"/>
    <w:uiPriority w:val="99"/>
    <w:semiHidden/>
    <w:unhideWhenUsed/>
    <w:rsid w:val="009A2BC6"/>
    <w:rPr>
      <w:color w:val="0000FF"/>
      <w:u w:val="single"/>
    </w:rPr>
  </w:style>
  <w:style w:type="table" w:styleId="a6">
    <w:name w:val="Table Grid"/>
    <w:basedOn w:val="a1"/>
    <w:uiPriority w:val="59"/>
    <w:rsid w:val="009A2BC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A2B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278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78D0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E278D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78D0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E278D0"/>
    <w:rPr>
      <w:b/>
      <w:bCs/>
      <w:sz w:val="20"/>
      <w:szCs w:val="20"/>
    </w:rPr>
  </w:style>
  <w:style w:type="paragraph" w:customStyle="1" w:styleId="HeadDivreiHesber">
    <w:name w:val="Head DivreiHesber"/>
    <w:basedOn w:val="a"/>
    <w:rsid w:val="008C0289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</w:pPr>
    <w:rPr>
      <w:rFonts w:ascii="Arial" w:eastAsia="Arial Unicode MS" w:hAnsi="Arial" w:cs="David"/>
      <w:b/>
      <w:color w:val="000000"/>
      <w:spacing w:val="40"/>
      <w:sz w:val="20"/>
      <w:szCs w:val="26"/>
      <w:lang w:eastAsia="ja-JP"/>
    </w:rPr>
  </w:style>
  <w:style w:type="character" w:customStyle="1" w:styleId="default">
    <w:name w:val="default"/>
    <w:rsid w:val="008C0289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2BC6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9A2BC6"/>
    <w:rPr>
      <w:sz w:val="20"/>
      <w:szCs w:val="20"/>
    </w:rPr>
  </w:style>
  <w:style w:type="character" w:styleId="a5">
    <w:name w:val="footnote reference"/>
    <w:aliases w:val="Footnote Reference"/>
    <w:semiHidden/>
    <w:unhideWhenUsed/>
    <w:rsid w:val="009A2BC6"/>
    <w:rPr>
      <w:vertAlign w:val="superscript"/>
    </w:rPr>
  </w:style>
  <w:style w:type="character" w:styleId="Hyperlink">
    <w:name w:val="Hyperlink"/>
    <w:basedOn w:val="a0"/>
    <w:uiPriority w:val="99"/>
    <w:semiHidden/>
    <w:unhideWhenUsed/>
    <w:rsid w:val="009A2BC6"/>
    <w:rPr>
      <w:color w:val="0000FF"/>
      <w:u w:val="single"/>
    </w:rPr>
  </w:style>
  <w:style w:type="table" w:styleId="a6">
    <w:name w:val="Table Grid"/>
    <w:basedOn w:val="a1"/>
    <w:uiPriority w:val="59"/>
    <w:rsid w:val="009A2BC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A2B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278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78D0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E278D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78D0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E278D0"/>
    <w:rPr>
      <w:b/>
      <w:bCs/>
      <w:sz w:val="20"/>
      <w:szCs w:val="20"/>
    </w:rPr>
  </w:style>
  <w:style w:type="paragraph" w:customStyle="1" w:styleId="HeadDivreiHesber">
    <w:name w:val="Head DivreiHesber"/>
    <w:basedOn w:val="a"/>
    <w:rsid w:val="008C0289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</w:pPr>
    <w:rPr>
      <w:rFonts w:ascii="Arial" w:eastAsia="Arial Unicode MS" w:hAnsi="Arial" w:cs="David"/>
      <w:b/>
      <w:color w:val="000000"/>
      <w:spacing w:val="40"/>
      <w:sz w:val="20"/>
      <w:szCs w:val="26"/>
      <w:lang w:eastAsia="ja-JP"/>
    </w:rPr>
  </w:style>
  <w:style w:type="character" w:customStyle="1" w:styleId="default">
    <w:name w:val="default"/>
    <w:rsid w:val="008C0289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efNumber xmlns="d2589617-2f74-4077-aee7-f516ed639388">44340</RefNumber>
  </documentManagement>
</p:properties>
</file>

<file path=customXml/itemProps1.xml><?xml version="1.0" encoding="utf-8"?>
<ds:datastoreItem xmlns:ds="http://schemas.openxmlformats.org/officeDocument/2006/customXml" ds:itemID="{9241473F-6C3B-419E-9BC6-15A2CEC54BDD}"/>
</file>

<file path=customXml/itemProps2.xml><?xml version="1.0" encoding="utf-8"?>
<ds:datastoreItem xmlns:ds="http://schemas.openxmlformats.org/officeDocument/2006/customXml" ds:itemID="{1928D4E0-2DC0-4480-9ED0-1D612347BE99}"/>
</file>

<file path=customXml/itemProps3.xml><?xml version="1.0" encoding="utf-8"?>
<ds:datastoreItem xmlns:ds="http://schemas.openxmlformats.org/officeDocument/2006/customXml" ds:itemID="{90E7C654-A6EC-413A-A336-29F5BDD1B5FA}"/>
</file>

<file path=customXml/itemProps4.xml><?xml version="1.0" encoding="utf-8"?>
<ds:datastoreItem xmlns:ds="http://schemas.openxmlformats.org/officeDocument/2006/customXml" ds:itemID="{9B638763-A6C3-4B60-B41F-81D292BD8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Fire Department Israel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תקנות המים.docx</dc:title>
  <dc:creator>שיר ללוש</dc:creator>
  <cp:lastModifiedBy>רויטל גור</cp:lastModifiedBy>
  <cp:revision>3</cp:revision>
  <dcterms:created xsi:type="dcterms:W3CDTF">2018-06-26T11:17:00Z</dcterms:created>
  <dcterms:modified xsi:type="dcterms:W3CDTF">2018-06-26T11:20:00Z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0x010100161B5BAE19C0A94ABF7F052772C71F14</vt:lpwstr>
  </property>
</Properties>
</file>