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56" w:rsidRPr="00887C56" w:rsidRDefault="00887C56" w:rsidP="00547877">
      <w:pPr>
        <w:pStyle w:val="HeadHatzaotHok"/>
        <w:keepNext w:val="0"/>
        <w:keepLines w:val="0"/>
        <w:rPr>
          <w:rtl/>
        </w:rPr>
      </w:pPr>
      <w:bookmarkStart w:id="0" w:name="_GoBack"/>
      <w:bookmarkEnd w:id="0"/>
      <w:r w:rsidRPr="00887C56">
        <w:rPr>
          <w:rFonts w:hint="cs"/>
          <w:rtl/>
        </w:rPr>
        <w:t xml:space="preserve">תקנות עובדים זרים (פטורים למעסיקי מומחים זרים), </w:t>
      </w:r>
      <w:r w:rsidR="00547877">
        <w:rPr>
          <w:rFonts w:hint="cs"/>
          <w:rtl/>
        </w:rPr>
        <w:t>ה</w:t>
      </w:r>
      <w:r w:rsidRPr="00887C56">
        <w:rPr>
          <w:rFonts w:hint="cs"/>
          <w:rtl/>
        </w:rPr>
        <w:t>תש</w:t>
      </w:r>
      <w:r w:rsidR="00332AF0">
        <w:rPr>
          <w:rFonts w:hint="cs"/>
          <w:rtl/>
        </w:rPr>
        <w:t>ע</w:t>
      </w:r>
      <w:r w:rsidRPr="00887C56">
        <w:rPr>
          <w:rFonts w:hint="cs"/>
          <w:rtl/>
        </w:rPr>
        <w:t>"</w:t>
      </w:r>
      <w:r w:rsidR="00332AF0">
        <w:rPr>
          <w:rFonts w:hint="cs"/>
          <w:rtl/>
        </w:rPr>
        <w:t>ח</w:t>
      </w:r>
      <w:r w:rsidRPr="00887C56">
        <w:rPr>
          <w:rFonts w:hint="cs"/>
          <w:rtl/>
        </w:rPr>
        <w:t>-</w:t>
      </w:r>
      <w:r w:rsidR="00547877">
        <w:rPr>
          <w:rFonts w:hint="cs"/>
          <w:rtl/>
        </w:rPr>
        <w:t>2017</w:t>
      </w:r>
      <w:r>
        <w:rPr>
          <w:rFonts w:hint="cs"/>
          <w:rtl/>
        </w:rPr>
        <w:t xml:space="preserve"> </w:t>
      </w:r>
    </w:p>
    <w:p w:rsidR="00887C56" w:rsidRDefault="00887C56" w:rsidP="00BB2717">
      <w:pPr>
        <w:pStyle w:val="HeadHatzaotHok"/>
        <w:keepNext w:val="0"/>
        <w:keepLines w:val="0"/>
        <w:rPr>
          <w:rtl/>
        </w:rPr>
      </w:pPr>
    </w:p>
    <w:tbl>
      <w:tblPr>
        <w:bidiVisual/>
        <w:tblW w:w="97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31"/>
        <w:gridCol w:w="820"/>
        <w:gridCol w:w="478"/>
        <w:gridCol w:w="638"/>
        <w:gridCol w:w="5656"/>
        <w:gridCol w:w="316"/>
      </w:tblGrid>
      <w:tr w:rsidR="003D3FEB" w:rsidTr="00F71FAA">
        <w:trPr>
          <w:cantSplit/>
          <w:trHeight w:val="60"/>
        </w:trPr>
        <w:tc>
          <w:tcPr>
            <w:tcW w:w="9724" w:type="dxa"/>
            <w:gridSpan w:val="7"/>
          </w:tcPr>
          <w:p w:rsidR="003D3FEB" w:rsidRPr="003D3FEB" w:rsidRDefault="003D3FEB" w:rsidP="00FB364E">
            <w:pPr>
              <w:pStyle w:val="TableBlock"/>
            </w:pPr>
            <w:r w:rsidRPr="003D3FEB">
              <w:rPr>
                <w:rFonts w:hint="cs"/>
                <w:rtl/>
              </w:rPr>
              <w:t>בתוקף סמכות</w:t>
            </w:r>
            <w:r w:rsidR="00FB364E">
              <w:rPr>
                <w:rFonts w:hint="cs"/>
                <w:rtl/>
              </w:rPr>
              <w:t xml:space="preserve"> שר הפנים</w:t>
            </w:r>
            <w:r w:rsidRPr="003D3FEB">
              <w:rPr>
                <w:rFonts w:hint="cs"/>
                <w:rtl/>
              </w:rPr>
              <w:t xml:space="preserve"> </w:t>
            </w:r>
            <w:r w:rsidR="00887C56" w:rsidRPr="00887C56">
              <w:rPr>
                <w:rtl/>
              </w:rPr>
              <w:t>לפי סעי</w:t>
            </w:r>
            <w:r w:rsidR="00FB364E">
              <w:rPr>
                <w:rFonts w:hint="cs"/>
                <w:rtl/>
              </w:rPr>
              <w:t xml:space="preserve">ף </w:t>
            </w:r>
            <w:r w:rsidR="00887C56" w:rsidRPr="00887C56">
              <w:rPr>
                <w:rtl/>
              </w:rPr>
              <w:t xml:space="preserve"> 1י(ג)(2</w:t>
            </w:r>
            <w:r w:rsidR="00887C56" w:rsidRPr="00FB364E">
              <w:rPr>
                <w:rtl/>
              </w:rPr>
              <w:t xml:space="preserve">) </w:t>
            </w:r>
            <w:r w:rsidR="00FB364E" w:rsidRPr="00FB364E">
              <w:rPr>
                <w:rFonts w:hint="cs"/>
                <w:rtl/>
              </w:rPr>
              <w:t>בהסכמת שר האוצר, לאחר התייעצות עם השר, ובאישור ועדת הכספים של הכנסת</w:t>
            </w:r>
            <w:r w:rsidR="00FB364E" w:rsidRPr="00FB364E">
              <w:rPr>
                <w:rtl/>
              </w:rPr>
              <w:t xml:space="preserve"> </w:t>
            </w:r>
            <w:r w:rsidR="00887C56" w:rsidRPr="00FB364E">
              <w:rPr>
                <w:rtl/>
              </w:rPr>
              <w:t>ו</w:t>
            </w:r>
            <w:r w:rsidR="00FB364E">
              <w:rPr>
                <w:rFonts w:hint="cs"/>
                <w:rtl/>
              </w:rPr>
              <w:t>בתוקף סמכות השר לפי סעיף</w:t>
            </w:r>
            <w:r w:rsidR="00887C56" w:rsidRPr="00FB364E">
              <w:rPr>
                <w:rtl/>
              </w:rPr>
              <w:t>6ג(ב) לחוק עובדים זרים, התשנ"א</w:t>
            </w:r>
            <w:r w:rsidR="00887C56" w:rsidRPr="00FB364E">
              <w:rPr>
                <w:rFonts w:hint="cs"/>
                <w:rtl/>
              </w:rPr>
              <w:t>-1991</w:t>
            </w:r>
            <w:r w:rsidR="00887C56">
              <w:rPr>
                <w:rStyle w:val="a7"/>
                <w:rtl/>
              </w:rPr>
              <w:footnoteReference w:id="1"/>
            </w:r>
            <w:r w:rsidR="00887C56" w:rsidRPr="00887C56">
              <w:rPr>
                <w:rtl/>
              </w:rPr>
              <w:t xml:space="preserve"> (להלן – החוק), בהסכמת שר הפנים ושר האוצר, באישור ועדת הכספים של הכנסת, ובאישור ועדת העבודה הרווחה והבריאות של הכנסת, אנ</w:t>
            </w:r>
            <w:r w:rsidR="00FB364E">
              <w:rPr>
                <w:rFonts w:hint="cs"/>
                <w:rtl/>
              </w:rPr>
              <w:t>ו</w:t>
            </w:r>
            <w:r w:rsidR="00887C56" w:rsidRPr="00887C56">
              <w:rPr>
                <w:rtl/>
              </w:rPr>
              <w:t xml:space="preserve"> מתקי</w:t>
            </w:r>
            <w:r w:rsidR="00FB364E">
              <w:rPr>
                <w:rFonts w:hint="cs"/>
                <w:rtl/>
              </w:rPr>
              <w:t>נים</w:t>
            </w:r>
            <w:r w:rsidR="00887C56" w:rsidRPr="00887C56">
              <w:rPr>
                <w:rtl/>
              </w:rPr>
              <w:t xml:space="preserve"> תקנות אלה:</w:t>
            </w:r>
          </w:p>
        </w:tc>
      </w:tr>
      <w:tr w:rsidR="003D3FEB" w:rsidTr="002B10C9">
        <w:trPr>
          <w:cantSplit/>
          <w:trHeight w:val="60"/>
        </w:trPr>
        <w:tc>
          <w:tcPr>
            <w:tcW w:w="1785" w:type="dxa"/>
          </w:tcPr>
          <w:p w:rsidR="003D3FEB" w:rsidRDefault="003D3FEB" w:rsidP="00507773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תיקון תקנה 1</w:t>
            </w:r>
          </w:p>
        </w:tc>
        <w:tc>
          <w:tcPr>
            <w:tcW w:w="851" w:type="dxa"/>
            <w:gridSpan w:val="2"/>
          </w:tcPr>
          <w:p w:rsidR="003D3FEB" w:rsidRDefault="003D3FEB" w:rsidP="003D3FEB">
            <w:pPr>
              <w:pStyle w:val="TableText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088" w:type="dxa"/>
            <w:gridSpan w:val="4"/>
          </w:tcPr>
          <w:p w:rsidR="003D3FEB" w:rsidRDefault="003D3FEB" w:rsidP="009C770C">
            <w:pPr>
              <w:pStyle w:val="TableBlock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 xml:space="preserve">בתקנה 1 לתקנות </w:t>
            </w:r>
            <w:r w:rsidR="00887C56">
              <w:rPr>
                <w:rFonts w:hint="cs"/>
                <w:rtl/>
              </w:rPr>
              <w:t>עובדים זרים (פטורים למעסיקי מומחים זרים), תשס"ז-2007</w:t>
            </w:r>
            <w:r w:rsidR="00887C56">
              <w:rPr>
                <w:rStyle w:val="a7"/>
                <w:rtl/>
              </w:rPr>
              <w:footnoteReference w:id="2"/>
            </w:r>
            <w:r w:rsidR="00887C56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  <w:r w:rsidR="009C770C">
              <w:rPr>
                <w:rFonts w:hint="cs"/>
                <w:rtl/>
              </w:rPr>
              <w:t>בסופה יבוא</w:t>
            </w:r>
            <w:r>
              <w:rPr>
                <w:rFonts w:hint="cs"/>
                <w:rtl/>
              </w:rPr>
              <w:t>:</w:t>
            </w:r>
          </w:p>
        </w:tc>
      </w:tr>
      <w:tr w:rsidR="00F71FAA" w:rsidTr="002B10C9">
        <w:trPr>
          <w:cantSplit/>
          <w:trHeight w:val="60"/>
        </w:trPr>
        <w:tc>
          <w:tcPr>
            <w:tcW w:w="1785" w:type="dxa"/>
          </w:tcPr>
          <w:p w:rsidR="005724CF" w:rsidRDefault="005724CF">
            <w:pPr>
              <w:pStyle w:val="TableSideHeading"/>
            </w:pPr>
          </w:p>
        </w:tc>
        <w:tc>
          <w:tcPr>
            <w:tcW w:w="851" w:type="dxa"/>
            <w:gridSpan w:val="2"/>
          </w:tcPr>
          <w:p w:rsidR="005724CF" w:rsidRDefault="005724CF">
            <w:pPr>
              <w:pStyle w:val="TableText"/>
            </w:pPr>
          </w:p>
        </w:tc>
        <w:tc>
          <w:tcPr>
            <w:tcW w:w="478" w:type="dxa"/>
            <w:shd w:val="clear" w:color="auto" w:fill="auto"/>
          </w:tcPr>
          <w:p w:rsidR="005724CF" w:rsidRDefault="005724CF">
            <w:pPr>
              <w:pStyle w:val="TableText"/>
            </w:pPr>
          </w:p>
        </w:tc>
        <w:tc>
          <w:tcPr>
            <w:tcW w:w="6610" w:type="dxa"/>
            <w:gridSpan w:val="3"/>
            <w:shd w:val="clear" w:color="auto" w:fill="auto"/>
          </w:tcPr>
          <w:p w:rsidR="005724CF" w:rsidRPr="00A45201" w:rsidRDefault="005724CF" w:rsidP="00C207EC">
            <w:pPr>
              <w:pStyle w:val="TableBlock"/>
            </w:pPr>
            <w:r w:rsidRPr="00A45201">
              <w:rPr>
                <w:rFonts w:hint="cs"/>
                <w:rtl/>
              </w:rPr>
              <w:t>"(9)</w:t>
            </w:r>
            <w:r w:rsidRPr="00A45201">
              <w:rPr>
                <w:rFonts w:hint="cs"/>
                <w:rtl/>
              </w:rPr>
              <w:tab/>
              <w:t>עובד שמועסק בתאגיד</w:t>
            </w:r>
            <w:r w:rsidRPr="00A45201">
              <w:rPr>
                <w:rtl/>
              </w:rPr>
              <w:t xml:space="preserve"> </w:t>
            </w:r>
            <w:r w:rsidRPr="00A45201">
              <w:rPr>
                <w:rFonts w:hint="cs"/>
                <w:rtl/>
              </w:rPr>
              <w:t xml:space="preserve">שהרשות כהגדרתה בחוק לעידוד מחקר, פיתוח וחדשנות טכנולוגית </w:t>
            </w:r>
            <w:proofErr w:type="spellStart"/>
            <w:r w:rsidRPr="00A45201">
              <w:rPr>
                <w:rFonts w:hint="cs"/>
                <w:rtl/>
              </w:rPr>
              <w:t>בתעשיה</w:t>
            </w:r>
            <w:proofErr w:type="spellEnd"/>
            <w:r w:rsidRPr="00A45201">
              <w:rPr>
                <w:rFonts w:hint="cs"/>
                <w:rtl/>
              </w:rPr>
              <w:t xml:space="preserve">, </w:t>
            </w:r>
            <w:proofErr w:type="spellStart"/>
            <w:r w:rsidRPr="00A45201">
              <w:rPr>
                <w:rFonts w:hint="cs"/>
                <w:rtl/>
              </w:rPr>
              <w:t>התשמ"ד</w:t>
            </w:r>
            <w:proofErr w:type="spellEnd"/>
            <w:r w:rsidRPr="00A45201">
              <w:rPr>
                <w:rFonts w:hint="cs"/>
                <w:rtl/>
              </w:rPr>
              <w:t>-</w:t>
            </w:r>
            <w:r w:rsidRPr="00A45201">
              <w:rPr>
                <w:rStyle w:val="a7"/>
                <w:rtl/>
              </w:rPr>
              <w:footnoteReference w:id="3"/>
            </w:r>
            <w:r w:rsidRPr="00A45201">
              <w:rPr>
                <w:rFonts w:hint="cs"/>
                <w:rtl/>
              </w:rPr>
              <w:t>1984, אישרה שהוא תאגיד עתיר ידע טכנולוגי</w:t>
            </w:r>
            <w:r w:rsidR="002B10C9">
              <w:rPr>
                <w:rFonts w:hint="cs"/>
                <w:rtl/>
              </w:rPr>
              <w:t xml:space="preserve"> (להלן- תאגיד עתיר ידע)</w:t>
            </w:r>
            <w:r w:rsidR="00C207EC">
              <w:rPr>
                <w:rFonts w:hint="cs"/>
                <w:rtl/>
              </w:rPr>
              <w:t>,</w:t>
            </w:r>
            <w:r w:rsidRPr="00A45201">
              <w:rPr>
                <w:rFonts w:hint="cs"/>
                <w:rtl/>
              </w:rPr>
              <w:t xml:space="preserve"> </w:t>
            </w:r>
            <w:r w:rsidR="00C207EC">
              <w:rPr>
                <w:rFonts w:hint="cs"/>
                <w:rtl/>
              </w:rPr>
              <w:t>שממלא תפקיד כאמור בפסקאות משנה (א) או (ב)</w:t>
            </w:r>
            <w:r w:rsidRPr="00A45201">
              <w:rPr>
                <w:rFonts w:hint="cs"/>
                <w:rtl/>
              </w:rPr>
              <w:t xml:space="preserve"> וכן בן זוגו:</w:t>
            </w:r>
          </w:p>
        </w:tc>
      </w:tr>
      <w:tr w:rsidR="00F71FAA" w:rsidTr="002B10C9">
        <w:trPr>
          <w:cantSplit/>
          <w:trHeight w:val="60"/>
        </w:trPr>
        <w:tc>
          <w:tcPr>
            <w:tcW w:w="1785" w:type="dxa"/>
          </w:tcPr>
          <w:p w:rsidR="005724CF" w:rsidRDefault="005724CF">
            <w:pPr>
              <w:pStyle w:val="TableSideHeading"/>
            </w:pPr>
          </w:p>
        </w:tc>
        <w:tc>
          <w:tcPr>
            <w:tcW w:w="851" w:type="dxa"/>
            <w:gridSpan w:val="2"/>
          </w:tcPr>
          <w:p w:rsidR="005724CF" w:rsidRDefault="005724CF">
            <w:pPr>
              <w:pStyle w:val="TableText"/>
            </w:pPr>
          </w:p>
        </w:tc>
        <w:tc>
          <w:tcPr>
            <w:tcW w:w="478" w:type="dxa"/>
          </w:tcPr>
          <w:p w:rsidR="005724CF" w:rsidRDefault="005724CF">
            <w:pPr>
              <w:pStyle w:val="TableText"/>
            </w:pPr>
          </w:p>
        </w:tc>
        <w:tc>
          <w:tcPr>
            <w:tcW w:w="638" w:type="dxa"/>
          </w:tcPr>
          <w:p w:rsidR="005724CF" w:rsidRDefault="005724CF">
            <w:pPr>
              <w:pStyle w:val="TableText"/>
            </w:pPr>
          </w:p>
        </w:tc>
        <w:tc>
          <w:tcPr>
            <w:tcW w:w="5972" w:type="dxa"/>
            <w:gridSpan w:val="2"/>
          </w:tcPr>
          <w:p w:rsidR="005724CF" w:rsidRDefault="005724CF">
            <w:pPr>
              <w:pStyle w:val="TableBlock"/>
            </w:pPr>
            <w:r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 w:rsidRPr="002E17E9">
              <w:rPr>
                <w:rtl/>
              </w:rPr>
              <w:t>מנהל</w:t>
            </w:r>
            <w:r w:rsidRPr="002E17E9">
              <w:rPr>
                <w:rFonts w:hint="cs"/>
                <w:rtl/>
              </w:rPr>
              <w:t>,</w:t>
            </w:r>
            <w:r w:rsidRPr="002E17E9">
              <w:rPr>
                <w:rtl/>
              </w:rPr>
              <w:t xml:space="preserve"> או עובד בכיר במשרה הדורשת מידה רבה של אמון אישי</w:t>
            </w:r>
            <w:r>
              <w:rPr>
                <w:rFonts w:hint="cs"/>
                <w:rtl/>
              </w:rPr>
              <w:t xml:space="preserve"> בתאגיד</w:t>
            </w:r>
            <w:r w:rsidRPr="002E17E9">
              <w:rPr>
                <w:rtl/>
              </w:rPr>
              <w:t xml:space="preserve">, בהמלצת מנהל מינהל סחר חוץ במשרד </w:t>
            </w:r>
            <w:r w:rsidRPr="002E17E9">
              <w:rPr>
                <w:rFonts w:hint="cs"/>
                <w:rtl/>
              </w:rPr>
              <w:t>הכלכלה ו</w:t>
            </w:r>
            <w:r w:rsidRPr="002E17E9">
              <w:rPr>
                <w:rtl/>
              </w:rPr>
              <w:t>התעש</w:t>
            </w:r>
            <w:r>
              <w:rPr>
                <w:rFonts w:hint="cs"/>
                <w:rtl/>
              </w:rPr>
              <w:t>ייה;</w:t>
            </w:r>
          </w:p>
        </w:tc>
      </w:tr>
      <w:tr w:rsidR="005724CF" w:rsidTr="002B10C9">
        <w:trPr>
          <w:cantSplit/>
          <w:trHeight w:val="60"/>
        </w:trPr>
        <w:tc>
          <w:tcPr>
            <w:tcW w:w="1785" w:type="dxa"/>
          </w:tcPr>
          <w:p w:rsidR="005724CF" w:rsidRDefault="005724CF">
            <w:pPr>
              <w:pStyle w:val="TableSideHeading"/>
            </w:pPr>
          </w:p>
        </w:tc>
        <w:tc>
          <w:tcPr>
            <w:tcW w:w="851" w:type="dxa"/>
            <w:gridSpan w:val="2"/>
          </w:tcPr>
          <w:p w:rsidR="005724CF" w:rsidRDefault="005724CF" w:rsidP="005724CF">
            <w:pPr>
              <w:pStyle w:val="TableText"/>
            </w:pPr>
          </w:p>
        </w:tc>
        <w:tc>
          <w:tcPr>
            <w:tcW w:w="478" w:type="dxa"/>
          </w:tcPr>
          <w:p w:rsidR="005724CF" w:rsidRDefault="005724CF">
            <w:pPr>
              <w:pStyle w:val="TableText"/>
            </w:pPr>
          </w:p>
        </w:tc>
        <w:tc>
          <w:tcPr>
            <w:tcW w:w="638" w:type="dxa"/>
          </w:tcPr>
          <w:p w:rsidR="005724CF" w:rsidRDefault="005724CF">
            <w:pPr>
              <w:pStyle w:val="TableText"/>
            </w:pPr>
          </w:p>
        </w:tc>
        <w:tc>
          <w:tcPr>
            <w:tcW w:w="5972" w:type="dxa"/>
            <w:gridSpan w:val="2"/>
          </w:tcPr>
          <w:p w:rsidR="00F55BB2" w:rsidRDefault="005724CF" w:rsidP="00F55BB2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(ב)</w:t>
            </w:r>
            <w:r w:rsidR="00F55BB2">
              <w:rPr>
                <w:rtl/>
              </w:rPr>
              <w:tab/>
            </w:r>
            <w:r w:rsidR="00F55BB2">
              <w:rPr>
                <w:rFonts w:hint="cs"/>
                <w:rtl/>
              </w:rPr>
              <w:t>עובד זר ש</w:t>
            </w:r>
            <w:r w:rsidR="00F55BB2" w:rsidRPr="00F00666">
              <w:rPr>
                <w:rFonts w:hint="cs"/>
                <w:rtl/>
              </w:rPr>
              <w:t xml:space="preserve">מעסיקו הצהיר שהוא עובד מומחה </w:t>
            </w:r>
            <w:r w:rsidR="00F55BB2">
              <w:rPr>
                <w:rFonts w:hint="cs"/>
                <w:rtl/>
              </w:rPr>
              <w:t>שי</w:t>
            </w:r>
            <w:r w:rsidR="00F55BB2" w:rsidRPr="00F00666">
              <w:rPr>
                <w:rFonts w:hint="cs"/>
                <w:rtl/>
              </w:rPr>
              <w:t>ועסק בתחום המחקר והפיתוח, או כי הוא עובד בעל מומחיות ייחודית המסייעת לפעילות עסקית שקשורה למוצר או לשירות המפותח על ידי המעסיק, וששכר</w:t>
            </w:r>
            <w:r w:rsidR="00F55BB2">
              <w:rPr>
                <w:rFonts w:hint="cs"/>
                <w:rtl/>
              </w:rPr>
              <w:t xml:space="preserve"> העבודה</w:t>
            </w:r>
            <w:r w:rsidR="00F55BB2" w:rsidRPr="00F00666">
              <w:rPr>
                <w:rFonts w:hint="cs"/>
                <w:rtl/>
              </w:rPr>
              <w:t xml:space="preserve"> הרגיל </w:t>
            </w:r>
            <w:r w:rsidR="00F55BB2">
              <w:rPr>
                <w:rFonts w:hint="cs"/>
                <w:rtl/>
              </w:rPr>
              <w:t>שי</w:t>
            </w:r>
            <w:r w:rsidR="00F55BB2" w:rsidRPr="00F00666">
              <w:rPr>
                <w:rFonts w:hint="cs"/>
                <w:rtl/>
              </w:rPr>
              <w:t>שולם לו ב</w:t>
            </w:r>
            <w:r w:rsidR="00F55BB2">
              <w:rPr>
                <w:rFonts w:hint="cs"/>
                <w:rtl/>
              </w:rPr>
              <w:t>עד</w:t>
            </w:r>
            <w:r w:rsidR="00F55BB2" w:rsidRPr="00F00666">
              <w:rPr>
                <w:rFonts w:hint="cs"/>
                <w:rtl/>
              </w:rPr>
              <w:t xml:space="preserve"> עבודתו לא </w:t>
            </w:r>
            <w:r w:rsidR="00F55BB2">
              <w:rPr>
                <w:rFonts w:hint="cs"/>
                <w:rtl/>
              </w:rPr>
              <w:t>יפחת</w:t>
            </w:r>
            <w:r w:rsidR="00F55BB2" w:rsidRPr="00F00666">
              <w:rPr>
                <w:rFonts w:hint="cs"/>
                <w:rtl/>
              </w:rPr>
              <w:t xml:space="preserve"> מפעמיים השכר הממוצע</w:t>
            </w:r>
            <w:r w:rsidR="00F55BB2">
              <w:rPr>
                <w:rFonts w:hint="cs"/>
                <w:rtl/>
              </w:rPr>
              <w:t xml:space="preserve">; לעניין תקנה זו- </w:t>
            </w:r>
          </w:p>
          <w:p w:rsidR="00F55BB2" w:rsidRDefault="00F55BB2" w:rsidP="00F55BB2">
            <w:pPr>
              <w:pStyle w:val="TableBlock"/>
              <w:tabs>
                <w:tab w:val="clear" w:pos="624"/>
              </w:tabs>
              <w:rPr>
                <w:rtl/>
              </w:rPr>
            </w:pPr>
            <w:r>
              <w:rPr>
                <w:rFonts w:hint="cs"/>
                <w:rtl/>
              </w:rPr>
              <w:t>"השכר הממוצע"- כהגדרתו בחוק הביטוח הלאומי (נוסח משולב), התשנ"ה-1995</w:t>
            </w:r>
            <w:r>
              <w:rPr>
                <w:rStyle w:val="a7"/>
                <w:rtl/>
              </w:rPr>
              <w:footnoteReference w:id="4"/>
            </w:r>
            <w:r>
              <w:rPr>
                <w:rFonts w:hint="cs"/>
                <w:rtl/>
              </w:rPr>
              <w:t xml:space="preserve"> כפי  שפורסם לאחרונה על ידי המוסד  לביטוח לאומי; </w:t>
            </w:r>
          </w:p>
          <w:p w:rsidR="00F55BB2" w:rsidRDefault="00F55BB2" w:rsidP="00F55BB2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"שכר העבודה הרגיל"- כמשמעותו בתקנה 1 ל</w:t>
            </w:r>
            <w:r w:rsidRPr="00D604CB">
              <w:rPr>
                <w:rtl/>
              </w:rPr>
              <w:t>תק</w:t>
            </w:r>
            <w:r w:rsidRPr="00D604CB">
              <w:rPr>
                <w:rFonts w:hint="cs"/>
                <w:rtl/>
              </w:rPr>
              <w:t xml:space="preserve">נות פיצויי פיטורים (חישוב הפיצויים והתפטרות שרואים אותה כפיטורים), </w:t>
            </w:r>
            <w:r>
              <w:rPr>
                <w:rFonts w:hint="cs"/>
                <w:rtl/>
              </w:rPr>
              <w:t>ה</w:t>
            </w:r>
            <w:r w:rsidRPr="00D604CB">
              <w:rPr>
                <w:rFonts w:hint="cs"/>
                <w:rtl/>
              </w:rPr>
              <w:t>תשכ"ד-</w:t>
            </w:r>
            <w:r>
              <w:rPr>
                <w:rFonts w:hint="cs"/>
                <w:rtl/>
              </w:rPr>
              <w:t>1964</w:t>
            </w:r>
            <w:r>
              <w:rPr>
                <w:rStyle w:val="a7"/>
                <w:rtl/>
              </w:rPr>
              <w:footnoteReference w:id="5"/>
            </w:r>
            <w:r>
              <w:rPr>
                <w:rFonts w:hint="cs"/>
                <w:rtl/>
              </w:rPr>
              <w:t>.</w:t>
            </w:r>
          </w:p>
          <w:p w:rsidR="005724CF" w:rsidRDefault="005724CF">
            <w:pPr>
              <w:pStyle w:val="TableBlock"/>
              <w:rPr>
                <w:rtl/>
              </w:rPr>
            </w:pPr>
            <w:r>
              <w:rPr>
                <w:rtl/>
              </w:rPr>
              <w:tab/>
            </w:r>
          </w:p>
        </w:tc>
      </w:tr>
      <w:tr w:rsidR="00F71FAA" w:rsidTr="002B10C9">
        <w:trPr>
          <w:cantSplit/>
          <w:trHeight w:val="60"/>
        </w:trPr>
        <w:tc>
          <w:tcPr>
            <w:tcW w:w="1785" w:type="dxa"/>
          </w:tcPr>
          <w:p w:rsidR="005724CF" w:rsidRDefault="005724CF">
            <w:pPr>
              <w:pStyle w:val="TableSideHeading"/>
            </w:pPr>
          </w:p>
        </w:tc>
        <w:tc>
          <w:tcPr>
            <w:tcW w:w="851" w:type="dxa"/>
            <w:gridSpan w:val="2"/>
          </w:tcPr>
          <w:p w:rsidR="005724CF" w:rsidRDefault="005724CF">
            <w:pPr>
              <w:pStyle w:val="TableText"/>
            </w:pPr>
          </w:p>
        </w:tc>
        <w:tc>
          <w:tcPr>
            <w:tcW w:w="478" w:type="dxa"/>
          </w:tcPr>
          <w:p w:rsidR="005724CF" w:rsidRDefault="005724CF">
            <w:pPr>
              <w:pStyle w:val="TableText"/>
            </w:pPr>
          </w:p>
        </w:tc>
        <w:tc>
          <w:tcPr>
            <w:tcW w:w="6610" w:type="dxa"/>
            <w:gridSpan w:val="3"/>
          </w:tcPr>
          <w:p w:rsidR="005724CF" w:rsidRPr="00A93E97" w:rsidRDefault="005724CF" w:rsidP="00F15766">
            <w:pPr>
              <w:pStyle w:val="TableBlock"/>
            </w:pPr>
            <w:r w:rsidRPr="00A93E97">
              <w:rPr>
                <w:rFonts w:hint="cs"/>
                <w:rtl/>
              </w:rPr>
              <w:t>(10)</w:t>
            </w:r>
            <w:r w:rsidR="00F71FAA" w:rsidRPr="00A93E97">
              <w:rPr>
                <w:rFonts w:hint="cs"/>
                <w:rtl/>
              </w:rPr>
              <w:tab/>
            </w:r>
            <w:r w:rsidR="00F15766">
              <w:rPr>
                <w:rFonts w:hint="cs"/>
                <w:rtl/>
              </w:rPr>
              <w:t xml:space="preserve"> </w:t>
            </w:r>
            <w:r w:rsidR="00F55BB2" w:rsidRPr="00A93E97">
              <w:rPr>
                <w:rFonts w:hint="cs"/>
                <w:rtl/>
              </w:rPr>
              <w:t>חוקר או מרצה במוסד להשכלה גבוהה מוכר לפי סעיף 9 לחוק המועצה להשכלה גבוהה, התשי"ח-1958</w:t>
            </w:r>
            <w:r w:rsidR="00F55BB2" w:rsidRPr="00A93E97">
              <w:rPr>
                <w:rStyle w:val="a7"/>
                <w:rtl/>
              </w:rPr>
              <w:footnoteReference w:id="6"/>
            </w:r>
            <w:r w:rsidR="00F55BB2" w:rsidRPr="00A93E97">
              <w:rPr>
                <w:rFonts w:hint="cs"/>
                <w:rtl/>
              </w:rPr>
              <w:t>, או במוסד שהתואר שלו הוכר לפי סעיף 28א לחוק האמור  (להלן- מוסד להשכלה גבוהה) ונשיא המוסד להשכלה גבוהה הצהיר כי מתקיימים לגביו התנאים האלה</w:t>
            </w:r>
            <w:r w:rsidR="00F71FAA" w:rsidRPr="00A93E97">
              <w:rPr>
                <w:rFonts w:hint="cs"/>
                <w:rtl/>
              </w:rPr>
              <w:t>, וכן בן זוגו</w:t>
            </w:r>
            <w:r w:rsidR="00F55BB2" w:rsidRPr="00A93E97">
              <w:rPr>
                <w:rFonts w:hint="cs"/>
                <w:rtl/>
              </w:rPr>
              <w:t>:</w:t>
            </w:r>
          </w:p>
        </w:tc>
      </w:tr>
      <w:tr w:rsidR="00F71FAA" w:rsidTr="002B10C9">
        <w:trPr>
          <w:cantSplit/>
          <w:trHeight w:val="60"/>
        </w:trPr>
        <w:tc>
          <w:tcPr>
            <w:tcW w:w="1785" w:type="dxa"/>
          </w:tcPr>
          <w:p w:rsidR="00F71FAA" w:rsidRDefault="00F71FAA">
            <w:pPr>
              <w:pStyle w:val="TableSideHeading"/>
            </w:pPr>
          </w:p>
        </w:tc>
        <w:tc>
          <w:tcPr>
            <w:tcW w:w="851" w:type="dxa"/>
            <w:gridSpan w:val="2"/>
          </w:tcPr>
          <w:p w:rsidR="00F71FAA" w:rsidRDefault="00F71FAA">
            <w:pPr>
              <w:pStyle w:val="TableText"/>
            </w:pPr>
          </w:p>
        </w:tc>
        <w:tc>
          <w:tcPr>
            <w:tcW w:w="478" w:type="dxa"/>
          </w:tcPr>
          <w:p w:rsidR="00F71FAA" w:rsidRDefault="00F71FAA">
            <w:pPr>
              <w:pStyle w:val="TableText"/>
            </w:pPr>
          </w:p>
        </w:tc>
        <w:tc>
          <w:tcPr>
            <w:tcW w:w="638" w:type="dxa"/>
          </w:tcPr>
          <w:p w:rsidR="00F71FAA" w:rsidRDefault="00F71FAA">
            <w:pPr>
              <w:pStyle w:val="TableText"/>
            </w:pPr>
          </w:p>
        </w:tc>
        <w:tc>
          <w:tcPr>
            <w:tcW w:w="5972" w:type="dxa"/>
            <w:gridSpan w:val="2"/>
          </w:tcPr>
          <w:p w:rsidR="00F71FAA" w:rsidRPr="00A93E97" w:rsidRDefault="00F71FAA" w:rsidP="009A35BA">
            <w:pPr>
              <w:pStyle w:val="TableBlock"/>
            </w:pPr>
            <w:r w:rsidRPr="00A93E97">
              <w:rPr>
                <w:rFonts w:hint="cs"/>
                <w:rtl/>
              </w:rPr>
              <w:t>(</w:t>
            </w:r>
            <w:r w:rsidR="009A35BA">
              <w:rPr>
                <w:rFonts w:hint="cs"/>
                <w:rtl/>
              </w:rPr>
              <w:t>א</w:t>
            </w:r>
            <w:r w:rsidRPr="00A93E97">
              <w:rPr>
                <w:rFonts w:hint="cs"/>
                <w:rtl/>
              </w:rPr>
              <w:t>)</w:t>
            </w:r>
            <w:r w:rsidRPr="00A93E97">
              <w:rPr>
                <w:rtl/>
              </w:rPr>
              <w:tab/>
            </w:r>
            <w:r w:rsidRPr="00A93E97">
              <w:rPr>
                <w:rFonts w:hint="cs"/>
                <w:rtl/>
              </w:rPr>
              <w:t>המרצה או החוקר מצטיין בתחום התמחותו, ונמצא במסלול לקבלת קביעות במוסד להשכלה גבוהה;</w:t>
            </w:r>
          </w:p>
        </w:tc>
      </w:tr>
      <w:tr w:rsidR="00F71FAA" w:rsidTr="002B10C9">
        <w:trPr>
          <w:cantSplit/>
          <w:trHeight w:val="60"/>
        </w:trPr>
        <w:tc>
          <w:tcPr>
            <w:tcW w:w="1785" w:type="dxa"/>
          </w:tcPr>
          <w:p w:rsidR="00F71FAA" w:rsidRDefault="00F71FAA">
            <w:pPr>
              <w:pStyle w:val="TableSideHeading"/>
            </w:pPr>
          </w:p>
        </w:tc>
        <w:tc>
          <w:tcPr>
            <w:tcW w:w="851" w:type="dxa"/>
            <w:gridSpan w:val="2"/>
          </w:tcPr>
          <w:p w:rsidR="00F71FAA" w:rsidRDefault="00F71FAA" w:rsidP="00F71FAA">
            <w:pPr>
              <w:pStyle w:val="TableText"/>
            </w:pPr>
          </w:p>
        </w:tc>
        <w:tc>
          <w:tcPr>
            <w:tcW w:w="478" w:type="dxa"/>
          </w:tcPr>
          <w:p w:rsidR="00F71FAA" w:rsidRDefault="00F71FAA">
            <w:pPr>
              <w:pStyle w:val="TableText"/>
            </w:pPr>
          </w:p>
        </w:tc>
        <w:tc>
          <w:tcPr>
            <w:tcW w:w="638" w:type="dxa"/>
          </w:tcPr>
          <w:p w:rsidR="00F71FAA" w:rsidRPr="00A93E97" w:rsidRDefault="00F71FAA">
            <w:pPr>
              <w:pStyle w:val="TableText"/>
            </w:pPr>
          </w:p>
        </w:tc>
        <w:tc>
          <w:tcPr>
            <w:tcW w:w="5972" w:type="dxa"/>
            <w:gridSpan w:val="2"/>
          </w:tcPr>
          <w:p w:rsidR="00F71FAA" w:rsidRPr="00A93E97" w:rsidRDefault="00F71FAA" w:rsidP="009A35BA">
            <w:pPr>
              <w:pStyle w:val="TableBlock"/>
              <w:rPr>
                <w:color w:val="auto"/>
                <w:sz w:val="26"/>
              </w:rPr>
            </w:pPr>
            <w:r w:rsidRPr="00A93E97">
              <w:rPr>
                <w:rFonts w:hint="cs"/>
                <w:rtl/>
              </w:rPr>
              <w:t>(</w:t>
            </w:r>
            <w:r w:rsidR="009A35BA">
              <w:rPr>
                <w:rFonts w:hint="cs"/>
                <w:rtl/>
              </w:rPr>
              <w:t>ב</w:t>
            </w:r>
            <w:r w:rsidRPr="00A93E97">
              <w:rPr>
                <w:rFonts w:hint="cs"/>
                <w:rtl/>
              </w:rPr>
              <w:t>)</w:t>
            </w:r>
            <w:r w:rsidRPr="00A93E97">
              <w:rPr>
                <w:rtl/>
              </w:rPr>
              <w:tab/>
            </w:r>
            <w:r w:rsidRPr="00A93E97">
              <w:rPr>
                <w:rFonts w:hint="cs"/>
                <w:color w:val="auto"/>
                <w:sz w:val="26"/>
                <w:rtl/>
              </w:rPr>
              <w:t xml:space="preserve">תחום המחקר של המרצה או החוקר נוגע לאחד מתחומי הטכנולוגיה העילית בישראל </w:t>
            </w:r>
            <w:r w:rsidRPr="00A93E97">
              <w:rPr>
                <w:rFonts w:hint="cs"/>
                <w:sz w:val="26"/>
                <w:rtl/>
              </w:rPr>
              <w:t>כאמור בענפים 21, 26, 62 (למעט תת ענף 6209) ו- 72 (למעט ענף משנה 722), או בענפי משנה 303 ו- 631 שבסיווג האחיד של ענפי הכלכלה 2011 המפורסם באתר האינטרנט של הלשכה</w:t>
            </w:r>
            <w:r w:rsidRPr="00A93E97">
              <w:rPr>
                <w:rFonts w:hint="cs"/>
                <w:color w:val="auto"/>
                <w:sz w:val="26"/>
                <w:rtl/>
              </w:rPr>
              <w:t xml:space="preserve"> המרכזית לסטטיסטיקה, והוא משתייך לאחת המחלקות, בתי הספר או הפקולטות המפורטות להלן:</w:t>
            </w:r>
          </w:p>
          <w:p w:rsidR="00F71FAA" w:rsidRPr="00A93E97" w:rsidRDefault="00F71FAA" w:rsidP="00F71FAA">
            <w:pPr>
              <w:pStyle w:val="TableBlock"/>
              <w:ind w:left="1080" w:hanging="360"/>
              <w:rPr>
                <w:rFonts w:cs="Arial"/>
                <w:color w:val="auto"/>
                <w:sz w:val="26"/>
              </w:rPr>
            </w:pPr>
            <w:r w:rsidRPr="00A93E97">
              <w:rPr>
                <w:rFonts w:hint="cs"/>
                <w:color w:val="auto"/>
                <w:sz w:val="26"/>
                <w:rtl/>
              </w:rPr>
              <w:t>(א)</w:t>
            </w:r>
            <w:r w:rsidRPr="00A93E97">
              <w:rPr>
                <w:rFonts w:ascii="Times New Roman" w:hAnsi="Times New Roman" w:cs="Times New Roman"/>
                <w:color w:val="auto"/>
                <w:sz w:val="14"/>
                <w:szCs w:val="14"/>
                <w:rtl/>
              </w:rPr>
              <w:t xml:space="preserve">   </w:t>
            </w:r>
            <w:r w:rsidRPr="00A93E97">
              <w:rPr>
                <w:rFonts w:hint="cs"/>
                <w:color w:val="auto"/>
                <w:sz w:val="26"/>
                <w:rtl/>
              </w:rPr>
              <w:t>מדעים מדויקים;</w:t>
            </w:r>
          </w:p>
          <w:p w:rsidR="00F71FAA" w:rsidRPr="00A93E97" w:rsidRDefault="00F71FAA" w:rsidP="00F71FAA">
            <w:pPr>
              <w:pStyle w:val="TableBlock"/>
              <w:ind w:left="1080" w:hanging="360"/>
              <w:rPr>
                <w:color w:val="auto"/>
                <w:szCs w:val="20"/>
                <w:rtl/>
              </w:rPr>
            </w:pPr>
            <w:r w:rsidRPr="00A93E97">
              <w:rPr>
                <w:rFonts w:hint="cs"/>
                <w:color w:val="auto"/>
                <w:rtl/>
              </w:rPr>
              <w:t>(ב)</w:t>
            </w:r>
            <w:r w:rsidR="002F373C" w:rsidRPr="00A93E97">
              <w:rPr>
                <w:rFonts w:ascii="Times New Roman" w:hAnsi="Times New Roman" w:cs="Times New Roman"/>
                <w:color w:val="auto"/>
                <w:sz w:val="14"/>
                <w:szCs w:val="14"/>
                <w:rtl/>
              </w:rPr>
              <w:t>    </w:t>
            </w:r>
            <w:r w:rsidRPr="00A93E97">
              <w:rPr>
                <w:rFonts w:hint="cs"/>
                <w:color w:val="auto"/>
                <w:sz w:val="26"/>
                <w:rtl/>
              </w:rPr>
              <w:t>מדעי החיים;</w:t>
            </w:r>
          </w:p>
          <w:p w:rsidR="00F71FAA" w:rsidRPr="00A93E97" w:rsidRDefault="00F71FAA" w:rsidP="00F71FAA">
            <w:pPr>
              <w:pStyle w:val="TableBlock"/>
              <w:ind w:left="1080" w:hanging="360"/>
              <w:rPr>
                <w:color w:val="auto"/>
                <w:rtl/>
              </w:rPr>
            </w:pPr>
            <w:r w:rsidRPr="00A93E97">
              <w:rPr>
                <w:rFonts w:hint="cs"/>
                <w:color w:val="auto"/>
                <w:rtl/>
              </w:rPr>
              <w:t>(ג)</w:t>
            </w:r>
            <w:r w:rsidR="002F373C" w:rsidRPr="00A93E97">
              <w:rPr>
                <w:rFonts w:ascii="Times New Roman" w:hAnsi="Times New Roman" w:cs="Times New Roman"/>
                <w:color w:val="auto"/>
                <w:sz w:val="14"/>
                <w:szCs w:val="14"/>
                <w:rtl/>
              </w:rPr>
              <w:t>     </w:t>
            </w:r>
            <w:r w:rsidRPr="00A93E97">
              <w:rPr>
                <w:rFonts w:hint="cs"/>
                <w:color w:val="auto"/>
                <w:sz w:val="26"/>
                <w:rtl/>
              </w:rPr>
              <w:t>מדעי המחשב;</w:t>
            </w:r>
          </w:p>
          <w:p w:rsidR="00F71FAA" w:rsidRPr="00A93E97" w:rsidRDefault="00F71FAA" w:rsidP="00F71FAA">
            <w:pPr>
              <w:pStyle w:val="TableBlock"/>
              <w:ind w:left="1080" w:hanging="360"/>
              <w:rPr>
                <w:color w:val="auto"/>
                <w:rtl/>
              </w:rPr>
            </w:pPr>
            <w:r w:rsidRPr="00A93E97">
              <w:rPr>
                <w:rFonts w:hint="cs"/>
                <w:color w:val="auto"/>
                <w:rtl/>
              </w:rPr>
              <w:t>(ד)</w:t>
            </w:r>
            <w:r w:rsidR="002F373C" w:rsidRPr="00A93E97">
              <w:rPr>
                <w:rFonts w:ascii="Times New Roman" w:hAnsi="Times New Roman" w:cs="Times New Roman"/>
                <w:color w:val="auto"/>
                <w:sz w:val="14"/>
                <w:szCs w:val="14"/>
                <w:rtl/>
              </w:rPr>
              <w:t>    </w:t>
            </w:r>
            <w:r w:rsidRPr="00A93E97">
              <w:rPr>
                <w:rFonts w:hint="cs"/>
                <w:color w:val="auto"/>
                <w:sz w:val="26"/>
                <w:rtl/>
              </w:rPr>
              <w:t>הנדסה;</w:t>
            </w:r>
          </w:p>
          <w:p w:rsidR="00F71FAA" w:rsidRPr="00A93E97" w:rsidRDefault="00F71FAA" w:rsidP="00F71FAA">
            <w:pPr>
              <w:pStyle w:val="TableBlock"/>
              <w:ind w:left="1080" w:hanging="360"/>
              <w:rPr>
                <w:rtl/>
              </w:rPr>
            </w:pPr>
            <w:r w:rsidRPr="00A93E97">
              <w:rPr>
                <w:rFonts w:hint="cs"/>
                <w:color w:val="auto"/>
                <w:rtl/>
              </w:rPr>
              <w:t>(ה)</w:t>
            </w:r>
            <w:r w:rsidR="002F373C" w:rsidRPr="00A93E97">
              <w:rPr>
                <w:color w:val="auto"/>
                <w:rtl/>
              </w:rPr>
              <w:t>  </w:t>
            </w:r>
            <w:r w:rsidRPr="00A93E97">
              <w:rPr>
                <w:rFonts w:hint="cs"/>
                <w:color w:val="auto"/>
                <w:rtl/>
              </w:rPr>
              <w:t>רפואה;</w:t>
            </w:r>
          </w:p>
        </w:tc>
      </w:tr>
      <w:tr w:rsidR="009A35BA" w:rsidTr="002B10C9">
        <w:trPr>
          <w:cantSplit/>
          <w:trHeight w:val="60"/>
        </w:trPr>
        <w:tc>
          <w:tcPr>
            <w:tcW w:w="1785" w:type="dxa"/>
          </w:tcPr>
          <w:p w:rsidR="009A35BA" w:rsidRDefault="009A35BA">
            <w:pPr>
              <w:pStyle w:val="TableSideHeading"/>
            </w:pPr>
          </w:p>
        </w:tc>
        <w:tc>
          <w:tcPr>
            <w:tcW w:w="851" w:type="dxa"/>
            <w:gridSpan w:val="2"/>
          </w:tcPr>
          <w:p w:rsidR="009A35BA" w:rsidRDefault="009A35BA" w:rsidP="009A35BA">
            <w:pPr>
              <w:pStyle w:val="TableText"/>
            </w:pPr>
          </w:p>
        </w:tc>
        <w:tc>
          <w:tcPr>
            <w:tcW w:w="478" w:type="dxa"/>
          </w:tcPr>
          <w:p w:rsidR="009A35BA" w:rsidRDefault="009A35BA">
            <w:pPr>
              <w:pStyle w:val="TableText"/>
            </w:pPr>
          </w:p>
        </w:tc>
        <w:tc>
          <w:tcPr>
            <w:tcW w:w="638" w:type="dxa"/>
          </w:tcPr>
          <w:p w:rsidR="009A35BA" w:rsidRPr="00A93E97" w:rsidRDefault="009A35BA">
            <w:pPr>
              <w:pStyle w:val="TableText"/>
            </w:pPr>
          </w:p>
        </w:tc>
        <w:tc>
          <w:tcPr>
            <w:tcW w:w="5972" w:type="dxa"/>
            <w:gridSpan w:val="2"/>
          </w:tcPr>
          <w:p w:rsidR="009A35BA" w:rsidRPr="00A93E97" w:rsidRDefault="009A35BA" w:rsidP="009A35BA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(ג)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שכרו החודשי של המרצה או החוקר בעד עבודתו במוסד להשכלה גבוהה, בהתאם להסכמים הקיבוציים החלים, אינו נמוך מפעמיים השכר הממוצע.</w:t>
            </w:r>
          </w:p>
        </w:tc>
      </w:tr>
      <w:tr w:rsidR="00F71FAA" w:rsidTr="002B10C9">
        <w:trPr>
          <w:cantSplit/>
          <w:trHeight w:val="60"/>
        </w:trPr>
        <w:tc>
          <w:tcPr>
            <w:tcW w:w="1785" w:type="dxa"/>
          </w:tcPr>
          <w:p w:rsidR="00F71FAA" w:rsidRDefault="00F71FAA">
            <w:pPr>
              <w:pStyle w:val="TableSideHeading"/>
            </w:pPr>
          </w:p>
        </w:tc>
        <w:tc>
          <w:tcPr>
            <w:tcW w:w="851" w:type="dxa"/>
            <w:gridSpan w:val="2"/>
          </w:tcPr>
          <w:p w:rsidR="00F71FAA" w:rsidRDefault="00F71FAA" w:rsidP="005724CF">
            <w:pPr>
              <w:pStyle w:val="TableText"/>
            </w:pPr>
          </w:p>
        </w:tc>
        <w:tc>
          <w:tcPr>
            <w:tcW w:w="478" w:type="dxa"/>
          </w:tcPr>
          <w:p w:rsidR="00F71FAA" w:rsidRDefault="00F71FAA">
            <w:pPr>
              <w:pStyle w:val="TableText"/>
            </w:pPr>
          </w:p>
        </w:tc>
        <w:tc>
          <w:tcPr>
            <w:tcW w:w="6610" w:type="dxa"/>
            <w:gridSpan w:val="3"/>
          </w:tcPr>
          <w:p w:rsidR="00F71FAA" w:rsidRDefault="00F71FAA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(11)</w:t>
            </w:r>
            <w:r w:rsidR="00EB5DA7">
              <w:rPr>
                <w:rFonts w:hint="cs"/>
                <w:rtl/>
              </w:rPr>
              <w:tab/>
              <w:t>עובד זר, ש</w:t>
            </w:r>
            <w:r w:rsidR="00EB5DA7" w:rsidRPr="00F00666">
              <w:rPr>
                <w:rFonts w:hint="cs"/>
                <w:rtl/>
              </w:rPr>
              <w:t>סיים תואר אקדמי מלא במוסד להשכלה גבוהה בישראל באחד מהתחומים הבאים:</w:t>
            </w:r>
            <w:r w:rsidR="00EB5DA7">
              <w:rPr>
                <w:rFonts w:hint="cs"/>
                <w:rtl/>
              </w:rPr>
              <w:t xml:space="preserve"> </w:t>
            </w:r>
            <w:r w:rsidR="00EB5DA7" w:rsidRPr="00F00666">
              <w:rPr>
                <w:rFonts w:hint="cs"/>
                <w:rtl/>
              </w:rPr>
              <w:t xml:space="preserve">הנדסת חשמל, אלקטרוניקה, מחשבים, </w:t>
            </w:r>
            <w:r w:rsidR="009A35BA">
              <w:rPr>
                <w:rFonts w:hint="cs"/>
                <w:rtl/>
              </w:rPr>
              <w:t xml:space="preserve">תוכנה, </w:t>
            </w:r>
            <w:r w:rsidR="00EB5DA7" w:rsidRPr="00F00666">
              <w:rPr>
                <w:rFonts w:hint="cs"/>
                <w:rtl/>
              </w:rPr>
              <w:t>מערכות מידע או מדעי המחשב</w:t>
            </w:r>
            <w:r w:rsidR="00EB5DA7">
              <w:rPr>
                <w:rFonts w:hint="cs"/>
                <w:rtl/>
              </w:rPr>
              <w:t xml:space="preserve"> וטרם חלפה שנה מיום סיום התואר, </w:t>
            </w:r>
            <w:r w:rsidR="002B10C9">
              <w:rPr>
                <w:rFonts w:hint="cs"/>
                <w:rtl/>
              </w:rPr>
              <w:t>המועסק בתאגיד עתיר ידע</w:t>
            </w:r>
            <w:r w:rsidR="009A35BA">
              <w:rPr>
                <w:rFonts w:hint="cs"/>
                <w:rtl/>
              </w:rPr>
              <w:t>"</w:t>
            </w:r>
            <w:r w:rsidR="00EB5DA7">
              <w:rPr>
                <w:rFonts w:hint="cs"/>
                <w:rtl/>
              </w:rPr>
              <w:t xml:space="preserve">.  </w:t>
            </w:r>
          </w:p>
        </w:tc>
      </w:tr>
      <w:tr w:rsidR="00F71FAA" w:rsidTr="002B10C9">
        <w:trPr>
          <w:cantSplit/>
          <w:trHeight w:val="60"/>
        </w:trPr>
        <w:tc>
          <w:tcPr>
            <w:tcW w:w="1785" w:type="dxa"/>
          </w:tcPr>
          <w:p w:rsidR="00F71FAA" w:rsidRDefault="00F71FAA">
            <w:pPr>
              <w:pStyle w:val="TableSideHeading"/>
            </w:pPr>
            <w:r>
              <w:rPr>
                <w:rFonts w:hint="cs"/>
                <w:rtl/>
              </w:rPr>
              <w:t>תיקון תקנה 4</w:t>
            </w:r>
          </w:p>
        </w:tc>
        <w:tc>
          <w:tcPr>
            <w:tcW w:w="851" w:type="dxa"/>
            <w:gridSpan w:val="2"/>
          </w:tcPr>
          <w:p w:rsidR="00F71FAA" w:rsidRDefault="00F71FAA" w:rsidP="009C770C">
            <w:pPr>
              <w:pStyle w:val="TableText"/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088" w:type="dxa"/>
            <w:gridSpan w:val="4"/>
          </w:tcPr>
          <w:p w:rsidR="00F71FAA" w:rsidRDefault="00F71FAA" w:rsidP="00EA412A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בתקנה 4, בסופה יבוא</w:t>
            </w:r>
            <w:r w:rsidRPr="009C770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"</w:t>
            </w:r>
            <w:r w:rsidRPr="009C770C">
              <w:rPr>
                <w:rFonts w:hint="cs"/>
                <w:rtl/>
              </w:rPr>
              <w:t>למעט מעסיקו של עובד זר מומחה כהגדרתו בתקנה 1(</w:t>
            </w:r>
            <w:r>
              <w:rPr>
                <w:rFonts w:hint="cs"/>
                <w:rtl/>
              </w:rPr>
              <w:t>9</w:t>
            </w:r>
            <w:r w:rsidRPr="009C770C">
              <w:rPr>
                <w:rFonts w:hint="cs"/>
                <w:rtl/>
              </w:rPr>
              <w:t>)</w:t>
            </w:r>
            <w:r w:rsidR="00A93E97">
              <w:rPr>
                <w:rFonts w:hint="cs"/>
                <w:rtl/>
              </w:rPr>
              <w:t>(ב)</w:t>
            </w:r>
            <w:r>
              <w:rPr>
                <w:rFonts w:hint="cs"/>
                <w:rtl/>
              </w:rPr>
              <w:t>".</w:t>
            </w:r>
          </w:p>
        </w:tc>
      </w:tr>
      <w:tr w:rsidR="00F71FAA" w:rsidTr="002B10C9">
        <w:trPr>
          <w:cantSplit/>
          <w:trHeight w:val="60"/>
        </w:trPr>
        <w:tc>
          <w:tcPr>
            <w:tcW w:w="1785" w:type="dxa"/>
          </w:tcPr>
          <w:p w:rsidR="00F71FAA" w:rsidRDefault="00F71FAA">
            <w:pPr>
              <w:pStyle w:val="TableSideHeading"/>
            </w:pPr>
            <w:r>
              <w:rPr>
                <w:rFonts w:hint="cs"/>
                <w:rtl/>
              </w:rPr>
              <w:t>תחילה</w:t>
            </w:r>
          </w:p>
        </w:tc>
        <w:tc>
          <w:tcPr>
            <w:tcW w:w="851" w:type="dxa"/>
            <w:gridSpan w:val="2"/>
          </w:tcPr>
          <w:p w:rsidR="00F71FAA" w:rsidRDefault="00F71FAA">
            <w:pPr>
              <w:pStyle w:val="TableText"/>
            </w:pPr>
            <w:r>
              <w:rPr>
                <w:rFonts w:hint="cs"/>
                <w:rtl/>
              </w:rPr>
              <w:t xml:space="preserve">3. </w:t>
            </w:r>
          </w:p>
        </w:tc>
        <w:tc>
          <w:tcPr>
            <w:tcW w:w="7088" w:type="dxa"/>
            <w:gridSpan w:val="4"/>
          </w:tcPr>
          <w:p w:rsidR="00F71FAA" w:rsidRPr="00C34DE2" w:rsidRDefault="00F71FAA" w:rsidP="00B11C56">
            <w:pPr>
              <w:pStyle w:val="TableBlock"/>
            </w:pPr>
            <w:r>
              <w:rPr>
                <w:rFonts w:hint="cs"/>
                <w:rtl/>
              </w:rPr>
              <w:t xml:space="preserve">  תחילתן של תקנות אלו- 90 ימים מיום פרסומן</w:t>
            </w:r>
            <w:r w:rsidR="00156B0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156B0D" w:rsidTr="002B10C9">
        <w:trPr>
          <w:cantSplit/>
          <w:trHeight w:val="60"/>
        </w:trPr>
        <w:tc>
          <w:tcPr>
            <w:tcW w:w="1785" w:type="dxa"/>
          </w:tcPr>
          <w:p w:rsidR="00156B0D" w:rsidRDefault="00156B0D" w:rsidP="00156B0D">
            <w:pPr>
              <w:pStyle w:val="TableSideHeading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תוקף</w:t>
            </w:r>
          </w:p>
        </w:tc>
        <w:tc>
          <w:tcPr>
            <w:tcW w:w="851" w:type="dxa"/>
            <w:gridSpan w:val="2"/>
          </w:tcPr>
          <w:p w:rsidR="00156B0D" w:rsidRDefault="00156B0D" w:rsidP="00156B0D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7088" w:type="dxa"/>
            <w:gridSpan w:val="4"/>
          </w:tcPr>
          <w:p w:rsidR="00B11C56" w:rsidRPr="00B11C56" w:rsidRDefault="00156B0D" w:rsidP="00B11C56">
            <w:pPr>
              <w:pStyle w:val="TableBlock"/>
            </w:pPr>
            <w:r w:rsidRPr="00B11C56">
              <w:rPr>
                <w:rFonts w:hint="cs"/>
                <w:rtl/>
              </w:rPr>
              <w:t xml:space="preserve">תוקפן של תקנות 1(9) ו-(10) </w:t>
            </w:r>
            <w:r w:rsidR="00EA0F98" w:rsidRPr="00B11C56">
              <w:rPr>
                <w:rFonts w:hint="cs"/>
                <w:rtl/>
              </w:rPr>
              <w:t xml:space="preserve">לעניין בן הזוג של העובדים האמורים בתקנות אלו </w:t>
            </w:r>
            <w:r w:rsidRPr="00B11C56">
              <w:rPr>
                <w:rFonts w:hint="cs"/>
                <w:rtl/>
              </w:rPr>
              <w:t>יהיה בתוקף כל עוד תקנות הכניסה לישראל...</w:t>
            </w:r>
            <w:r w:rsidR="00B11C56" w:rsidRPr="00B11C56">
              <w:rPr>
                <w:rtl/>
              </w:rPr>
              <w:t xml:space="preserve"> (פטור מהיתר למתן אשרה ורישיון ישיבה לסוגי עובדים זרים) (הוראת שעה), </w:t>
            </w:r>
            <w:proofErr w:type="spellStart"/>
            <w:r w:rsidR="00B11C56" w:rsidRPr="00B11C56">
              <w:rPr>
                <w:rtl/>
              </w:rPr>
              <w:t>התשע"ח</w:t>
            </w:r>
            <w:proofErr w:type="spellEnd"/>
            <w:r w:rsidR="00B11C56" w:rsidRPr="00B11C56">
              <w:rPr>
                <w:rtl/>
              </w:rPr>
              <w:t xml:space="preserve"> </w:t>
            </w:r>
            <w:r w:rsidR="00B11C56">
              <w:rPr>
                <w:rtl/>
              </w:rPr>
              <w:t>–</w:t>
            </w:r>
            <w:r w:rsidR="00B11C56" w:rsidRPr="00B11C56">
              <w:rPr>
                <w:rtl/>
              </w:rPr>
              <w:t xml:space="preserve"> 2017</w:t>
            </w:r>
            <w:r w:rsidR="00B11C56">
              <w:rPr>
                <w:rFonts w:hint="cs"/>
                <w:rtl/>
              </w:rPr>
              <w:t xml:space="preserve"> בתוקף.</w:t>
            </w:r>
          </w:p>
          <w:tbl>
            <w:tblPr>
              <w:tblStyle w:val="TableNormal"/>
              <w:bidiVisual/>
              <w:tblW w:w="9698" w:type="dxa"/>
              <w:tblInd w:w="0" w:type="dxa"/>
              <w:tblLayout w:type="fixed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21"/>
              <w:gridCol w:w="610"/>
              <w:gridCol w:w="7267"/>
            </w:tblGrid>
            <w:tr w:rsidR="00B11C56" w:rsidRPr="00B11C56" w:rsidTr="00B11C56">
              <w:trPr>
                <w:cantSplit/>
                <w:trHeight w:val="60"/>
              </w:trPr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11C56" w:rsidRPr="00B11C56" w:rsidRDefault="00B11C56" w:rsidP="00B11C56">
                  <w:pPr>
                    <w:textAlignment w:val="auto"/>
                    <w:rPr>
                      <w:rFonts w:ascii="Calibri" w:eastAsia="Times New Roman" w:hAnsi="Calibri" w:cs="Times New Roman"/>
                      <w:color w:val="auto"/>
                      <w:spacing w:val="0"/>
                      <w:sz w:val="6"/>
                      <w:szCs w:val="20"/>
                      <w:lang w:eastAsia="en-US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11C56" w:rsidRPr="00B11C56" w:rsidRDefault="00B11C56" w:rsidP="00B11C56">
                  <w:pPr>
                    <w:textAlignment w:val="auto"/>
                    <w:rPr>
                      <w:rFonts w:ascii="Calibri" w:eastAsia="Times New Roman" w:hAnsi="Calibri" w:cs="Times New Roman"/>
                      <w:color w:val="auto"/>
                      <w:spacing w:val="0"/>
                      <w:sz w:val="6"/>
                      <w:szCs w:val="20"/>
                      <w:lang w:eastAsia="en-US"/>
                    </w:rPr>
                  </w:pPr>
                </w:p>
              </w:tc>
              <w:tc>
                <w:tcPr>
                  <w:tcW w:w="7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11C56" w:rsidRPr="00B11C56" w:rsidRDefault="00B11C56" w:rsidP="00B11C56">
                  <w:pPr>
                    <w:textAlignment w:val="auto"/>
                    <w:rPr>
                      <w:rFonts w:ascii="Calibri" w:eastAsia="Times New Roman" w:hAnsi="Calibri" w:cs="Times New Roman"/>
                      <w:color w:val="auto"/>
                      <w:spacing w:val="0"/>
                      <w:sz w:val="6"/>
                      <w:szCs w:val="20"/>
                      <w:lang w:eastAsia="en-US"/>
                    </w:rPr>
                  </w:pPr>
                </w:p>
              </w:tc>
            </w:tr>
          </w:tbl>
          <w:p w:rsidR="00156B0D" w:rsidRDefault="00156B0D" w:rsidP="00B11C56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F71FAA" w:rsidTr="002B10C9">
        <w:trPr>
          <w:gridAfter w:val="1"/>
          <w:wAfter w:w="316" w:type="dxa"/>
          <w:cantSplit/>
          <w:trHeight w:val="60"/>
        </w:trPr>
        <w:tc>
          <w:tcPr>
            <w:tcW w:w="1816" w:type="dxa"/>
            <w:gridSpan w:val="2"/>
          </w:tcPr>
          <w:p w:rsidR="00F71FAA" w:rsidRDefault="00F71FAA" w:rsidP="00AE5E4C">
            <w:pPr>
              <w:pStyle w:val="TableSideHeading"/>
            </w:pPr>
            <w:r>
              <w:rPr>
                <w:rFonts w:hint="cs"/>
                <w:rtl/>
              </w:rPr>
              <w:t>(</w:t>
            </w:r>
            <w:proofErr w:type="spellStart"/>
            <w:r>
              <w:rPr>
                <w:rFonts w:hint="cs"/>
                <w:rtl/>
              </w:rPr>
              <w:t>חמ</w:t>
            </w:r>
            <w:proofErr w:type="spellEnd"/>
            <w:r>
              <w:rPr>
                <w:rFonts w:hint="cs"/>
                <w:rtl/>
              </w:rPr>
              <w:t>-              )</w:t>
            </w:r>
          </w:p>
        </w:tc>
        <w:tc>
          <w:tcPr>
            <w:tcW w:w="820" w:type="dxa"/>
          </w:tcPr>
          <w:p w:rsidR="00F71FAA" w:rsidRDefault="00F71FAA" w:rsidP="005C6899">
            <w:pPr>
              <w:pStyle w:val="TableText"/>
            </w:pPr>
          </w:p>
        </w:tc>
        <w:tc>
          <w:tcPr>
            <w:tcW w:w="6772" w:type="dxa"/>
            <w:gridSpan w:val="3"/>
          </w:tcPr>
          <w:p w:rsidR="00F71FAA" w:rsidRDefault="00F71FAA" w:rsidP="003D3FEB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F71FAA" w:rsidRPr="00297139" w:rsidRDefault="00F71FAA" w:rsidP="000A6A4E">
            <w:pPr>
              <w:pStyle w:val="TableBlock"/>
              <w:rPr>
                <w:rtl/>
              </w:rPr>
            </w:pPr>
          </w:p>
          <w:p w:rsidR="00F71FAA" w:rsidRDefault="00F71FAA" w:rsidP="00AE5E4C">
            <w:pPr>
              <w:pStyle w:val="TableBlock"/>
              <w:rPr>
                <w:rtl/>
              </w:rPr>
            </w:pPr>
          </w:p>
          <w:p w:rsidR="00F71FAA" w:rsidRDefault="00F71FAA" w:rsidP="00AE5E4C">
            <w:pPr>
              <w:pStyle w:val="TableBlock"/>
              <w:rPr>
                <w:rtl/>
              </w:rPr>
            </w:pPr>
          </w:p>
          <w:p w:rsidR="00F71FAA" w:rsidRDefault="00F71FAA" w:rsidP="00AE5E4C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חיים כץ, </w:t>
            </w:r>
          </w:p>
          <w:p w:rsidR="00F71FAA" w:rsidRDefault="00F71FAA" w:rsidP="00AE5E4C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שר העבודה, הרווחה והשירותים החברתיים</w:t>
            </w:r>
          </w:p>
          <w:p w:rsidR="00156B0D" w:rsidRDefault="00156B0D" w:rsidP="00AE5E4C">
            <w:pPr>
              <w:pStyle w:val="TableBlock"/>
              <w:rPr>
                <w:rtl/>
              </w:rPr>
            </w:pPr>
          </w:p>
          <w:p w:rsidR="00156B0D" w:rsidRDefault="00156B0D" w:rsidP="00156B0D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אריה דרעי</w:t>
            </w:r>
          </w:p>
          <w:p w:rsidR="00156B0D" w:rsidRDefault="00156B0D" w:rsidP="00156B0D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שר הפנים</w:t>
            </w:r>
          </w:p>
          <w:p w:rsidR="00F71FAA" w:rsidRDefault="00F71FAA">
            <w:pPr>
              <w:pStyle w:val="TableBlock"/>
              <w:rPr>
                <w:rtl/>
              </w:rPr>
            </w:pPr>
          </w:p>
          <w:p w:rsidR="00F71FAA" w:rsidRDefault="00F71FAA" w:rsidP="00547877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____________  </w:t>
            </w:r>
            <w:proofErr w:type="spellStart"/>
            <w:r>
              <w:rPr>
                <w:rFonts w:hint="cs"/>
                <w:rtl/>
              </w:rPr>
              <w:t>התשע"</w:t>
            </w:r>
            <w:r w:rsidR="00547877">
              <w:rPr>
                <w:rFonts w:hint="cs"/>
                <w:rtl/>
              </w:rPr>
              <w:t>ח</w:t>
            </w:r>
            <w:proofErr w:type="spellEnd"/>
          </w:p>
          <w:p w:rsidR="00F71FAA" w:rsidRDefault="00F71FAA" w:rsidP="00AE5E4C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____________ 2017 </w:t>
            </w:r>
          </w:p>
          <w:p w:rsidR="00F71FAA" w:rsidRDefault="00F71FAA">
            <w:pPr>
              <w:pStyle w:val="TableBlock"/>
              <w:rPr>
                <w:rtl/>
              </w:rPr>
            </w:pPr>
          </w:p>
          <w:p w:rsidR="00F71FAA" w:rsidRPr="00C34DE2" w:rsidRDefault="00F71FAA">
            <w:pPr>
              <w:pStyle w:val="TableBlock"/>
            </w:pPr>
          </w:p>
        </w:tc>
      </w:tr>
      <w:tr w:rsidR="00156B0D" w:rsidTr="002B10C9">
        <w:trPr>
          <w:gridAfter w:val="1"/>
          <w:wAfter w:w="316" w:type="dxa"/>
          <w:cantSplit/>
          <w:trHeight w:val="60"/>
        </w:trPr>
        <w:tc>
          <w:tcPr>
            <w:tcW w:w="1816" w:type="dxa"/>
            <w:gridSpan w:val="2"/>
          </w:tcPr>
          <w:p w:rsidR="00156B0D" w:rsidRDefault="00156B0D" w:rsidP="00AE5E4C">
            <w:pPr>
              <w:pStyle w:val="TableSideHeading"/>
              <w:rPr>
                <w:rtl/>
              </w:rPr>
            </w:pPr>
          </w:p>
        </w:tc>
        <w:tc>
          <w:tcPr>
            <w:tcW w:w="820" w:type="dxa"/>
          </w:tcPr>
          <w:p w:rsidR="00156B0D" w:rsidRDefault="00156B0D" w:rsidP="005C6899">
            <w:pPr>
              <w:pStyle w:val="TableText"/>
            </w:pPr>
          </w:p>
        </w:tc>
        <w:tc>
          <w:tcPr>
            <w:tcW w:w="6772" w:type="dxa"/>
            <w:gridSpan w:val="3"/>
          </w:tcPr>
          <w:p w:rsidR="00156B0D" w:rsidRDefault="00156B0D" w:rsidP="003D3FEB">
            <w:pPr>
              <w:pStyle w:val="TableBlock"/>
              <w:rPr>
                <w:rtl/>
              </w:rPr>
            </w:pPr>
          </w:p>
        </w:tc>
      </w:tr>
      <w:tr w:rsidR="00156B0D" w:rsidTr="002B10C9">
        <w:trPr>
          <w:gridAfter w:val="1"/>
          <w:wAfter w:w="316" w:type="dxa"/>
          <w:cantSplit/>
          <w:trHeight w:val="60"/>
        </w:trPr>
        <w:tc>
          <w:tcPr>
            <w:tcW w:w="1816" w:type="dxa"/>
            <w:gridSpan w:val="2"/>
          </w:tcPr>
          <w:p w:rsidR="00156B0D" w:rsidRDefault="00156B0D" w:rsidP="00AE5E4C">
            <w:pPr>
              <w:pStyle w:val="TableSideHeading"/>
              <w:rPr>
                <w:rtl/>
              </w:rPr>
            </w:pPr>
          </w:p>
        </w:tc>
        <w:tc>
          <w:tcPr>
            <w:tcW w:w="820" w:type="dxa"/>
          </w:tcPr>
          <w:p w:rsidR="00156B0D" w:rsidRDefault="00156B0D" w:rsidP="005C6899">
            <w:pPr>
              <w:pStyle w:val="TableText"/>
            </w:pPr>
          </w:p>
        </w:tc>
        <w:tc>
          <w:tcPr>
            <w:tcW w:w="6772" w:type="dxa"/>
            <w:gridSpan w:val="3"/>
          </w:tcPr>
          <w:p w:rsidR="00156B0D" w:rsidRDefault="00156B0D" w:rsidP="003D3FEB">
            <w:pPr>
              <w:pStyle w:val="TableBlock"/>
              <w:rPr>
                <w:rtl/>
              </w:rPr>
            </w:pPr>
          </w:p>
        </w:tc>
      </w:tr>
    </w:tbl>
    <w:p w:rsidR="00D90B5D" w:rsidRDefault="00D90B5D">
      <w:pPr>
        <w:pStyle w:val="HeadDivreiHesber"/>
        <w:rPr>
          <w:rtl/>
        </w:rPr>
      </w:pPr>
    </w:p>
    <w:p w:rsidR="00D90B5D" w:rsidRDefault="00D90B5D">
      <w:pPr>
        <w:pStyle w:val="HeadDivreiHesber"/>
        <w:rPr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>דברי הסבר</w:t>
      </w:r>
    </w:p>
    <w:p w:rsidR="00D90B5D" w:rsidRPr="002213BB" w:rsidRDefault="00D90B5D">
      <w:pPr>
        <w:pStyle w:val="Hesber1st"/>
        <w:tabs>
          <w:tab w:val="clear" w:pos="680"/>
        </w:tabs>
        <w:rPr>
          <w:rtl/>
        </w:rPr>
      </w:pPr>
    </w:p>
    <w:p w:rsidR="00D90B5D" w:rsidRPr="004900A8" w:rsidRDefault="00D90B5D">
      <w:pPr>
        <w:pStyle w:val="HesberWriters"/>
        <w:spacing w:after="120"/>
        <w:rPr>
          <w:rtl/>
        </w:rPr>
      </w:pPr>
      <w:r>
        <w:rPr>
          <w:rtl/>
        </w:rPr>
        <w:t xml:space="preserve"> </w:t>
      </w:r>
    </w:p>
    <w:p w:rsidR="00D90B5D" w:rsidRDefault="00D90B5D"/>
    <w:p w:rsidR="00121CA5" w:rsidRDefault="002E22DC" w:rsidP="00930A78">
      <w:pPr>
        <w:pStyle w:val="Hesber1st"/>
        <w:tabs>
          <w:tab w:val="clear" w:pos="680"/>
        </w:tabs>
        <w:rPr>
          <w:rtl/>
        </w:rPr>
      </w:pPr>
      <w:r w:rsidRPr="002E22DC">
        <w:rPr>
          <w:rFonts w:hint="cs"/>
          <w:rtl/>
        </w:rPr>
        <w:t>סעיף 1י</w:t>
      </w:r>
      <w:r>
        <w:rPr>
          <w:rFonts w:hint="cs"/>
          <w:rtl/>
        </w:rPr>
        <w:t xml:space="preserve"> </w:t>
      </w:r>
      <w:r w:rsidR="00930A78">
        <w:rPr>
          <w:rFonts w:hint="cs"/>
          <w:rtl/>
        </w:rPr>
        <w:t xml:space="preserve">לחוק עובדים זרים, </w:t>
      </w:r>
      <w:proofErr w:type="spellStart"/>
      <w:r w:rsidR="00930A78">
        <w:rPr>
          <w:rFonts w:hint="cs"/>
          <w:rtl/>
        </w:rPr>
        <w:t>התשנ"א</w:t>
      </w:r>
      <w:proofErr w:type="spellEnd"/>
      <w:r w:rsidR="00930A78">
        <w:rPr>
          <w:rFonts w:hint="cs"/>
          <w:rtl/>
        </w:rPr>
        <w:t xml:space="preserve"> </w:t>
      </w:r>
      <w:r w:rsidR="00930A78">
        <w:rPr>
          <w:rtl/>
        </w:rPr>
        <w:t>–</w:t>
      </w:r>
      <w:r w:rsidR="00930A78">
        <w:rPr>
          <w:rFonts w:hint="cs"/>
          <w:rtl/>
        </w:rPr>
        <w:t xml:space="preserve"> 1991 (להלן "החוק") קובע כי מעסיק המבקש להעסיק עובד זר ישלם אגרת בקשה וכן אגרה שנתית בהתאם לקבוע בסעיף זה.</w:t>
      </w:r>
    </w:p>
    <w:p w:rsidR="00930A78" w:rsidRDefault="00930A78" w:rsidP="00930A78">
      <w:pPr>
        <w:pStyle w:val="Hesber1st"/>
        <w:tabs>
          <w:tab w:val="clear" w:pos="680"/>
        </w:tabs>
        <w:rPr>
          <w:rtl/>
        </w:rPr>
      </w:pPr>
      <w:r>
        <w:rPr>
          <w:rFonts w:hint="cs"/>
          <w:rtl/>
        </w:rPr>
        <w:t>סעיף 2י (ג)(2) לחוק קובע כך:</w:t>
      </w:r>
    </w:p>
    <w:p w:rsidR="00930A78" w:rsidRDefault="00930A78" w:rsidP="00930A78">
      <w:pPr>
        <w:pStyle w:val="Hesber1st"/>
        <w:tabs>
          <w:tab w:val="clear" w:pos="680"/>
        </w:tabs>
        <w:ind w:left="720" w:hanging="720"/>
        <w:rPr>
          <w:rStyle w:val="default"/>
          <w:rFonts w:cs="FrankRuehl"/>
          <w:rtl/>
        </w:rPr>
      </w:pPr>
      <w:r>
        <w:rPr>
          <w:rFonts w:hint="cs"/>
          <w:rtl/>
        </w:rPr>
        <w:t xml:space="preserve"> </w:t>
      </w:r>
      <w:r>
        <w:rPr>
          <w:rFonts w:cs="FrankRuehl"/>
          <w:sz w:val="26"/>
          <w:rtl/>
        </w:rPr>
        <w:tab/>
      </w:r>
      <w:r>
        <w:rPr>
          <w:rFonts w:cs="FrankRuehl" w:hint="cs"/>
          <w:sz w:val="26"/>
          <w:rtl/>
        </w:rPr>
        <w:t>"</w:t>
      </w:r>
      <w:r>
        <w:rPr>
          <w:rStyle w:val="default"/>
          <w:rFonts w:cs="FrankRuehl"/>
          <w:rtl/>
        </w:rPr>
        <w:t>(ג</w:t>
      </w:r>
      <w:r>
        <w:rPr>
          <w:rStyle w:val="default"/>
          <w:rFonts w:cs="FrankRuehl" w:hint="cs"/>
          <w:rtl/>
        </w:rPr>
        <w:t>)</w:t>
      </w:r>
      <w:r>
        <w:rPr>
          <w:rStyle w:val="default"/>
          <w:rFonts w:cs="FrankRuehl"/>
          <w:rtl/>
        </w:rPr>
        <w:tab/>
      </w:r>
      <w:r w:rsidRPr="00DB2FC2">
        <w:rPr>
          <w:rStyle w:val="default"/>
          <w:rFonts w:cs="FrankRuehl" w:hint="cs"/>
          <w:rtl/>
        </w:rPr>
        <w:t>שר הפנים, בהסכמת שר האוצר ולאחר התייעצות עם השר, רשאי</w:t>
      </w:r>
      <w:r>
        <w:rPr>
          <w:rStyle w:val="default"/>
          <w:rFonts w:cs="FrankRuehl" w:hint="cs"/>
          <w:rtl/>
        </w:rPr>
        <w:t>, ובאישור ועדת הכספים של הכנסת, לקבוע הוראות לענין דרכי תשלום אגרת בקשה ואגרה שנתית, וכן הוראות ותנאים בדבר:</w:t>
      </w:r>
    </w:p>
    <w:p w:rsidR="00930A78" w:rsidRDefault="00930A78" w:rsidP="00930A78">
      <w:pPr>
        <w:pStyle w:val="P00"/>
        <w:spacing w:before="72"/>
        <w:ind w:left="1440" w:right="1134" w:hanging="419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 </w:t>
      </w:r>
      <w:r>
        <w:rPr>
          <w:rStyle w:val="default"/>
          <w:rFonts w:cs="FrankRuehl" w:hint="cs"/>
          <w:rtl/>
        </w:rPr>
        <w:tab/>
        <w:t>(2)</w:t>
      </w:r>
      <w:r>
        <w:rPr>
          <w:rStyle w:val="default"/>
          <w:rFonts w:cs="FrankRuehl" w:hint="cs"/>
          <w:rtl/>
        </w:rPr>
        <w:tab/>
        <w:t>פטור או סכום מופחת של אגרת בקשה או אגרה שנתית, לגבי סוגי עובדים זרים, לגבי עובדים זרים בסוגי עבודה או בענפים מסוימים ולגבי עובדים זרים בתפקידים מסוימים, הכל כפי שיקבע;"</w:t>
      </w:r>
    </w:p>
    <w:p w:rsidR="00930A78" w:rsidRDefault="00930A78" w:rsidP="00930A78">
      <w:pPr>
        <w:pStyle w:val="P00"/>
        <w:spacing w:before="72"/>
        <w:ind w:left="1440" w:right="1134" w:hanging="419"/>
        <w:rPr>
          <w:rStyle w:val="default"/>
          <w:rFonts w:cs="FrankRuehl"/>
          <w:rtl/>
        </w:rPr>
      </w:pPr>
    </w:p>
    <w:p w:rsidR="008F42E2" w:rsidRPr="008F42E2" w:rsidRDefault="00930A78" w:rsidP="008F42E2">
      <w:pPr>
        <w:pStyle w:val="Hesber1st"/>
        <w:tabs>
          <w:tab w:val="clear" w:pos="680"/>
        </w:tabs>
        <w:rPr>
          <w:rFonts w:ascii="Verdana" w:hAnsi="Verdana"/>
          <w:rtl/>
        </w:rPr>
      </w:pPr>
      <w:r w:rsidRPr="00930A78">
        <w:rPr>
          <w:rFonts w:hint="cs"/>
          <w:rtl/>
        </w:rPr>
        <w:t>ב</w:t>
      </w:r>
      <w:r w:rsidR="008F42E2">
        <w:rPr>
          <w:rFonts w:hint="cs"/>
          <w:rtl/>
        </w:rPr>
        <w:t>סעיף 4  ל</w:t>
      </w:r>
      <w:r w:rsidRPr="00930A78">
        <w:rPr>
          <w:rFonts w:hint="cs"/>
          <w:rtl/>
        </w:rPr>
        <w:t xml:space="preserve">החלטת ממשלה 2292 מיום 15.1.2017 </w:t>
      </w:r>
      <w:r w:rsidR="008F42E2">
        <w:rPr>
          <w:rFonts w:ascii="Verdana" w:hAnsi="Verdana" w:hint="cs"/>
          <w:rtl/>
        </w:rPr>
        <w:t>(להלן "ההחלטה") נקבע כי: "</w:t>
      </w:r>
      <w:r w:rsidR="008F42E2">
        <w:rPr>
          <w:rFonts w:ascii="Verdana" w:hAnsi="Verdana"/>
          <w:rtl/>
        </w:rPr>
        <w:t>הממונה, כהגדרתו בסעיף1</w:t>
      </w:r>
      <w:r w:rsidR="008F42E2">
        <w:rPr>
          <w:rFonts w:ascii="Verdana" w:hAnsi="Verdana"/>
        </w:rPr>
        <w:t xml:space="preserve"> </w:t>
      </w:r>
      <w:r w:rsidR="008F42E2">
        <w:rPr>
          <w:rFonts w:ascii="Verdana" w:hAnsi="Verdana"/>
          <w:rtl/>
        </w:rPr>
        <w:t>לחוק עובדים זרים, התשנ"א-1991, יהא רשאי להתיר לכל היותר ל-500 עובדים זרים על</w:t>
      </w:r>
      <w:r w:rsidR="008F42E2">
        <w:rPr>
          <w:rFonts w:ascii="Verdana" w:hAnsi="Verdana"/>
        </w:rPr>
        <w:t xml:space="preserve"> </w:t>
      </w:r>
      <w:r w:rsidR="008F42E2">
        <w:rPr>
          <w:rFonts w:ascii="Verdana" w:hAnsi="Verdana"/>
          <w:rtl/>
        </w:rPr>
        <w:t>בסיס קדימות, לעבוד בחברת היי טק  בישראל, שאושרה על ידי הרשות הלאומית לחדשנות</w:t>
      </w:r>
      <w:r w:rsidR="008F42E2">
        <w:rPr>
          <w:rFonts w:ascii="Verdana" w:hAnsi="Verdana"/>
        </w:rPr>
        <w:t xml:space="preserve"> </w:t>
      </w:r>
      <w:r w:rsidR="008F42E2">
        <w:rPr>
          <w:rFonts w:ascii="Verdana" w:hAnsi="Verdana"/>
          <w:rtl/>
        </w:rPr>
        <w:t>טכנולוגית בהתאם לסעיף 8(א) להחלטה זו, במשך תקופה של עד שנה אחת מיום סיום התואר</w:t>
      </w:r>
      <w:r w:rsidR="008F42E2">
        <w:rPr>
          <w:rFonts w:ascii="Verdana" w:hAnsi="Verdana"/>
        </w:rPr>
        <w:t xml:space="preserve">. </w:t>
      </w:r>
      <w:r w:rsidR="008F42E2">
        <w:rPr>
          <w:rFonts w:ascii="Verdana" w:hAnsi="Verdana"/>
          <w:rtl/>
        </w:rPr>
        <w:t>זאת, ללא צורך בתשלום שכר בגובה פעמיים השכר הממוצע במשק ובתנאי שהוכיחו כי סיימו</w:t>
      </w:r>
      <w:r w:rsidR="008F42E2">
        <w:rPr>
          <w:rFonts w:ascii="Verdana" w:hAnsi="Verdana"/>
        </w:rPr>
        <w:t xml:space="preserve"> </w:t>
      </w:r>
      <w:r w:rsidR="008F42E2">
        <w:rPr>
          <w:rFonts w:ascii="Verdana" w:hAnsi="Verdana"/>
          <w:rtl/>
        </w:rPr>
        <w:t>תואר אקדמי מלא במוסד להשכלה גבוהה בישראל באחד מהתחומים הבאים: הנדסת חשמל</w:t>
      </w:r>
      <w:r w:rsidR="008F42E2">
        <w:rPr>
          <w:rFonts w:ascii="Verdana" w:hAnsi="Verdana"/>
        </w:rPr>
        <w:t xml:space="preserve">, </w:t>
      </w:r>
      <w:r w:rsidR="008F42E2">
        <w:rPr>
          <w:rFonts w:ascii="Verdana" w:hAnsi="Verdana"/>
          <w:rtl/>
        </w:rPr>
        <w:t>אלקטרוניקה, מחשבים מערכות מידע, ומדעי המחשב (להלן - מקצועות ההיי-טק). לעניין זה</w:t>
      </w:r>
      <w:r w:rsidR="008F42E2">
        <w:rPr>
          <w:rFonts w:ascii="Verdana" w:hAnsi="Verdana"/>
        </w:rPr>
        <w:t xml:space="preserve">, </w:t>
      </w:r>
      <w:r w:rsidR="008F42E2">
        <w:rPr>
          <w:rFonts w:ascii="Verdana" w:hAnsi="Verdana"/>
          <w:rtl/>
        </w:rPr>
        <w:t>להטיל על שר העבודה, הרווחה והשירותים החברתיים, בהסכמת שר הפנים ושר האוצר ובאישור</w:t>
      </w:r>
      <w:r w:rsidR="008F42E2">
        <w:rPr>
          <w:rFonts w:ascii="Verdana" w:hAnsi="Verdana"/>
        </w:rPr>
        <w:t xml:space="preserve"> </w:t>
      </w:r>
      <w:r w:rsidR="008F42E2">
        <w:rPr>
          <w:rFonts w:ascii="Verdana" w:hAnsi="Verdana"/>
          <w:rtl/>
        </w:rPr>
        <w:t>ועדת הכספים של הכנסת וועדת העבודה, הרווחה והבריאות של הכנסת, לתקן את תקנות</w:t>
      </w:r>
      <w:r w:rsidR="008F42E2">
        <w:rPr>
          <w:rFonts w:ascii="Verdana" w:hAnsi="Verdana"/>
        </w:rPr>
        <w:t xml:space="preserve"> </w:t>
      </w:r>
      <w:r w:rsidR="008F42E2">
        <w:rPr>
          <w:rFonts w:ascii="Verdana" w:hAnsi="Verdana"/>
          <w:rtl/>
        </w:rPr>
        <w:t>עובדים זרים (פטורים למעסיקי מומחים זרים), התשס"ז-2007, כך שכל הפטורים לפי תקנות</w:t>
      </w:r>
      <w:r w:rsidR="008F42E2">
        <w:rPr>
          <w:rFonts w:ascii="Verdana" w:hAnsi="Verdana"/>
        </w:rPr>
        <w:t xml:space="preserve"> </w:t>
      </w:r>
      <w:r w:rsidR="008F42E2">
        <w:rPr>
          <w:rFonts w:ascii="Verdana" w:hAnsi="Verdana"/>
          <w:rtl/>
        </w:rPr>
        <w:t>אלו יחולו על מעסיק של עובד זר כאמור בסעיף זה</w:t>
      </w:r>
      <w:r w:rsidR="008F42E2">
        <w:rPr>
          <w:rFonts w:ascii="Verdana" w:hAnsi="Verdana"/>
        </w:rPr>
        <w:t>".</w:t>
      </w:r>
    </w:p>
    <w:p w:rsidR="008F42E2" w:rsidRDefault="00930A78" w:rsidP="008F42E2">
      <w:pPr>
        <w:pStyle w:val="Hesber1st"/>
        <w:tabs>
          <w:tab w:val="clear" w:pos="680"/>
        </w:tabs>
        <w:rPr>
          <w:rFonts w:ascii="Verdana" w:hAnsi="Verdana"/>
          <w:rtl/>
        </w:rPr>
      </w:pPr>
      <w:r>
        <w:rPr>
          <w:rFonts w:ascii="Verdana" w:hAnsi="Verdana"/>
          <w:rtl/>
        </w:rPr>
        <w:t xml:space="preserve"> </w:t>
      </w:r>
      <w:r w:rsidR="008F42E2">
        <w:rPr>
          <w:rFonts w:ascii="Verdana" w:hAnsi="Verdana" w:hint="cs"/>
          <w:rtl/>
        </w:rPr>
        <w:t>בסעיף 8 לאותה החלטה נקבע כי "</w:t>
      </w:r>
      <w:r>
        <w:rPr>
          <w:rFonts w:ascii="Verdana" w:hAnsi="Verdana"/>
          <w:rtl/>
        </w:rPr>
        <w:t>על שר העבודה, הרווחה והשירותים החברתיים, בהסכמת שר הפנים ושר האוצר ובאישור</w:t>
      </w:r>
      <w:r>
        <w:rPr>
          <w:rFonts w:ascii="Verdana" w:hAnsi="Verdana"/>
        </w:rPr>
        <w:t xml:space="preserve"> </w:t>
      </w:r>
      <w:r>
        <w:rPr>
          <w:rFonts w:ascii="Verdana" w:hAnsi="Verdana"/>
          <w:rtl/>
        </w:rPr>
        <w:t>ועדת הכספים וועדת העבודה, הרווחה והבריאות של הכנסת, לתקן בתוך 90 יום מקבלת החלטה</w:t>
      </w:r>
      <w:r>
        <w:rPr>
          <w:rFonts w:ascii="Verdana" w:hAnsi="Verdana"/>
        </w:rPr>
        <w:t xml:space="preserve"> </w:t>
      </w:r>
      <w:r>
        <w:rPr>
          <w:rFonts w:ascii="Verdana" w:hAnsi="Verdana"/>
          <w:rtl/>
        </w:rPr>
        <w:t>זו את תקנות עובדים זרים (פטורים למעסיקי מומחים זרים), התשס"ז-2007, כך שמומחים</w:t>
      </w:r>
      <w:r>
        <w:rPr>
          <w:rFonts w:ascii="Verdana" w:hAnsi="Verdana"/>
        </w:rPr>
        <w:t xml:space="preserve"> </w:t>
      </w:r>
      <w:r>
        <w:rPr>
          <w:rFonts w:ascii="Verdana" w:hAnsi="Verdana"/>
          <w:rtl/>
        </w:rPr>
        <w:t>זרים בהיי-טק ובני זוגם יתווספו לרשימת התפקידים המנויים בהגדרה של "עובד זר מומחה</w:t>
      </w:r>
      <w:r>
        <w:rPr>
          <w:rFonts w:ascii="Verdana" w:hAnsi="Verdana"/>
        </w:rPr>
        <w:t xml:space="preserve">" </w:t>
      </w:r>
      <w:r>
        <w:rPr>
          <w:rFonts w:ascii="Verdana" w:hAnsi="Verdana"/>
          <w:rtl/>
        </w:rPr>
        <w:t>הקבועה בתקנה 1 לתקנות אלו. בנוסף, תתוקן גם תקנה 4 לתקנות, כך שלא יחול על</w:t>
      </w:r>
      <w:r>
        <w:rPr>
          <w:rFonts w:ascii="Verdana" w:hAnsi="Verdana"/>
        </w:rPr>
        <w:t xml:space="preserve"> </w:t>
      </w:r>
      <w:r>
        <w:rPr>
          <w:rFonts w:ascii="Verdana" w:hAnsi="Verdana"/>
          <w:rtl/>
        </w:rPr>
        <w:t>מעסיקיהם פטור מאגרה שנתית ביחס למומחים זרים בהיי-טק</w:t>
      </w:r>
      <w:r w:rsidR="008F42E2">
        <w:rPr>
          <w:rFonts w:ascii="Verdana" w:hAnsi="Verdana" w:hint="cs"/>
          <w:rtl/>
        </w:rPr>
        <w:t>".</w:t>
      </w:r>
    </w:p>
    <w:p w:rsidR="008F42E2" w:rsidRDefault="008F42E2" w:rsidP="008F42E2">
      <w:pPr>
        <w:pStyle w:val="Hesber1st"/>
        <w:tabs>
          <w:tab w:val="clear" w:pos="680"/>
        </w:tabs>
        <w:rPr>
          <w:rFonts w:ascii="Verdana" w:hAnsi="Verdana"/>
          <w:rtl/>
        </w:rPr>
      </w:pPr>
    </w:p>
    <w:p w:rsidR="002E22DC" w:rsidRPr="002E22DC" w:rsidRDefault="008F42E2" w:rsidP="004F27AB">
      <w:pPr>
        <w:pStyle w:val="Hesber1st"/>
        <w:tabs>
          <w:tab w:val="clear" w:pos="680"/>
        </w:tabs>
      </w:pPr>
      <w:r>
        <w:rPr>
          <w:rFonts w:ascii="Verdana" w:hAnsi="Verdana" w:hint="cs"/>
          <w:rtl/>
        </w:rPr>
        <w:t>לאור החלט</w:t>
      </w:r>
      <w:r w:rsidR="004F27AB">
        <w:rPr>
          <w:rFonts w:ascii="Verdana" w:hAnsi="Verdana" w:hint="cs"/>
          <w:rtl/>
        </w:rPr>
        <w:t>ת הממשלה לעיל</w:t>
      </w:r>
      <w:r w:rsidR="004F27AB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4F27AB">
        <w:rPr>
          <w:rFonts w:hint="cs"/>
          <w:rtl/>
        </w:rPr>
        <w:t>מוצע תיקון</w:t>
      </w:r>
      <w:r>
        <w:rPr>
          <w:rFonts w:hint="cs"/>
          <w:rtl/>
        </w:rPr>
        <w:t xml:space="preserve"> </w:t>
      </w:r>
      <w:r w:rsidR="004F27AB">
        <w:rPr>
          <w:rFonts w:hint="cs"/>
          <w:rtl/>
        </w:rPr>
        <w:t xml:space="preserve">של </w:t>
      </w:r>
      <w:r>
        <w:rPr>
          <w:rFonts w:hint="cs"/>
          <w:rtl/>
        </w:rPr>
        <w:t xml:space="preserve">תקנות </w:t>
      </w:r>
      <w:r w:rsidR="004F27AB">
        <w:rPr>
          <w:rFonts w:hint="cs"/>
          <w:rtl/>
        </w:rPr>
        <w:t xml:space="preserve">עובדים זרים (פטורים למעסיקי מומחים זרים), תשס"ז-2007. </w:t>
      </w:r>
      <w:r>
        <w:rPr>
          <w:rFonts w:hint="cs"/>
          <w:rtl/>
        </w:rPr>
        <w:t xml:space="preserve"> </w:t>
      </w:r>
    </w:p>
    <w:sectPr w:rsidR="002E22DC" w:rsidRPr="002E22DC" w:rsidSect="00483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CE9516" w15:done="0"/>
  <w15:commentEx w15:paraId="5A3A4721" w15:done="0"/>
  <w15:commentEx w15:paraId="0CB2FF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3F" w:rsidRDefault="00EE5C3F" w:rsidP="00BB2717">
      <w:pPr>
        <w:spacing w:before="0" w:line="240" w:lineRule="auto"/>
      </w:pPr>
      <w:r>
        <w:separator/>
      </w:r>
    </w:p>
  </w:endnote>
  <w:endnote w:type="continuationSeparator" w:id="0">
    <w:p w:rsidR="00EE5C3F" w:rsidRDefault="00EE5C3F" w:rsidP="00BB27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3F" w:rsidRDefault="00EE5C3F" w:rsidP="00BB2717">
      <w:pPr>
        <w:spacing w:before="0" w:line="240" w:lineRule="auto"/>
      </w:pPr>
      <w:r>
        <w:separator/>
      </w:r>
    </w:p>
  </w:footnote>
  <w:footnote w:type="continuationSeparator" w:id="0">
    <w:p w:rsidR="00EE5C3F" w:rsidRDefault="00EE5C3F" w:rsidP="00BB2717">
      <w:pPr>
        <w:spacing w:before="0" w:line="240" w:lineRule="auto"/>
      </w:pPr>
      <w:r>
        <w:continuationSeparator/>
      </w:r>
    </w:p>
  </w:footnote>
  <w:footnote w:id="1">
    <w:p w:rsidR="00DD24CC" w:rsidRPr="0012690F" w:rsidRDefault="00DD24CC" w:rsidP="0012690F">
      <w:pPr>
        <w:pStyle w:val="a5"/>
        <w:ind w:left="0" w:firstLine="0"/>
        <w:rPr>
          <w:rtl/>
        </w:rPr>
      </w:pPr>
      <w:r w:rsidRPr="0012690F">
        <w:rPr>
          <w:rStyle w:val="a7"/>
        </w:rPr>
        <w:footnoteRef/>
      </w:r>
      <w:r w:rsidRPr="0012690F">
        <w:rPr>
          <w:rtl/>
        </w:rPr>
        <w:t xml:space="preserve"> </w:t>
      </w:r>
      <w:r w:rsidRPr="0012690F">
        <w:rPr>
          <w:rFonts w:hint="cs"/>
          <w:rtl/>
        </w:rPr>
        <w:t xml:space="preserve">ס"ח </w:t>
      </w:r>
      <w:proofErr w:type="spellStart"/>
      <w:r w:rsidRPr="0012690F">
        <w:rPr>
          <w:rFonts w:hint="cs"/>
          <w:rtl/>
        </w:rPr>
        <w:t>התשנ"א</w:t>
      </w:r>
      <w:proofErr w:type="spellEnd"/>
      <w:r w:rsidRPr="0012690F">
        <w:rPr>
          <w:rFonts w:hint="cs"/>
          <w:rtl/>
        </w:rPr>
        <w:t xml:space="preserve">, עמ' 112; </w:t>
      </w:r>
      <w:proofErr w:type="spellStart"/>
      <w:r w:rsidRPr="0012690F">
        <w:rPr>
          <w:rFonts w:hint="cs"/>
          <w:rtl/>
        </w:rPr>
        <w:t>התשס"ה</w:t>
      </w:r>
      <w:proofErr w:type="spellEnd"/>
      <w:r w:rsidRPr="0012690F">
        <w:rPr>
          <w:rFonts w:hint="cs"/>
          <w:rtl/>
        </w:rPr>
        <w:t>, עמ' 360.</w:t>
      </w:r>
    </w:p>
  </w:footnote>
  <w:footnote w:id="2">
    <w:p w:rsidR="00DD24CC" w:rsidRPr="0012690F" w:rsidRDefault="00DD24CC" w:rsidP="00AE5E4C">
      <w:pPr>
        <w:pStyle w:val="a5"/>
        <w:ind w:left="0" w:firstLine="0"/>
        <w:rPr>
          <w:rtl/>
        </w:rPr>
      </w:pPr>
      <w:r w:rsidRPr="0012690F">
        <w:rPr>
          <w:rStyle w:val="a7"/>
        </w:rPr>
        <w:footnoteRef/>
      </w:r>
      <w:r w:rsidRPr="0012690F">
        <w:rPr>
          <w:rtl/>
        </w:rPr>
        <w:t xml:space="preserve"> </w:t>
      </w:r>
      <w:proofErr w:type="spellStart"/>
      <w:r w:rsidRPr="0012690F">
        <w:rPr>
          <w:rFonts w:hint="cs"/>
          <w:rtl/>
        </w:rPr>
        <w:t>ק"ת</w:t>
      </w:r>
      <w:proofErr w:type="spellEnd"/>
      <w:r w:rsidRPr="0012690F">
        <w:rPr>
          <w:rFonts w:hint="cs"/>
          <w:rtl/>
        </w:rPr>
        <w:t xml:space="preserve"> תשס"ז, עמ' 470.</w:t>
      </w:r>
    </w:p>
  </w:footnote>
  <w:footnote w:id="3">
    <w:p w:rsidR="005724CF" w:rsidRPr="0012690F" w:rsidRDefault="005724CF" w:rsidP="005724CF">
      <w:pPr>
        <w:pStyle w:val="a5"/>
        <w:rPr>
          <w:rtl/>
        </w:rPr>
      </w:pPr>
      <w:r w:rsidRPr="0012690F">
        <w:rPr>
          <w:rStyle w:val="a7"/>
        </w:rPr>
        <w:footnoteRef/>
      </w:r>
      <w:r w:rsidRPr="0012690F">
        <w:rPr>
          <w:rtl/>
        </w:rPr>
        <w:t xml:space="preserve"> </w:t>
      </w:r>
      <w:r w:rsidRPr="0012690F">
        <w:rPr>
          <w:rFonts w:hint="cs"/>
          <w:rtl/>
        </w:rPr>
        <w:t xml:space="preserve">ס"ח </w:t>
      </w:r>
      <w:proofErr w:type="spellStart"/>
      <w:r w:rsidRPr="0012690F">
        <w:rPr>
          <w:rFonts w:hint="cs"/>
          <w:rtl/>
        </w:rPr>
        <w:t>התשמ"ד</w:t>
      </w:r>
      <w:proofErr w:type="spellEnd"/>
      <w:r w:rsidRPr="0012690F">
        <w:rPr>
          <w:rFonts w:hint="cs"/>
          <w:rtl/>
        </w:rPr>
        <w:t xml:space="preserve">, עמ' 100; </w:t>
      </w:r>
      <w:proofErr w:type="spellStart"/>
      <w:r w:rsidRPr="0012690F">
        <w:rPr>
          <w:rFonts w:hint="cs"/>
          <w:rtl/>
        </w:rPr>
        <w:t>התשע"ה</w:t>
      </w:r>
      <w:proofErr w:type="spellEnd"/>
      <w:r w:rsidRPr="0012690F">
        <w:rPr>
          <w:rFonts w:hint="cs"/>
          <w:rtl/>
        </w:rPr>
        <w:t>, עמ' 256.</w:t>
      </w:r>
    </w:p>
  </w:footnote>
  <w:footnote w:id="4">
    <w:p w:rsidR="00F55BB2" w:rsidRPr="0012690F" w:rsidRDefault="00F55BB2" w:rsidP="00F55BB2">
      <w:pPr>
        <w:pStyle w:val="a5"/>
      </w:pPr>
      <w:r w:rsidRPr="0012690F">
        <w:rPr>
          <w:rStyle w:val="a7"/>
        </w:rPr>
        <w:footnoteRef/>
      </w:r>
      <w:r w:rsidRPr="0012690F">
        <w:rPr>
          <w:rtl/>
        </w:rPr>
        <w:t xml:space="preserve"> </w:t>
      </w:r>
      <w:r w:rsidRPr="0012690F">
        <w:rPr>
          <w:rFonts w:hint="cs"/>
          <w:rtl/>
        </w:rPr>
        <w:t>ס</w:t>
      </w:r>
      <w:r w:rsidRPr="0012690F">
        <w:rPr>
          <w:rtl/>
        </w:rPr>
        <w:t xml:space="preserve">"ח </w:t>
      </w:r>
      <w:r w:rsidRPr="0012690F">
        <w:rPr>
          <w:rFonts w:hint="cs"/>
          <w:rtl/>
        </w:rPr>
        <w:t xml:space="preserve">תשנ"ה , </w:t>
      </w:r>
      <w:r w:rsidRPr="0012690F">
        <w:rPr>
          <w:rtl/>
        </w:rPr>
        <w:t>עמ</w:t>
      </w:r>
      <w:r w:rsidRPr="0012690F">
        <w:rPr>
          <w:rFonts w:hint="cs"/>
          <w:rtl/>
        </w:rPr>
        <w:t>' 210;</w:t>
      </w:r>
    </w:p>
  </w:footnote>
  <w:footnote w:id="5">
    <w:p w:rsidR="00F55BB2" w:rsidRPr="0012690F" w:rsidRDefault="00F55BB2" w:rsidP="00F55BB2">
      <w:pPr>
        <w:pStyle w:val="a5"/>
      </w:pPr>
      <w:r w:rsidRPr="0012690F">
        <w:rPr>
          <w:rStyle w:val="a7"/>
        </w:rPr>
        <w:footnoteRef/>
      </w:r>
      <w:r w:rsidRPr="0012690F">
        <w:rPr>
          <w:rtl/>
        </w:rPr>
        <w:t xml:space="preserve"> </w:t>
      </w:r>
      <w:r w:rsidRPr="0012690F">
        <w:rPr>
          <w:rFonts w:hint="cs"/>
          <w:rtl/>
        </w:rPr>
        <w:t xml:space="preserve">ס"ח </w:t>
      </w:r>
      <w:proofErr w:type="spellStart"/>
      <w:r w:rsidRPr="0012690F">
        <w:rPr>
          <w:rFonts w:hint="cs"/>
          <w:rtl/>
        </w:rPr>
        <w:t>התשי"ח</w:t>
      </w:r>
      <w:proofErr w:type="spellEnd"/>
      <w:r w:rsidRPr="0012690F">
        <w:rPr>
          <w:rFonts w:hint="cs"/>
          <w:rtl/>
        </w:rPr>
        <w:t xml:space="preserve">, </w:t>
      </w:r>
      <w:proofErr w:type="spellStart"/>
      <w:r w:rsidRPr="0012690F">
        <w:rPr>
          <w:rFonts w:hint="cs"/>
          <w:rtl/>
        </w:rPr>
        <w:t>עמ</w:t>
      </w:r>
      <w:proofErr w:type="spellEnd"/>
      <w:r w:rsidRPr="0012690F">
        <w:rPr>
          <w:rFonts w:hint="cs"/>
          <w:rtl/>
        </w:rPr>
        <w:t>, 191.</w:t>
      </w:r>
    </w:p>
  </w:footnote>
  <w:footnote w:id="6">
    <w:p w:rsidR="00F55BB2" w:rsidRDefault="00F55BB2" w:rsidP="00F55BB2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התשי"ח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>, 191.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F473E31"/>
    <w:multiLevelType w:val="hybridMultilevel"/>
    <w:tmpl w:val="CA08323E"/>
    <w:lvl w:ilvl="0" w:tplc="8684E682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B5799"/>
    <w:multiLevelType w:val="hybridMultilevel"/>
    <w:tmpl w:val="11DC7BE0"/>
    <w:lvl w:ilvl="0" w:tplc="C25019E6">
      <w:start w:val="2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41F0A"/>
    <w:multiLevelType w:val="hybridMultilevel"/>
    <w:tmpl w:val="28FEE43C"/>
    <w:lvl w:ilvl="0" w:tplc="F77A83A0">
      <w:start w:val="1"/>
      <w:numFmt w:val="hebrew1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5363"/>
    <w:multiLevelType w:val="hybridMultilevel"/>
    <w:tmpl w:val="6FCC524E"/>
    <w:lvl w:ilvl="0" w:tplc="56D82FCE">
      <w:start w:val="2"/>
      <w:numFmt w:val="hebrew1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67462"/>
    <w:multiLevelType w:val="hybridMultilevel"/>
    <w:tmpl w:val="CA162142"/>
    <w:lvl w:ilvl="0" w:tplc="660AFC0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mri Golan">
    <w15:presenceInfo w15:providerId="AD" w15:userId="S-1-5-21-881286932-2090752474-10498456-7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5D"/>
    <w:rsid w:val="0000188B"/>
    <w:rsid w:val="00004350"/>
    <w:rsid w:val="00012578"/>
    <w:rsid w:val="00026CE8"/>
    <w:rsid w:val="00030375"/>
    <w:rsid w:val="000661A6"/>
    <w:rsid w:val="00071FB7"/>
    <w:rsid w:val="000802F2"/>
    <w:rsid w:val="000A6A4E"/>
    <w:rsid w:val="000B7287"/>
    <w:rsid w:val="00121150"/>
    <w:rsid w:val="00121CA5"/>
    <w:rsid w:val="001245A4"/>
    <w:rsid w:val="0012690F"/>
    <w:rsid w:val="00156B0D"/>
    <w:rsid w:val="00171B34"/>
    <w:rsid w:val="001911D1"/>
    <w:rsid w:val="00195A45"/>
    <w:rsid w:val="001A6234"/>
    <w:rsid w:val="001E7745"/>
    <w:rsid w:val="001F01EF"/>
    <w:rsid w:val="00225C70"/>
    <w:rsid w:val="00255134"/>
    <w:rsid w:val="00261F0F"/>
    <w:rsid w:val="00281EF0"/>
    <w:rsid w:val="00297139"/>
    <w:rsid w:val="002B0D60"/>
    <w:rsid w:val="002B10C9"/>
    <w:rsid w:val="002B7764"/>
    <w:rsid w:val="002C23CA"/>
    <w:rsid w:val="002D1C5F"/>
    <w:rsid w:val="002E17E9"/>
    <w:rsid w:val="002E22DC"/>
    <w:rsid w:val="002F373C"/>
    <w:rsid w:val="00332AF0"/>
    <w:rsid w:val="00344A11"/>
    <w:rsid w:val="00355722"/>
    <w:rsid w:val="00377F16"/>
    <w:rsid w:val="003A0E75"/>
    <w:rsid w:val="003A5650"/>
    <w:rsid w:val="003B188B"/>
    <w:rsid w:val="003B764E"/>
    <w:rsid w:val="003C12FE"/>
    <w:rsid w:val="003C4329"/>
    <w:rsid w:val="003D2FAA"/>
    <w:rsid w:val="003D3FEB"/>
    <w:rsid w:val="003E785E"/>
    <w:rsid w:val="004023CB"/>
    <w:rsid w:val="0041508F"/>
    <w:rsid w:val="00432B84"/>
    <w:rsid w:val="00453B5C"/>
    <w:rsid w:val="004552A8"/>
    <w:rsid w:val="00472F00"/>
    <w:rsid w:val="004830BC"/>
    <w:rsid w:val="00483CA6"/>
    <w:rsid w:val="004847EA"/>
    <w:rsid w:val="004851D1"/>
    <w:rsid w:val="004941AB"/>
    <w:rsid w:val="004A18CA"/>
    <w:rsid w:val="004A2479"/>
    <w:rsid w:val="004A67BC"/>
    <w:rsid w:val="004A7A9A"/>
    <w:rsid w:val="004D0C72"/>
    <w:rsid w:val="004D4F51"/>
    <w:rsid w:val="004F27AB"/>
    <w:rsid w:val="005074B0"/>
    <w:rsid w:val="00507773"/>
    <w:rsid w:val="00533707"/>
    <w:rsid w:val="005408E4"/>
    <w:rsid w:val="00547877"/>
    <w:rsid w:val="005724CF"/>
    <w:rsid w:val="005C14A3"/>
    <w:rsid w:val="005C6899"/>
    <w:rsid w:val="005D0A54"/>
    <w:rsid w:val="005E5ABB"/>
    <w:rsid w:val="005F48D1"/>
    <w:rsid w:val="00633035"/>
    <w:rsid w:val="0064495B"/>
    <w:rsid w:val="00666BB6"/>
    <w:rsid w:val="00671729"/>
    <w:rsid w:val="00681CF5"/>
    <w:rsid w:val="00694420"/>
    <w:rsid w:val="006E4542"/>
    <w:rsid w:val="006F4873"/>
    <w:rsid w:val="00700B9A"/>
    <w:rsid w:val="007131AB"/>
    <w:rsid w:val="0072024B"/>
    <w:rsid w:val="00726DE9"/>
    <w:rsid w:val="00760523"/>
    <w:rsid w:val="0078236B"/>
    <w:rsid w:val="00796118"/>
    <w:rsid w:val="007A53A9"/>
    <w:rsid w:val="007B11D6"/>
    <w:rsid w:val="007C7C1E"/>
    <w:rsid w:val="007E2510"/>
    <w:rsid w:val="008224A0"/>
    <w:rsid w:val="00830896"/>
    <w:rsid w:val="00867AEB"/>
    <w:rsid w:val="00887C56"/>
    <w:rsid w:val="008A4F56"/>
    <w:rsid w:val="008B379B"/>
    <w:rsid w:val="008F42E2"/>
    <w:rsid w:val="008F4AA6"/>
    <w:rsid w:val="00904A5B"/>
    <w:rsid w:val="00930A78"/>
    <w:rsid w:val="00937AAF"/>
    <w:rsid w:val="00971A9B"/>
    <w:rsid w:val="009A35BA"/>
    <w:rsid w:val="009C770C"/>
    <w:rsid w:val="009E2C32"/>
    <w:rsid w:val="00A06075"/>
    <w:rsid w:val="00A065BD"/>
    <w:rsid w:val="00A12306"/>
    <w:rsid w:val="00A15B76"/>
    <w:rsid w:val="00A1603A"/>
    <w:rsid w:val="00A2121F"/>
    <w:rsid w:val="00A45201"/>
    <w:rsid w:val="00A560C5"/>
    <w:rsid w:val="00A71105"/>
    <w:rsid w:val="00A75D03"/>
    <w:rsid w:val="00A7793E"/>
    <w:rsid w:val="00A92A0E"/>
    <w:rsid w:val="00A93E97"/>
    <w:rsid w:val="00AB68EB"/>
    <w:rsid w:val="00AC24A0"/>
    <w:rsid w:val="00AD03C4"/>
    <w:rsid w:val="00AD3F79"/>
    <w:rsid w:val="00AD6382"/>
    <w:rsid w:val="00AE2B2A"/>
    <w:rsid w:val="00AE2D9A"/>
    <w:rsid w:val="00AE5E4C"/>
    <w:rsid w:val="00AE628E"/>
    <w:rsid w:val="00B0163F"/>
    <w:rsid w:val="00B11C56"/>
    <w:rsid w:val="00B3564A"/>
    <w:rsid w:val="00B45359"/>
    <w:rsid w:val="00BA3801"/>
    <w:rsid w:val="00BA6C6A"/>
    <w:rsid w:val="00BB2717"/>
    <w:rsid w:val="00BD60CA"/>
    <w:rsid w:val="00C05010"/>
    <w:rsid w:val="00C063F3"/>
    <w:rsid w:val="00C207EC"/>
    <w:rsid w:val="00C21155"/>
    <w:rsid w:val="00C22647"/>
    <w:rsid w:val="00C26EB1"/>
    <w:rsid w:val="00C30AA0"/>
    <w:rsid w:val="00C56971"/>
    <w:rsid w:val="00C60999"/>
    <w:rsid w:val="00C75C4A"/>
    <w:rsid w:val="00C86CB5"/>
    <w:rsid w:val="00CE0F24"/>
    <w:rsid w:val="00D268B6"/>
    <w:rsid w:val="00D315C4"/>
    <w:rsid w:val="00D33CD1"/>
    <w:rsid w:val="00D33E1F"/>
    <w:rsid w:val="00D447C1"/>
    <w:rsid w:val="00D4780D"/>
    <w:rsid w:val="00D604CB"/>
    <w:rsid w:val="00D6109A"/>
    <w:rsid w:val="00D77353"/>
    <w:rsid w:val="00D90463"/>
    <w:rsid w:val="00D90B5D"/>
    <w:rsid w:val="00DD24CC"/>
    <w:rsid w:val="00DD7782"/>
    <w:rsid w:val="00DF60D7"/>
    <w:rsid w:val="00E22DE0"/>
    <w:rsid w:val="00E361CF"/>
    <w:rsid w:val="00E51FA6"/>
    <w:rsid w:val="00E95591"/>
    <w:rsid w:val="00E96A22"/>
    <w:rsid w:val="00EA0F98"/>
    <w:rsid w:val="00EA412A"/>
    <w:rsid w:val="00EB5DA7"/>
    <w:rsid w:val="00EE5C3F"/>
    <w:rsid w:val="00EF0680"/>
    <w:rsid w:val="00F00666"/>
    <w:rsid w:val="00F15766"/>
    <w:rsid w:val="00F447AC"/>
    <w:rsid w:val="00F55BB2"/>
    <w:rsid w:val="00F71FAA"/>
    <w:rsid w:val="00F8720C"/>
    <w:rsid w:val="00FB364E"/>
    <w:rsid w:val="00FB69F3"/>
    <w:rsid w:val="00FC2240"/>
    <w:rsid w:val="00FC56B2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5D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B11C56"/>
    <w:pPr>
      <w:keepNext/>
      <w:spacing w:before="240" w:after="60"/>
      <w:textAlignment w:val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D90B5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D90B5D"/>
  </w:style>
  <w:style w:type="paragraph" w:customStyle="1" w:styleId="TableBlock">
    <w:name w:val="Table Block"/>
    <w:basedOn w:val="TableText"/>
    <w:rsid w:val="00D90B5D"/>
    <w:pPr>
      <w:ind w:right="0"/>
      <w:jc w:val="both"/>
    </w:pPr>
  </w:style>
  <w:style w:type="paragraph" w:customStyle="1" w:styleId="TableHead">
    <w:name w:val="Table Head"/>
    <w:basedOn w:val="TableText"/>
    <w:rsid w:val="00D90B5D"/>
    <w:pPr>
      <w:ind w:right="0"/>
      <w:jc w:val="center"/>
    </w:pPr>
    <w:rPr>
      <w:b/>
      <w:bCs/>
    </w:rPr>
  </w:style>
  <w:style w:type="paragraph" w:customStyle="1" w:styleId="HeadMitparsemetBaze">
    <w:name w:val="Head MitparsemetBaze"/>
    <w:basedOn w:val="a"/>
    <w:rsid w:val="00D90B5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D90B5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sberWriters">
    <w:name w:val="Hesber Writers"/>
    <w:basedOn w:val="Hesber"/>
    <w:rsid w:val="00D90B5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D90B5D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D90B5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HeadHatzaotHok4Futer">
    <w:name w:val="Head HatzaotHok4Futer"/>
    <w:basedOn w:val="HeadHatzaotHok"/>
    <w:rsid w:val="00D90B5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D90B5D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D90B5D"/>
    <w:rPr>
      <w:rFonts w:ascii="Hadasa Roso SL" w:eastAsia="MS Mincho" w:hAnsi="Hadasa Roso SL" w:cs="Hadasa Roso SL"/>
      <w:color w:val="000000"/>
      <w:spacing w:val="1"/>
      <w:sz w:val="14"/>
      <w:szCs w:val="22"/>
      <w:lang w:eastAsia="ja-JP"/>
    </w:rPr>
  </w:style>
  <w:style w:type="paragraph" w:customStyle="1" w:styleId="TableInnerSideHeading">
    <w:name w:val="Table InnerSideHeading"/>
    <w:basedOn w:val="TableSideHeading"/>
    <w:rsid w:val="00D90B5D"/>
  </w:style>
  <w:style w:type="paragraph" w:customStyle="1" w:styleId="Hesber">
    <w:name w:val="Hesber"/>
    <w:basedOn w:val="a"/>
    <w:rsid w:val="00D90B5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D90B5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D90B5D"/>
    <w:rPr>
      <w:rFonts w:ascii="Arial" w:eastAsia="Arial Unicode MS" w:hAnsi="Arial"/>
      <w:snapToGrid w:val="0"/>
      <w:color w:val="000000"/>
      <w:sz w:val="14"/>
      <w:szCs w:val="20"/>
      <w:lang w:eastAsia="ja-JP"/>
    </w:rPr>
  </w:style>
  <w:style w:type="character" w:styleId="a7">
    <w:name w:val="footnote reference"/>
    <w:basedOn w:val="a0"/>
    <w:semiHidden/>
    <w:rsid w:val="00D90B5D"/>
    <w:rPr>
      <w:vertAlign w:val="superscript"/>
    </w:rPr>
  </w:style>
  <w:style w:type="paragraph" w:customStyle="1" w:styleId="HesberHeading">
    <w:name w:val="Hesber Heading"/>
    <w:basedOn w:val="Hesber"/>
    <w:rsid w:val="00D90B5D"/>
    <w:pPr>
      <w:tabs>
        <w:tab w:val="left" w:pos="624"/>
        <w:tab w:val="left" w:pos="1247"/>
      </w:tabs>
      <w:ind w:firstLine="0"/>
    </w:pPr>
    <w:rPr>
      <w:b/>
      <w:bCs/>
    </w:rPr>
  </w:style>
  <w:style w:type="character" w:styleId="a8">
    <w:name w:val="endnote reference"/>
    <w:basedOn w:val="a0"/>
    <w:semiHidden/>
    <w:rsid w:val="00D90B5D"/>
    <w:rPr>
      <w:vertAlign w:val="superscript"/>
    </w:rPr>
  </w:style>
  <w:style w:type="paragraph" w:customStyle="1" w:styleId="TableBlockOutdent">
    <w:name w:val="Table BlockOutdent"/>
    <w:basedOn w:val="TableBlock"/>
    <w:rsid w:val="00D90B5D"/>
    <w:pPr>
      <w:ind w:left="624" w:hanging="624"/>
    </w:pPr>
  </w:style>
  <w:style w:type="paragraph" w:styleId="a9">
    <w:name w:val="header"/>
    <w:basedOn w:val="a"/>
    <w:link w:val="aa"/>
    <w:rsid w:val="00D90B5D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D90B5D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b">
    <w:name w:val="footer"/>
    <w:basedOn w:val="a"/>
    <w:link w:val="ac"/>
    <w:rsid w:val="00D90B5D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D90B5D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d">
    <w:name w:val="page number"/>
    <w:basedOn w:val="a0"/>
    <w:rsid w:val="00D90B5D"/>
  </w:style>
  <w:style w:type="paragraph" w:customStyle="1" w:styleId="Cover1-Reshumot">
    <w:name w:val="Cover 1-Reshumot"/>
    <w:basedOn w:val="a"/>
    <w:rsid w:val="00D90B5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D90B5D"/>
    <w:rPr>
      <w:sz w:val="36"/>
      <w:szCs w:val="52"/>
    </w:rPr>
  </w:style>
  <w:style w:type="paragraph" w:customStyle="1" w:styleId="Cover3-Haknesset">
    <w:name w:val="Cover 3-Haknesset"/>
    <w:basedOn w:val="Cover1-Reshumot"/>
    <w:rsid w:val="00D90B5D"/>
    <w:rPr>
      <w:b/>
      <w:bCs/>
      <w:spacing w:val="60"/>
    </w:rPr>
  </w:style>
  <w:style w:type="paragraph" w:customStyle="1" w:styleId="Cover4-Date">
    <w:name w:val="Cover 4-Date"/>
    <w:basedOn w:val="a"/>
    <w:rsid w:val="00D90B5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D90B5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A560C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A560C5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character" w:styleId="af0">
    <w:name w:val="annotation reference"/>
    <w:basedOn w:val="a0"/>
    <w:uiPriority w:val="99"/>
    <w:semiHidden/>
    <w:unhideWhenUsed/>
    <w:rsid w:val="00A065B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65BD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A065BD"/>
    <w:rPr>
      <w:rFonts w:ascii="Hadasa Roso SL" w:eastAsia="MS Mincho" w:hAnsi="Hadasa Roso SL" w:cs="Hadasa Roso SL"/>
      <w:color w:val="000000"/>
      <w:spacing w:val="1"/>
      <w:sz w:val="20"/>
      <w:szCs w:val="20"/>
      <w:lang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65BD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A065BD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paragraph" w:styleId="NormalWeb">
    <w:name w:val="Normal (Web)"/>
    <w:basedOn w:val="a"/>
    <w:uiPriority w:val="99"/>
    <w:unhideWhenUsed/>
    <w:rsid w:val="00297139"/>
    <w:pPr>
      <w:widowControl/>
      <w:autoSpaceDE/>
      <w:autoSpaceDN/>
      <w:bidi w:val="0"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eastAsiaTheme="minorHAnsi" w:hAnsi="Times New Roman" w:cs="Times New Roman"/>
      <w:color w:val="auto"/>
      <w:spacing w:val="0"/>
      <w:sz w:val="24"/>
      <w:szCs w:val="24"/>
      <w:lang w:eastAsia="en-US"/>
    </w:rPr>
  </w:style>
  <w:style w:type="paragraph" w:styleId="af5">
    <w:name w:val="Revision"/>
    <w:hidden/>
    <w:uiPriority w:val="99"/>
    <w:semiHidden/>
    <w:rsid w:val="005C6899"/>
    <w:pPr>
      <w:spacing w:after="0" w:line="240" w:lineRule="auto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Hyperlink">
    <w:name w:val="Hyperlink"/>
    <w:basedOn w:val="a0"/>
    <w:rsid w:val="00694420"/>
    <w:rPr>
      <w:color w:val="0000FF"/>
      <w:u w:val="single"/>
    </w:rPr>
  </w:style>
  <w:style w:type="table" w:styleId="af6">
    <w:name w:val="Table Grid"/>
    <w:basedOn w:val="a1"/>
    <w:uiPriority w:val="59"/>
    <w:rsid w:val="00AE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">
    <w:name w:val="default"/>
    <w:basedOn w:val="a0"/>
    <w:rsid w:val="00FB364E"/>
    <w:rPr>
      <w:rFonts w:ascii="Times New Roman" w:hAnsi="Times New Roman" w:cs="Times New Roman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B11C56"/>
    <w:rPr>
      <w:rFonts w:ascii="Calibri Light" w:eastAsia="Times New Roman" w:hAnsi="Calibri Light" w:cs="Times New Roman"/>
      <w:b/>
      <w:bCs/>
      <w:color w:val="000000"/>
      <w:spacing w:val="1"/>
      <w:kern w:val="32"/>
      <w:sz w:val="32"/>
      <w:szCs w:val="32"/>
      <w:lang w:eastAsia="ja-JP"/>
    </w:rPr>
  </w:style>
  <w:style w:type="table" w:customStyle="1" w:styleId="TableNormal">
    <w:name w:val="Table Normal"/>
    <w:semiHidden/>
    <w:rsid w:val="00B11C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0">
    <w:name w:val="P00"/>
    <w:rsid w:val="00930A78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big-number">
    <w:name w:val="big-number"/>
    <w:rsid w:val="00930A78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5D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B11C56"/>
    <w:pPr>
      <w:keepNext/>
      <w:spacing w:before="240" w:after="60"/>
      <w:textAlignment w:val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D90B5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D90B5D"/>
  </w:style>
  <w:style w:type="paragraph" w:customStyle="1" w:styleId="TableBlock">
    <w:name w:val="Table Block"/>
    <w:basedOn w:val="TableText"/>
    <w:rsid w:val="00D90B5D"/>
    <w:pPr>
      <w:ind w:right="0"/>
      <w:jc w:val="both"/>
    </w:pPr>
  </w:style>
  <w:style w:type="paragraph" w:customStyle="1" w:styleId="TableHead">
    <w:name w:val="Table Head"/>
    <w:basedOn w:val="TableText"/>
    <w:rsid w:val="00D90B5D"/>
    <w:pPr>
      <w:ind w:right="0"/>
      <w:jc w:val="center"/>
    </w:pPr>
    <w:rPr>
      <w:b/>
      <w:bCs/>
    </w:rPr>
  </w:style>
  <w:style w:type="paragraph" w:customStyle="1" w:styleId="HeadMitparsemetBaze">
    <w:name w:val="Head MitparsemetBaze"/>
    <w:basedOn w:val="a"/>
    <w:rsid w:val="00D90B5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D90B5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sberWriters">
    <w:name w:val="Hesber Writers"/>
    <w:basedOn w:val="Hesber"/>
    <w:rsid w:val="00D90B5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D90B5D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D90B5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HeadHatzaotHok4Futer">
    <w:name w:val="Head HatzaotHok4Futer"/>
    <w:basedOn w:val="HeadHatzaotHok"/>
    <w:rsid w:val="00D90B5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D90B5D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D90B5D"/>
    <w:rPr>
      <w:rFonts w:ascii="Hadasa Roso SL" w:eastAsia="MS Mincho" w:hAnsi="Hadasa Roso SL" w:cs="Hadasa Roso SL"/>
      <w:color w:val="000000"/>
      <w:spacing w:val="1"/>
      <w:sz w:val="14"/>
      <w:szCs w:val="22"/>
      <w:lang w:eastAsia="ja-JP"/>
    </w:rPr>
  </w:style>
  <w:style w:type="paragraph" w:customStyle="1" w:styleId="TableInnerSideHeading">
    <w:name w:val="Table InnerSideHeading"/>
    <w:basedOn w:val="TableSideHeading"/>
    <w:rsid w:val="00D90B5D"/>
  </w:style>
  <w:style w:type="paragraph" w:customStyle="1" w:styleId="Hesber">
    <w:name w:val="Hesber"/>
    <w:basedOn w:val="a"/>
    <w:rsid w:val="00D90B5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D90B5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D90B5D"/>
    <w:rPr>
      <w:rFonts w:ascii="Arial" w:eastAsia="Arial Unicode MS" w:hAnsi="Arial"/>
      <w:snapToGrid w:val="0"/>
      <w:color w:val="000000"/>
      <w:sz w:val="14"/>
      <w:szCs w:val="20"/>
      <w:lang w:eastAsia="ja-JP"/>
    </w:rPr>
  </w:style>
  <w:style w:type="character" w:styleId="a7">
    <w:name w:val="footnote reference"/>
    <w:basedOn w:val="a0"/>
    <w:semiHidden/>
    <w:rsid w:val="00D90B5D"/>
    <w:rPr>
      <w:vertAlign w:val="superscript"/>
    </w:rPr>
  </w:style>
  <w:style w:type="paragraph" w:customStyle="1" w:styleId="HesberHeading">
    <w:name w:val="Hesber Heading"/>
    <w:basedOn w:val="Hesber"/>
    <w:rsid w:val="00D90B5D"/>
    <w:pPr>
      <w:tabs>
        <w:tab w:val="left" w:pos="624"/>
        <w:tab w:val="left" w:pos="1247"/>
      </w:tabs>
      <w:ind w:firstLine="0"/>
    </w:pPr>
    <w:rPr>
      <w:b/>
      <w:bCs/>
    </w:rPr>
  </w:style>
  <w:style w:type="character" w:styleId="a8">
    <w:name w:val="endnote reference"/>
    <w:basedOn w:val="a0"/>
    <w:semiHidden/>
    <w:rsid w:val="00D90B5D"/>
    <w:rPr>
      <w:vertAlign w:val="superscript"/>
    </w:rPr>
  </w:style>
  <w:style w:type="paragraph" w:customStyle="1" w:styleId="TableBlockOutdent">
    <w:name w:val="Table BlockOutdent"/>
    <w:basedOn w:val="TableBlock"/>
    <w:rsid w:val="00D90B5D"/>
    <w:pPr>
      <w:ind w:left="624" w:hanging="624"/>
    </w:pPr>
  </w:style>
  <w:style w:type="paragraph" w:styleId="a9">
    <w:name w:val="header"/>
    <w:basedOn w:val="a"/>
    <w:link w:val="aa"/>
    <w:rsid w:val="00D90B5D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D90B5D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b">
    <w:name w:val="footer"/>
    <w:basedOn w:val="a"/>
    <w:link w:val="ac"/>
    <w:rsid w:val="00D90B5D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D90B5D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d">
    <w:name w:val="page number"/>
    <w:basedOn w:val="a0"/>
    <w:rsid w:val="00D90B5D"/>
  </w:style>
  <w:style w:type="paragraph" w:customStyle="1" w:styleId="Cover1-Reshumot">
    <w:name w:val="Cover 1-Reshumot"/>
    <w:basedOn w:val="a"/>
    <w:rsid w:val="00D90B5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D90B5D"/>
    <w:rPr>
      <w:sz w:val="36"/>
      <w:szCs w:val="52"/>
    </w:rPr>
  </w:style>
  <w:style w:type="paragraph" w:customStyle="1" w:styleId="Cover3-Haknesset">
    <w:name w:val="Cover 3-Haknesset"/>
    <w:basedOn w:val="Cover1-Reshumot"/>
    <w:rsid w:val="00D90B5D"/>
    <w:rPr>
      <w:b/>
      <w:bCs/>
      <w:spacing w:val="60"/>
    </w:rPr>
  </w:style>
  <w:style w:type="paragraph" w:customStyle="1" w:styleId="Cover4-Date">
    <w:name w:val="Cover 4-Date"/>
    <w:basedOn w:val="a"/>
    <w:rsid w:val="00D90B5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D90B5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A560C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A560C5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character" w:styleId="af0">
    <w:name w:val="annotation reference"/>
    <w:basedOn w:val="a0"/>
    <w:uiPriority w:val="99"/>
    <w:semiHidden/>
    <w:unhideWhenUsed/>
    <w:rsid w:val="00A065B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65BD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A065BD"/>
    <w:rPr>
      <w:rFonts w:ascii="Hadasa Roso SL" w:eastAsia="MS Mincho" w:hAnsi="Hadasa Roso SL" w:cs="Hadasa Roso SL"/>
      <w:color w:val="000000"/>
      <w:spacing w:val="1"/>
      <w:sz w:val="20"/>
      <w:szCs w:val="20"/>
      <w:lang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65BD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A065BD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paragraph" w:styleId="NormalWeb">
    <w:name w:val="Normal (Web)"/>
    <w:basedOn w:val="a"/>
    <w:uiPriority w:val="99"/>
    <w:unhideWhenUsed/>
    <w:rsid w:val="00297139"/>
    <w:pPr>
      <w:widowControl/>
      <w:autoSpaceDE/>
      <w:autoSpaceDN/>
      <w:bidi w:val="0"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eastAsiaTheme="minorHAnsi" w:hAnsi="Times New Roman" w:cs="Times New Roman"/>
      <w:color w:val="auto"/>
      <w:spacing w:val="0"/>
      <w:sz w:val="24"/>
      <w:szCs w:val="24"/>
      <w:lang w:eastAsia="en-US"/>
    </w:rPr>
  </w:style>
  <w:style w:type="paragraph" w:styleId="af5">
    <w:name w:val="Revision"/>
    <w:hidden/>
    <w:uiPriority w:val="99"/>
    <w:semiHidden/>
    <w:rsid w:val="005C6899"/>
    <w:pPr>
      <w:spacing w:after="0" w:line="240" w:lineRule="auto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Hyperlink">
    <w:name w:val="Hyperlink"/>
    <w:basedOn w:val="a0"/>
    <w:rsid w:val="00694420"/>
    <w:rPr>
      <w:color w:val="0000FF"/>
      <w:u w:val="single"/>
    </w:rPr>
  </w:style>
  <w:style w:type="table" w:styleId="af6">
    <w:name w:val="Table Grid"/>
    <w:basedOn w:val="a1"/>
    <w:uiPriority w:val="59"/>
    <w:rsid w:val="00AE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">
    <w:name w:val="default"/>
    <w:basedOn w:val="a0"/>
    <w:rsid w:val="00FB364E"/>
    <w:rPr>
      <w:rFonts w:ascii="Times New Roman" w:hAnsi="Times New Roman" w:cs="Times New Roman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B11C56"/>
    <w:rPr>
      <w:rFonts w:ascii="Calibri Light" w:eastAsia="Times New Roman" w:hAnsi="Calibri Light" w:cs="Times New Roman"/>
      <w:b/>
      <w:bCs/>
      <w:color w:val="000000"/>
      <w:spacing w:val="1"/>
      <w:kern w:val="32"/>
      <w:sz w:val="32"/>
      <w:szCs w:val="32"/>
      <w:lang w:eastAsia="ja-JP"/>
    </w:rPr>
  </w:style>
  <w:style w:type="table" w:customStyle="1" w:styleId="TableNormal">
    <w:name w:val="Table Normal"/>
    <w:semiHidden/>
    <w:rsid w:val="00B11C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0">
    <w:name w:val="P00"/>
    <w:rsid w:val="00930A78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big-number">
    <w:name w:val="big-number"/>
    <w:rsid w:val="00930A78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fNumber xmlns="d2589617-2f74-4077-aee7-f516ed639388">43677</Ref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61B5BAE19C0A94ABF7F052772C71F14" ma:contentTypeVersion="1" ma:contentTypeDescription="צור מסמך חדש." ma:contentTypeScope="" ma:versionID="4c4e7c02a57e54f45d23c2b2cc14d8d5">
  <xsd:schema xmlns:xsd="http://www.w3.org/2001/XMLSchema" xmlns:p="http://schemas.microsoft.com/office/2006/metadata/properties" xmlns:ns2="d2589617-2f74-4077-aee7-f516ed639388" targetNamespace="http://schemas.microsoft.com/office/2006/metadata/properties" ma:root="true" ma:fieldsID="07cad186b484ecc037a0bd5112bdf38e" ns2:_="">
    <xsd:import namespace="d2589617-2f74-4077-aee7-f516ed639388"/>
    <xsd:element name="properties">
      <xsd:complexType>
        <xsd:sequence>
          <xsd:element name="documentManagement">
            <xsd:complexType>
              <xsd:all>
                <xsd:element ref="ns2:Ref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589617-2f74-4077-aee7-f516ed639388" elementFormDefault="qualified">
    <xsd:import namespace="http://schemas.microsoft.com/office/2006/documentManagement/types"/>
    <xsd:element name="RefNumber" ma:index="8" nillable="true" ma:displayName="RefNumber" ma:description="מס' טופס" ma:internalName="Ref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7947-3665-4AD0-B76A-EFD6CA8F2D73}">
  <ds:schemaRefs>
    <ds:schemaRef ds:uri="http://schemas.microsoft.com/office/2006/metadata/properties"/>
    <ds:schemaRef ds:uri="d2589617-2f74-4077-aee7-f516ed639388"/>
  </ds:schemaRefs>
</ds:datastoreItem>
</file>

<file path=customXml/itemProps2.xml><?xml version="1.0" encoding="utf-8"?>
<ds:datastoreItem xmlns:ds="http://schemas.openxmlformats.org/officeDocument/2006/customXml" ds:itemID="{9F268A66-C662-4C87-A4C1-DD0BD4DD0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E597E-5B6A-4FD5-9119-3E6C49BD2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89617-2f74-4077-aee7-f516ed6393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B4914FE-DF78-460A-9255-9B3303EE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תקנות הפטור למומחים בהייטק.docx</vt:lpstr>
      <vt:lpstr/>
    </vt:vector>
  </TitlesOfParts>
  <Company>Ministry Of Economy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תקנות הפטור למומחים בהייטק.docx</dc:title>
  <dc:creator>שושנה שטראוס</dc:creator>
  <cp:lastModifiedBy>Hana Leidershnaider - Chamber Of Commerce</cp:lastModifiedBy>
  <cp:revision>2</cp:revision>
  <cp:lastPrinted>2017-09-17T11:22:00Z</cp:lastPrinted>
  <dcterms:created xsi:type="dcterms:W3CDTF">2017-12-26T13:51:00Z</dcterms:created>
  <dcterms:modified xsi:type="dcterms:W3CDTF">2017-12-26T13:51:00Z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0x010100161B5BAE19C0A94ABF7F052772C71F14</vt:lpwstr>
  </property>
</Properties>
</file>