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469" w:rsidRPr="00337469" w:rsidRDefault="00337469" w:rsidP="002E64FD">
      <w:pPr>
        <w:pStyle w:val="HeadMitparsemetBaze"/>
        <w:keepNext w:val="0"/>
        <w:keepLines w:val="0"/>
        <w:pageBreakBefore w:val="0"/>
        <w:jc w:val="center"/>
        <w:rPr>
          <w:rtl/>
        </w:rPr>
      </w:pPr>
      <w:r w:rsidRPr="00337469">
        <w:rPr>
          <w:rtl/>
        </w:rPr>
        <w:t>צו</w:t>
      </w:r>
      <w:r w:rsidRPr="00337469">
        <w:rPr>
          <w:rFonts w:hint="cs"/>
          <w:rtl/>
        </w:rPr>
        <w:t xml:space="preserve"> התקנים (איסור ייצור מצרכים)(תיקון), </w:t>
      </w:r>
      <w:r w:rsidR="000D4813">
        <w:rPr>
          <w:rFonts w:hint="cs"/>
          <w:rtl/>
        </w:rPr>
        <w:t>התשע"</w:t>
      </w:r>
      <w:r w:rsidR="002E64FD">
        <w:rPr>
          <w:rFonts w:hint="cs"/>
          <w:rtl/>
        </w:rPr>
        <w:t>ח</w:t>
      </w:r>
      <w:r w:rsidR="000D4813">
        <w:rPr>
          <w:rFonts w:hint="cs"/>
          <w:rtl/>
        </w:rPr>
        <w:t>-2017</w:t>
      </w:r>
    </w:p>
    <w:p w:rsidR="00337469" w:rsidRDefault="00337469" w:rsidP="00B70720">
      <w:pPr>
        <w:pStyle w:val="P00"/>
        <w:spacing w:before="72" w:line="360" w:lineRule="auto"/>
        <w:ind w:left="0" w:right="1134"/>
        <w:rPr>
          <w:rtl/>
        </w:rPr>
      </w:pPr>
      <w:r w:rsidRPr="00337469">
        <w:rPr>
          <w:rFonts w:cs="FrankRuehl"/>
          <w:sz w:val="28"/>
          <w:szCs w:val="28"/>
          <w:rtl/>
        </w:rPr>
        <w:tab/>
      </w: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2"/>
      </w:tblGrid>
      <w:tr w:rsidR="000D4813" w:rsidTr="00F96E2E">
        <w:trPr>
          <w:cantSplit/>
          <w:trHeight w:val="60"/>
        </w:trPr>
        <w:tc>
          <w:tcPr>
            <w:tcW w:w="9641" w:type="dxa"/>
            <w:gridSpan w:val="4"/>
          </w:tcPr>
          <w:p w:rsidR="000D4813" w:rsidRPr="00B70720" w:rsidRDefault="000D4813" w:rsidP="00B70720">
            <w:pPr>
              <w:pStyle w:val="TableHead"/>
              <w:keepLines w:val="0"/>
              <w:jc w:val="both"/>
              <w:rPr>
                <w:b w:val="0"/>
                <w:bCs w:val="0"/>
                <w:sz w:val="26"/>
              </w:rPr>
            </w:pPr>
            <w:r w:rsidRPr="00B70720">
              <w:rPr>
                <w:rStyle w:val="default"/>
                <w:rFonts w:cs="David"/>
                <w:b w:val="0"/>
                <w:bCs w:val="0"/>
                <w:rtl/>
              </w:rPr>
              <w:t>בת</w:t>
            </w:r>
            <w:r w:rsidRPr="00B70720">
              <w:rPr>
                <w:rStyle w:val="default"/>
                <w:rFonts w:cs="David" w:hint="eastAsia"/>
                <w:b w:val="0"/>
                <w:bCs w:val="0"/>
                <w:rtl/>
              </w:rPr>
              <w:t>וקף</w:t>
            </w:r>
            <w:r w:rsidRPr="00B70720">
              <w:rPr>
                <w:rStyle w:val="default"/>
                <w:rFonts w:cs="David"/>
                <w:b w:val="0"/>
                <w:bCs w:val="0"/>
                <w:rtl/>
              </w:rPr>
              <w:t xml:space="preserve"> סמכותי לפי סעיף 9(ב) לחוק התקנים, </w:t>
            </w:r>
            <w:r w:rsidRPr="00B70720">
              <w:rPr>
                <w:rStyle w:val="default"/>
                <w:rFonts w:cs="David" w:hint="eastAsia"/>
                <w:b w:val="0"/>
                <w:bCs w:val="0"/>
                <w:rtl/>
              </w:rPr>
              <w:t>התשי</w:t>
            </w:r>
            <w:r w:rsidRPr="00B70720">
              <w:rPr>
                <w:rStyle w:val="default"/>
                <w:rFonts w:cs="David"/>
                <w:b w:val="0"/>
                <w:bCs w:val="0"/>
                <w:rtl/>
              </w:rPr>
              <w:t>"ג-1953</w:t>
            </w:r>
            <w:r w:rsidRPr="00B70720">
              <w:rPr>
                <w:rStyle w:val="ad"/>
                <w:b w:val="0"/>
                <w:bCs w:val="0"/>
                <w:sz w:val="26"/>
                <w:rtl/>
              </w:rPr>
              <w:footnoteReference w:id="1"/>
            </w:r>
            <w:r w:rsidRPr="00B70720">
              <w:rPr>
                <w:rStyle w:val="default"/>
                <w:rFonts w:cs="David"/>
                <w:b w:val="0"/>
                <w:bCs w:val="0"/>
                <w:rtl/>
              </w:rPr>
              <w:t xml:space="preserve"> (</w:t>
            </w:r>
            <w:r w:rsidRPr="00B70720">
              <w:rPr>
                <w:rStyle w:val="default"/>
                <w:rFonts w:cs="David" w:hint="eastAsia"/>
                <w:b w:val="0"/>
                <w:bCs w:val="0"/>
                <w:rtl/>
              </w:rPr>
              <w:t>להלן</w:t>
            </w:r>
            <w:r w:rsidRPr="00B70720">
              <w:rPr>
                <w:rStyle w:val="default"/>
                <w:rFonts w:cs="David"/>
                <w:b w:val="0"/>
                <w:bCs w:val="0"/>
                <w:rtl/>
              </w:rPr>
              <w:t xml:space="preserve"> - </w:t>
            </w:r>
            <w:r w:rsidRPr="00B70720">
              <w:rPr>
                <w:rStyle w:val="default"/>
                <w:rFonts w:cs="David" w:hint="eastAsia"/>
                <w:b w:val="0"/>
                <w:bCs w:val="0"/>
                <w:rtl/>
              </w:rPr>
              <w:t>החוק</w:t>
            </w:r>
            <w:r w:rsidRPr="00B70720">
              <w:rPr>
                <w:rStyle w:val="default"/>
                <w:rFonts w:cs="David"/>
                <w:b w:val="0"/>
                <w:bCs w:val="0"/>
                <w:rtl/>
              </w:rPr>
              <w:t xml:space="preserve">), </w:t>
            </w:r>
            <w:r w:rsidRPr="00B70720">
              <w:rPr>
                <w:rStyle w:val="default"/>
                <w:rFonts w:cs="David" w:hint="eastAsia"/>
                <w:b w:val="0"/>
                <w:bCs w:val="0"/>
                <w:rtl/>
              </w:rPr>
              <w:t>אני</w:t>
            </w:r>
            <w:r w:rsidRPr="00B70720">
              <w:rPr>
                <w:rStyle w:val="default"/>
                <w:rFonts w:cs="David"/>
                <w:b w:val="0"/>
                <w:bCs w:val="0"/>
                <w:rtl/>
              </w:rPr>
              <w:t xml:space="preserve"> </w:t>
            </w:r>
            <w:r w:rsidRPr="00B70720">
              <w:rPr>
                <w:rStyle w:val="default"/>
                <w:rFonts w:cs="David" w:hint="eastAsia"/>
                <w:b w:val="0"/>
                <w:bCs w:val="0"/>
                <w:rtl/>
              </w:rPr>
              <w:t>מצווה</w:t>
            </w:r>
            <w:r w:rsidRPr="00B70720">
              <w:rPr>
                <w:rStyle w:val="default"/>
                <w:rFonts w:cs="David"/>
                <w:b w:val="0"/>
                <w:bCs w:val="0"/>
                <w:rtl/>
              </w:rPr>
              <w:t xml:space="preserve"> </w:t>
            </w:r>
            <w:r w:rsidRPr="00B70720">
              <w:rPr>
                <w:rStyle w:val="default"/>
                <w:rFonts w:cs="David" w:hint="eastAsia"/>
                <w:b w:val="0"/>
                <w:bCs w:val="0"/>
                <w:rtl/>
              </w:rPr>
              <w:t>לאמור</w:t>
            </w:r>
            <w:r w:rsidRPr="00B70720">
              <w:rPr>
                <w:rStyle w:val="default"/>
                <w:rFonts w:cs="David"/>
                <w:b w:val="0"/>
                <w:bCs w:val="0"/>
                <w:rtl/>
              </w:rPr>
              <w:t>:</w:t>
            </w:r>
          </w:p>
        </w:tc>
      </w:tr>
      <w:tr w:rsidR="00337469">
        <w:trPr>
          <w:cantSplit/>
          <w:trHeight w:val="60"/>
        </w:trPr>
        <w:tc>
          <w:tcPr>
            <w:tcW w:w="1871" w:type="dxa"/>
          </w:tcPr>
          <w:p w:rsidR="00337469" w:rsidRPr="00B70720" w:rsidRDefault="00337469" w:rsidP="00F96E2E">
            <w:pPr>
              <w:pStyle w:val="TableSideHeading"/>
              <w:keepLines w:val="0"/>
              <w:rPr>
                <w:sz w:val="26"/>
              </w:rPr>
            </w:pPr>
            <w:r w:rsidRPr="00B70720">
              <w:rPr>
                <w:rFonts w:hint="eastAsia"/>
                <w:sz w:val="26"/>
                <w:rtl/>
              </w:rPr>
              <w:t>תיקון</w:t>
            </w:r>
            <w:r w:rsidRPr="00B70720">
              <w:rPr>
                <w:sz w:val="26"/>
                <w:rtl/>
              </w:rPr>
              <w:t xml:space="preserve"> </w:t>
            </w:r>
            <w:r w:rsidRPr="00B70720">
              <w:rPr>
                <w:rFonts w:hint="eastAsia"/>
                <w:sz w:val="26"/>
                <w:rtl/>
              </w:rPr>
              <w:t>סעיף</w:t>
            </w:r>
            <w:r w:rsidRPr="00B70720">
              <w:rPr>
                <w:sz w:val="26"/>
                <w:rtl/>
              </w:rPr>
              <w:t xml:space="preserve"> 2</w:t>
            </w:r>
          </w:p>
        </w:tc>
        <w:tc>
          <w:tcPr>
            <w:tcW w:w="624" w:type="dxa"/>
          </w:tcPr>
          <w:p w:rsidR="00337469" w:rsidRPr="00B70720" w:rsidRDefault="00337469" w:rsidP="00337469">
            <w:pPr>
              <w:pStyle w:val="TableText"/>
              <w:keepLines w:val="0"/>
              <w:numPr>
                <w:ilvl w:val="0"/>
                <w:numId w:val="1"/>
              </w:numPr>
              <w:rPr>
                <w:sz w:val="26"/>
              </w:rPr>
            </w:pPr>
          </w:p>
        </w:tc>
        <w:tc>
          <w:tcPr>
            <w:tcW w:w="7146" w:type="dxa"/>
            <w:gridSpan w:val="2"/>
          </w:tcPr>
          <w:p w:rsidR="00337469" w:rsidRPr="00B70720" w:rsidRDefault="002E64FD" w:rsidP="005E500F">
            <w:pPr>
              <w:pStyle w:val="TableBlock"/>
              <w:keepLines w:val="0"/>
              <w:rPr>
                <w:sz w:val="26"/>
                <w:rtl/>
              </w:rPr>
            </w:pPr>
            <w:r>
              <w:rPr>
                <w:rFonts w:hint="cs"/>
                <w:sz w:val="26"/>
                <w:rtl/>
              </w:rPr>
              <w:t>ב</w:t>
            </w:r>
            <w:r w:rsidR="00337469" w:rsidRPr="00B70720">
              <w:rPr>
                <w:rFonts w:hint="eastAsia"/>
                <w:sz w:val="26"/>
                <w:rtl/>
              </w:rPr>
              <w:t>סעיף</w:t>
            </w:r>
            <w:r w:rsidR="00337469" w:rsidRPr="00B70720">
              <w:rPr>
                <w:sz w:val="26"/>
                <w:rtl/>
              </w:rPr>
              <w:t xml:space="preserve"> 2</w:t>
            </w:r>
            <w:r w:rsidR="005A13AE" w:rsidRPr="00B70720">
              <w:rPr>
                <w:sz w:val="26"/>
                <w:rtl/>
              </w:rPr>
              <w:t xml:space="preserve"> לצו התקנים (איסור ייצור מצרכים), </w:t>
            </w:r>
            <w:r w:rsidR="000D4813">
              <w:rPr>
                <w:rFonts w:hint="cs"/>
                <w:sz w:val="26"/>
                <w:rtl/>
              </w:rPr>
              <w:t>ה</w:t>
            </w:r>
            <w:r w:rsidR="005A13AE" w:rsidRPr="00B70720">
              <w:rPr>
                <w:sz w:val="26"/>
                <w:rtl/>
              </w:rPr>
              <w:t>תשמ"ב-1981</w:t>
            </w:r>
            <w:r w:rsidR="005A13AE" w:rsidRPr="00B70720">
              <w:rPr>
                <w:rStyle w:val="ad"/>
                <w:sz w:val="26"/>
                <w:rtl/>
              </w:rPr>
              <w:footnoteReference w:id="2"/>
            </w:r>
            <w:r w:rsidR="00337469" w:rsidRPr="00B70720">
              <w:rPr>
                <w:sz w:val="26"/>
                <w:rtl/>
              </w:rPr>
              <w:t xml:space="preserve"> </w:t>
            </w:r>
            <w:r w:rsidR="005A13AE" w:rsidRPr="00B70720">
              <w:rPr>
                <w:sz w:val="26"/>
                <w:rtl/>
              </w:rPr>
              <w:t>(להלן – הצו העיקרי)</w:t>
            </w:r>
            <w:r w:rsidR="000D4813">
              <w:rPr>
                <w:rFonts w:hint="cs"/>
                <w:sz w:val="26"/>
                <w:rtl/>
              </w:rPr>
              <w:t>,</w:t>
            </w:r>
            <w:r w:rsidR="003A0ACC">
              <w:rPr>
                <w:rFonts w:hint="cs"/>
                <w:sz w:val="26"/>
                <w:rtl/>
              </w:rPr>
              <w:t xml:space="preserve"> </w:t>
            </w:r>
            <w:r>
              <w:rPr>
                <w:rFonts w:hint="cs"/>
                <w:sz w:val="26"/>
                <w:rtl/>
              </w:rPr>
              <w:t xml:space="preserve">אחרי סעיף קטן (א) </w:t>
            </w:r>
            <w:r w:rsidR="005E500F">
              <w:rPr>
                <w:rFonts w:hint="cs"/>
                <w:sz w:val="26"/>
                <w:rtl/>
              </w:rPr>
              <w:t>יבוא:</w:t>
            </w:r>
          </w:p>
        </w:tc>
      </w:tr>
      <w:tr w:rsidR="005E500F">
        <w:trPr>
          <w:cantSplit/>
          <w:trHeight w:val="60"/>
        </w:trPr>
        <w:tc>
          <w:tcPr>
            <w:tcW w:w="1871" w:type="dxa"/>
          </w:tcPr>
          <w:p w:rsidR="005E500F" w:rsidRDefault="005E500F">
            <w:pPr>
              <w:pStyle w:val="TableSideHeading"/>
            </w:pPr>
          </w:p>
        </w:tc>
        <w:tc>
          <w:tcPr>
            <w:tcW w:w="624" w:type="dxa"/>
          </w:tcPr>
          <w:p w:rsidR="005E500F" w:rsidRDefault="005E500F">
            <w:pPr>
              <w:pStyle w:val="TableText"/>
            </w:pPr>
          </w:p>
        </w:tc>
        <w:tc>
          <w:tcPr>
            <w:tcW w:w="624" w:type="dxa"/>
          </w:tcPr>
          <w:p w:rsidR="005E500F" w:rsidRDefault="005E500F">
            <w:pPr>
              <w:pStyle w:val="TableText"/>
            </w:pPr>
          </w:p>
        </w:tc>
        <w:tc>
          <w:tcPr>
            <w:tcW w:w="6522" w:type="dxa"/>
          </w:tcPr>
          <w:p w:rsidR="005E500F" w:rsidRDefault="005E500F">
            <w:pPr>
              <w:pStyle w:val="TableBlock"/>
            </w:pPr>
            <w:r>
              <w:rPr>
                <w:rFonts w:hint="cs"/>
                <w:rtl/>
              </w:rPr>
              <w:t>"(א1)</w:t>
            </w:r>
            <w:r>
              <w:rPr>
                <w:rtl/>
              </w:rPr>
              <w:t xml:space="preserve"> אין באמור בס</w:t>
            </w:r>
            <w:r>
              <w:rPr>
                <w:rFonts w:hint="cs"/>
                <w:rtl/>
              </w:rPr>
              <w:t>עיף קטן</w:t>
            </w:r>
            <w:r>
              <w:rPr>
                <w:rtl/>
              </w:rPr>
              <w:t xml:space="preserve"> (א) </w:t>
            </w:r>
            <w:r w:rsidRPr="000E043A">
              <w:rPr>
                <w:rtl/>
              </w:rPr>
              <w:t>כדי להקים חובת סימון תו תקן לגבי מצרך מיובא.</w:t>
            </w:r>
            <w:r>
              <w:rPr>
                <w:rFonts w:hint="cs"/>
                <w:rtl/>
              </w:rPr>
              <w:t>"</w:t>
            </w:r>
          </w:p>
        </w:tc>
      </w:tr>
      <w:tr w:rsidR="00337469">
        <w:trPr>
          <w:cantSplit/>
          <w:trHeight w:val="60"/>
        </w:trPr>
        <w:tc>
          <w:tcPr>
            <w:tcW w:w="1871" w:type="dxa"/>
          </w:tcPr>
          <w:p w:rsidR="00337469" w:rsidRPr="00B70720" w:rsidRDefault="00337469" w:rsidP="00F96E2E">
            <w:pPr>
              <w:pStyle w:val="TableSideHeading"/>
              <w:keepLines w:val="0"/>
              <w:rPr>
                <w:sz w:val="26"/>
              </w:rPr>
            </w:pPr>
            <w:r w:rsidRPr="00B70720">
              <w:rPr>
                <w:rFonts w:hint="eastAsia"/>
                <w:sz w:val="26"/>
                <w:rtl/>
              </w:rPr>
              <w:t>תיקון</w:t>
            </w:r>
            <w:r w:rsidRPr="00B70720">
              <w:rPr>
                <w:sz w:val="26"/>
                <w:rtl/>
              </w:rPr>
              <w:t xml:space="preserve"> התוספת </w:t>
            </w:r>
          </w:p>
        </w:tc>
        <w:tc>
          <w:tcPr>
            <w:tcW w:w="624" w:type="dxa"/>
          </w:tcPr>
          <w:p w:rsidR="00337469" w:rsidRPr="00B70720" w:rsidRDefault="00337469" w:rsidP="00337469">
            <w:pPr>
              <w:pStyle w:val="TableText"/>
              <w:keepLines w:val="0"/>
              <w:numPr>
                <w:ilvl w:val="0"/>
                <w:numId w:val="1"/>
              </w:numPr>
              <w:rPr>
                <w:sz w:val="26"/>
              </w:rPr>
            </w:pPr>
          </w:p>
        </w:tc>
        <w:tc>
          <w:tcPr>
            <w:tcW w:w="7146" w:type="dxa"/>
            <w:gridSpan w:val="2"/>
          </w:tcPr>
          <w:p w:rsidR="00337469" w:rsidRPr="00B70720" w:rsidRDefault="00337469" w:rsidP="001A331D">
            <w:pPr>
              <w:pStyle w:val="TableBlock"/>
              <w:keepLines w:val="0"/>
              <w:rPr>
                <w:sz w:val="26"/>
              </w:rPr>
            </w:pPr>
            <w:r w:rsidRPr="00B70720">
              <w:rPr>
                <w:rFonts w:hint="eastAsia"/>
                <w:sz w:val="26"/>
                <w:rtl/>
              </w:rPr>
              <w:t>בתוספת</w:t>
            </w:r>
            <w:r w:rsidRPr="00B70720">
              <w:rPr>
                <w:sz w:val="26"/>
                <w:rtl/>
              </w:rPr>
              <w:t xml:space="preserve"> </w:t>
            </w:r>
            <w:r w:rsidRPr="00B70720">
              <w:rPr>
                <w:rFonts w:hint="eastAsia"/>
                <w:sz w:val="26"/>
                <w:rtl/>
              </w:rPr>
              <w:t>לצו</w:t>
            </w:r>
            <w:r w:rsidRPr="00B70720">
              <w:rPr>
                <w:sz w:val="26"/>
                <w:rtl/>
              </w:rPr>
              <w:t xml:space="preserve"> </w:t>
            </w:r>
            <w:r w:rsidRPr="00B70720">
              <w:rPr>
                <w:rFonts w:hint="eastAsia"/>
                <w:sz w:val="26"/>
                <w:rtl/>
              </w:rPr>
              <w:t>העיקרי</w:t>
            </w:r>
            <w:r w:rsidR="00C31447" w:rsidRPr="00B70720">
              <w:rPr>
                <w:sz w:val="26"/>
                <w:rtl/>
              </w:rPr>
              <w:t xml:space="preserve">, הפרטים הבאים </w:t>
            </w:r>
            <w:r w:rsidR="000D4813">
              <w:rPr>
                <w:rFonts w:hint="cs"/>
                <w:sz w:val="26"/>
                <w:rtl/>
              </w:rPr>
              <w:t>יימחקו:</w:t>
            </w:r>
            <w:r w:rsidRPr="00B70720">
              <w:rPr>
                <w:sz w:val="26"/>
                <w:rtl/>
              </w:rPr>
              <w:t xml:space="preserve"> </w:t>
            </w:r>
          </w:p>
        </w:tc>
      </w:tr>
      <w:tr w:rsidR="00C31447" w:rsidTr="00F96E2E">
        <w:trPr>
          <w:cantSplit/>
          <w:trHeight w:val="60"/>
        </w:trPr>
        <w:tc>
          <w:tcPr>
            <w:tcW w:w="1871" w:type="dxa"/>
          </w:tcPr>
          <w:p w:rsidR="00C31447" w:rsidRDefault="00C31447">
            <w:pPr>
              <w:pStyle w:val="TableSideHeading"/>
            </w:pPr>
          </w:p>
        </w:tc>
        <w:tc>
          <w:tcPr>
            <w:tcW w:w="624" w:type="dxa"/>
          </w:tcPr>
          <w:p w:rsidR="00C31447" w:rsidRDefault="00C31447">
            <w:pPr>
              <w:pStyle w:val="TableText"/>
            </w:pPr>
          </w:p>
        </w:tc>
        <w:tc>
          <w:tcPr>
            <w:tcW w:w="7146" w:type="dxa"/>
            <w:gridSpan w:val="2"/>
          </w:tcPr>
          <w:tbl>
            <w:tblPr>
              <w:bidiVisual/>
              <w:tblW w:w="7938" w:type="dxa"/>
              <w:tblLayout w:type="fixed"/>
              <w:tblCellMar>
                <w:left w:w="0" w:type="dxa"/>
                <w:right w:w="0" w:type="dxa"/>
              </w:tblCellMar>
              <w:tblLook w:val="0000" w:firstRow="0" w:lastRow="0" w:firstColumn="0" w:lastColumn="0" w:noHBand="0" w:noVBand="0"/>
            </w:tblPr>
            <w:tblGrid>
              <w:gridCol w:w="3389"/>
              <w:gridCol w:w="1571"/>
              <w:gridCol w:w="2978"/>
            </w:tblGrid>
            <w:tr w:rsidR="00C31447" w:rsidRPr="00E20144" w:rsidTr="007340DC">
              <w:tc>
                <w:tcPr>
                  <w:tcW w:w="3389" w:type="dxa"/>
                  <w:tcBorders>
                    <w:top w:val="nil"/>
                    <w:left w:val="nil"/>
                    <w:bottom w:val="single" w:sz="8" w:space="0" w:color="auto"/>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tl/>
                    </w:rPr>
                  </w:pPr>
                  <w:r w:rsidRPr="00CA4D23">
                    <w:rPr>
                      <w:rStyle w:val="default"/>
                      <w:rFonts w:cs="FrankRuehl"/>
                      <w:rtl/>
                    </w:rPr>
                    <w:t>טור א'</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r w:rsidRPr="00CA4D23">
                    <w:rPr>
                      <w:rStyle w:val="default"/>
                      <w:rFonts w:cs="FrankRuehl"/>
                      <w:rtl/>
                    </w:rPr>
                    <w:t>המצרך</w:t>
                  </w:r>
                </w:p>
              </w:tc>
              <w:tc>
                <w:tcPr>
                  <w:tcW w:w="1571" w:type="dxa"/>
                  <w:tcBorders>
                    <w:top w:val="nil"/>
                    <w:left w:val="nil"/>
                    <w:bottom w:val="single" w:sz="8" w:space="0" w:color="auto"/>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center"/>
                    <w:rPr>
                      <w:rStyle w:val="default"/>
                      <w:rFonts w:cs="FrankRuehl"/>
                      <w:rtl/>
                    </w:rPr>
                  </w:pPr>
                  <w:r w:rsidRPr="00CA4D23">
                    <w:rPr>
                      <w:rStyle w:val="default"/>
                      <w:rFonts w:cs="FrankRuehl"/>
                      <w:rtl/>
                    </w:rPr>
                    <w:t>טור ב'</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center"/>
                    <w:rPr>
                      <w:rStyle w:val="default"/>
                      <w:rFonts w:cs="FrankRuehl"/>
                    </w:rPr>
                  </w:pPr>
                  <w:r w:rsidRPr="00CA4D23">
                    <w:rPr>
                      <w:rStyle w:val="default"/>
                      <w:rFonts w:cs="FrankRuehl"/>
                      <w:rtl/>
                    </w:rPr>
                    <w:t>התקן הרשמי</w:t>
                  </w:r>
                </w:p>
              </w:tc>
              <w:tc>
                <w:tcPr>
                  <w:tcW w:w="2978" w:type="dxa"/>
                  <w:tcBorders>
                    <w:top w:val="nil"/>
                    <w:left w:val="nil"/>
                    <w:bottom w:val="single" w:sz="8" w:space="0" w:color="auto"/>
                    <w:right w:val="nil"/>
                  </w:tcBorders>
                  <w:tcMar>
                    <w:top w:w="0" w:type="dxa"/>
                    <w:left w:w="108" w:type="dxa"/>
                    <w:bottom w:w="0" w:type="dxa"/>
                    <w:right w:w="108" w:type="dxa"/>
                  </w:tcMar>
                </w:tcPr>
                <w:p w:rsidR="00C31447" w:rsidRPr="00CA4D23" w:rsidRDefault="00C31447" w:rsidP="00C31447">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hint="cs"/>
                      <w:rtl/>
                    </w:rPr>
                    <w:t xml:space="preserve">              </w:t>
                  </w:r>
                  <w:r w:rsidRPr="00CA4D23">
                    <w:rPr>
                      <w:rStyle w:val="default"/>
                      <w:rFonts w:cs="FrankRuehl"/>
                      <w:rtl/>
                    </w:rPr>
                    <w:t>טור ג'</w:t>
                  </w:r>
                  <w:r w:rsidRPr="00CA4D23">
                    <w:rPr>
                      <w:rStyle w:val="default"/>
                      <w:rFonts w:cs="FrankRuehl" w:hint="cs"/>
                      <w:rtl/>
                    </w:rPr>
                    <w:t xml:space="preserve"> </w:t>
                  </w:r>
                </w:p>
                <w:p w:rsidR="00C31447" w:rsidRPr="00CA4D23" w:rsidRDefault="00C31447" w:rsidP="00C31447">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ימים מיום</w:t>
                  </w:r>
                  <w:r w:rsidRPr="00CA4D23">
                    <w:rPr>
                      <w:rStyle w:val="default"/>
                      <w:rFonts w:cs="FrankRuehl" w:hint="cs"/>
                      <w:rtl/>
                    </w:rPr>
                    <w:t xml:space="preserve"> </w:t>
                  </w:r>
                  <w:r w:rsidRPr="00CA4D23">
                    <w:rPr>
                      <w:rStyle w:val="default"/>
                      <w:rFonts w:cs="FrankRuehl"/>
                      <w:rtl/>
                    </w:rPr>
                    <w:t>פרסום</w:t>
                  </w:r>
                  <w:r w:rsidRPr="00CA4D23">
                    <w:rPr>
                      <w:rStyle w:val="default"/>
                      <w:rFonts w:cs="FrankRuehl" w:hint="cs"/>
                      <w:rtl/>
                    </w:rPr>
                    <w:t xml:space="preserve"> </w:t>
                  </w:r>
                  <w:r w:rsidRPr="00CA4D23">
                    <w:rPr>
                      <w:rStyle w:val="default"/>
                      <w:rFonts w:cs="FrankRuehl"/>
                      <w:rtl/>
                    </w:rPr>
                    <w:t>צו זה</w:t>
                  </w:r>
                </w:p>
              </w:tc>
            </w:tr>
            <w:tr w:rsidR="00C31447" w:rsidRPr="00E20144" w:rsidTr="007340DC">
              <w:tc>
                <w:tcPr>
                  <w:tcW w:w="3389"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tl/>
                    </w:rPr>
                  </w:pPr>
                  <w:r w:rsidRPr="00CA4D23">
                    <w:rPr>
                      <w:rStyle w:val="default"/>
                      <w:rFonts w:cs="FrankRuehl"/>
                      <w:rtl/>
                    </w:rPr>
                    <w:t>נורות ליבון שיש להן תיל טונגסטן:</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r w:rsidRPr="00CA4D23">
                    <w:rPr>
                      <w:rStyle w:val="default"/>
                      <w:rFonts w:cs="FrankRuehl"/>
                      <w:rtl/>
                    </w:rPr>
                    <w:t>דרישות טיב כלליות</w:t>
                  </w:r>
                </w:p>
              </w:tc>
              <w:tc>
                <w:tcPr>
                  <w:tcW w:w="1571"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246</w:t>
                  </w:r>
                </w:p>
              </w:tc>
              <w:tc>
                <w:tcPr>
                  <w:tcW w:w="2978"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60</w:t>
                  </w:r>
                </w:p>
              </w:tc>
            </w:tr>
            <w:tr w:rsidR="00C31447" w:rsidRPr="00E20144" w:rsidTr="007340DC">
              <w:tc>
                <w:tcPr>
                  <w:tcW w:w="3389"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tl/>
                    </w:rPr>
                  </w:pPr>
                  <w:r w:rsidRPr="00CA4D23">
                    <w:rPr>
                      <w:rStyle w:val="default"/>
                      <w:rFonts w:cs="FrankRuehl"/>
                      <w:rtl/>
                    </w:rPr>
                    <w:t>נורות ליבון שיש להן תיל טונגסטן:</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r w:rsidRPr="00CA4D23">
                    <w:rPr>
                      <w:rStyle w:val="default"/>
                      <w:rFonts w:cs="FrankRuehl"/>
                      <w:rtl/>
                    </w:rPr>
                    <w:t xml:space="preserve">דרישות מיוחדות לנורות למתח של </w:t>
                  </w:r>
                  <w:r w:rsidRPr="00CA4D23">
                    <w:rPr>
                      <w:rStyle w:val="default"/>
                      <w:rFonts w:cs="FrankRuehl" w:hint="cs"/>
                      <w:rtl/>
                    </w:rPr>
                    <w:br/>
                  </w:r>
                  <w:r w:rsidRPr="00CA4D23">
                    <w:rPr>
                      <w:rStyle w:val="default"/>
                      <w:rFonts w:cs="FrankRuehl"/>
                    </w:rPr>
                    <w:t>250-200</w:t>
                  </w:r>
                  <w:r w:rsidRPr="00CA4D23">
                    <w:rPr>
                      <w:rStyle w:val="default"/>
                      <w:rFonts w:cs="FrankRuehl"/>
                      <w:rtl/>
                    </w:rPr>
                    <w:t xml:space="preserve"> וולט</w:t>
                  </w:r>
                </w:p>
              </w:tc>
              <w:tc>
                <w:tcPr>
                  <w:tcW w:w="1571"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246.1</w:t>
                  </w:r>
                </w:p>
              </w:tc>
              <w:tc>
                <w:tcPr>
                  <w:tcW w:w="2978"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60</w:t>
                  </w:r>
                </w:p>
              </w:tc>
            </w:tr>
            <w:tr w:rsidR="00C31447" w:rsidRPr="00E20144" w:rsidTr="007340DC">
              <w:tc>
                <w:tcPr>
                  <w:tcW w:w="3389"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tl/>
                    </w:rPr>
                  </w:pPr>
                  <w:r w:rsidRPr="00CA4D23">
                    <w:rPr>
                      <w:rStyle w:val="default"/>
                      <w:rFonts w:cs="FrankRuehl"/>
                      <w:rtl/>
                    </w:rPr>
                    <w:t>נורות ליבון שיש להן תיל טונגסטן:</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r w:rsidRPr="00CA4D23">
                    <w:rPr>
                      <w:rStyle w:val="default"/>
                      <w:rFonts w:cs="FrankRuehl"/>
                      <w:rtl/>
                    </w:rPr>
                    <w:t xml:space="preserve">דרישות מיוחדות לנורות למתח של </w:t>
                  </w:r>
                  <w:r w:rsidRPr="00CA4D23">
                    <w:rPr>
                      <w:rStyle w:val="default"/>
                      <w:rFonts w:cs="FrankRuehl" w:hint="cs"/>
                      <w:rtl/>
                    </w:rPr>
                    <w:br/>
                  </w:r>
                  <w:r w:rsidRPr="00CA4D23">
                    <w:rPr>
                      <w:rStyle w:val="default"/>
                      <w:rFonts w:cs="FrankRuehl"/>
                    </w:rPr>
                    <w:t>150-100</w:t>
                  </w:r>
                  <w:r w:rsidRPr="00CA4D23">
                    <w:rPr>
                      <w:rStyle w:val="default"/>
                      <w:rFonts w:cs="FrankRuehl"/>
                      <w:rtl/>
                    </w:rPr>
                    <w:t xml:space="preserve"> וולט</w:t>
                  </w:r>
                </w:p>
              </w:tc>
              <w:tc>
                <w:tcPr>
                  <w:tcW w:w="1571"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246.2</w:t>
                  </w:r>
                </w:p>
              </w:tc>
              <w:tc>
                <w:tcPr>
                  <w:tcW w:w="2978"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60</w:t>
                  </w:r>
                </w:p>
              </w:tc>
            </w:tr>
            <w:tr w:rsidR="00C31447" w:rsidRPr="00E20144" w:rsidTr="007340DC">
              <w:tc>
                <w:tcPr>
                  <w:tcW w:w="3389"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tl/>
                    </w:rPr>
                  </w:pPr>
                  <w:r w:rsidRPr="00CA4D23">
                    <w:rPr>
                      <w:rStyle w:val="default"/>
                      <w:rFonts w:cs="FrankRuehl"/>
                      <w:rtl/>
                    </w:rPr>
                    <w:t>נורות ליבון שיש להן תיל טונגסטן:</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r w:rsidRPr="00CA4D23">
                    <w:rPr>
                      <w:rStyle w:val="default"/>
                      <w:rFonts w:cs="FrankRuehl"/>
                      <w:rtl/>
                    </w:rPr>
                    <w:t xml:space="preserve">דרישות מיוחדות לנורות למתח של </w:t>
                  </w:r>
                  <w:r w:rsidRPr="00CA4D23">
                    <w:rPr>
                      <w:rStyle w:val="default"/>
                      <w:rFonts w:cs="FrankRuehl"/>
                    </w:rPr>
                    <w:t>75-6</w:t>
                  </w:r>
                  <w:r w:rsidRPr="00CA4D23">
                    <w:rPr>
                      <w:rStyle w:val="default"/>
                      <w:rFonts w:cs="FrankRuehl"/>
                      <w:rtl/>
                    </w:rPr>
                    <w:t xml:space="preserve"> וולט</w:t>
                  </w:r>
                </w:p>
              </w:tc>
              <w:tc>
                <w:tcPr>
                  <w:tcW w:w="1571"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246.3</w:t>
                  </w:r>
                </w:p>
              </w:tc>
              <w:tc>
                <w:tcPr>
                  <w:tcW w:w="2978"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60</w:t>
                  </w:r>
                </w:p>
              </w:tc>
            </w:tr>
            <w:tr w:rsidR="00C31447" w:rsidRPr="00E20144" w:rsidTr="007340DC">
              <w:tc>
                <w:tcPr>
                  <w:tcW w:w="3389"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r w:rsidRPr="00CA4D23">
                    <w:rPr>
                      <w:rStyle w:val="default"/>
                      <w:rFonts w:cs="FrankRuehl"/>
                      <w:rtl/>
                    </w:rPr>
                    <w:t>מכונות כביסה חשמליות לשימוש ביתי</w:t>
                  </w:r>
                </w:p>
              </w:tc>
              <w:tc>
                <w:tcPr>
                  <w:tcW w:w="1571"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322</w:t>
                  </w:r>
                </w:p>
              </w:tc>
              <w:tc>
                <w:tcPr>
                  <w:tcW w:w="2978"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180</w:t>
                  </w:r>
                </w:p>
              </w:tc>
            </w:tr>
            <w:tr w:rsidR="00C31447" w:rsidRPr="00E20144" w:rsidTr="007340DC">
              <w:tc>
                <w:tcPr>
                  <w:tcW w:w="3389"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r w:rsidRPr="00CA4D23">
                    <w:rPr>
                      <w:rStyle w:val="default"/>
                      <w:rFonts w:cs="FrankRuehl"/>
                      <w:rtl/>
                    </w:rPr>
                    <w:t>מקררים ומקפיאים חשמליים לשימוש ביתי</w:t>
                  </w:r>
                </w:p>
              </w:tc>
              <w:tc>
                <w:tcPr>
                  <w:tcW w:w="1571"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721</w:t>
                  </w:r>
                </w:p>
              </w:tc>
              <w:tc>
                <w:tcPr>
                  <w:tcW w:w="2978"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270</w:t>
                  </w:r>
                </w:p>
              </w:tc>
            </w:tr>
            <w:tr w:rsidR="00C31447" w:rsidRPr="00E20144" w:rsidTr="007340DC">
              <w:tc>
                <w:tcPr>
                  <w:tcW w:w="3389"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r w:rsidRPr="00CA4D23">
                    <w:rPr>
                      <w:rStyle w:val="default"/>
                      <w:rFonts w:cs="FrankRuehl"/>
                      <w:rtl/>
                    </w:rPr>
                    <w:t>סוללות ראשוניות</w:t>
                  </w:r>
                </w:p>
              </w:tc>
              <w:tc>
                <w:tcPr>
                  <w:tcW w:w="1571"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990</w:t>
                  </w:r>
                </w:p>
              </w:tc>
              <w:tc>
                <w:tcPr>
                  <w:tcW w:w="2978"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300</w:t>
                  </w:r>
                </w:p>
              </w:tc>
            </w:tr>
            <w:tr w:rsidR="00C31447" w:rsidRPr="00E20144" w:rsidTr="007340DC">
              <w:tc>
                <w:tcPr>
                  <w:tcW w:w="3389"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r w:rsidRPr="00CA4D23">
                    <w:rPr>
                      <w:rStyle w:val="default"/>
                      <w:rFonts w:cs="FrankRuehl"/>
                      <w:rtl/>
                    </w:rPr>
                    <w:t>תקעים ובתי-תקע חשמליים לשימוש ביתי ודומה עד 16א'</w:t>
                  </w:r>
                </w:p>
              </w:tc>
              <w:tc>
                <w:tcPr>
                  <w:tcW w:w="1571"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32</w:t>
                  </w:r>
                </w:p>
              </w:tc>
              <w:tc>
                <w:tcPr>
                  <w:tcW w:w="2978"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150</w:t>
                  </w:r>
                </w:p>
              </w:tc>
            </w:tr>
            <w:tr w:rsidR="00C31447" w:rsidRPr="00E20144" w:rsidTr="007340DC">
              <w:tc>
                <w:tcPr>
                  <w:tcW w:w="3389"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r w:rsidRPr="00CA4D23">
                    <w:rPr>
                      <w:rStyle w:val="default"/>
                      <w:rFonts w:cs="FrankRuehl"/>
                      <w:rtl/>
                    </w:rPr>
                    <w:t>תרמוסטטים למחממי מים חשמליים</w:t>
                  </w:r>
                </w:p>
              </w:tc>
              <w:tc>
                <w:tcPr>
                  <w:tcW w:w="1571"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808</w:t>
                  </w:r>
                </w:p>
              </w:tc>
              <w:tc>
                <w:tcPr>
                  <w:tcW w:w="2978"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90</w:t>
                  </w:r>
                </w:p>
              </w:tc>
            </w:tr>
            <w:tr w:rsidR="00C31447" w:rsidRPr="00E20144" w:rsidTr="007340DC">
              <w:tc>
                <w:tcPr>
                  <w:tcW w:w="3389"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r w:rsidRPr="00CA4D23">
                    <w:rPr>
                      <w:rStyle w:val="default"/>
                      <w:rFonts w:cs="FrankRuehl"/>
                      <w:rtl/>
                    </w:rPr>
                    <w:t>מכשירים מיטלטלים הצורכים גז פחמימני מעובה</w:t>
                  </w:r>
                </w:p>
              </w:tc>
              <w:tc>
                <w:tcPr>
                  <w:tcW w:w="1571"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968</w:t>
                  </w:r>
                </w:p>
              </w:tc>
              <w:tc>
                <w:tcPr>
                  <w:tcW w:w="2978"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180</w:t>
                  </w:r>
                </w:p>
              </w:tc>
            </w:tr>
            <w:tr w:rsidR="00C31447" w:rsidRPr="00E20144" w:rsidTr="007340DC">
              <w:tc>
                <w:tcPr>
                  <w:tcW w:w="3389"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r w:rsidRPr="00CA4D23">
                    <w:rPr>
                      <w:rStyle w:val="default"/>
                      <w:rFonts w:cs="FrankRuehl"/>
                      <w:rtl/>
                    </w:rPr>
                    <w:t>מנועים אסיזכרוניים כלוביים (מנועי חשמל)</w:t>
                  </w:r>
                </w:p>
              </w:tc>
              <w:tc>
                <w:tcPr>
                  <w:tcW w:w="1571"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298</w:t>
                  </w:r>
                </w:p>
              </w:tc>
              <w:tc>
                <w:tcPr>
                  <w:tcW w:w="2978"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180</w:t>
                  </w:r>
                </w:p>
              </w:tc>
            </w:tr>
            <w:tr w:rsidR="00C31447" w:rsidRPr="00E20144" w:rsidTr="007340DC">
              <w:tc>
                <w:tcPr>
                  <w:tcW w:w="3389"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r w:rsidRPr="00CA4D23">
                    <w:rPr>
                      <w:rStyle w:val="default"/>
                      <w:rFonts w:cs="FrankRuehl"/>
                      <w:rtl/>
                    </w:rPr>
                    <w:t xml:space="preserve">תיבות חיבורים מחומר פלסטי לכבל "גג" או </w:t>
                  </w:r>
                  <w:r w:rsidRPr="00CA4D23">
                    <w:rPr>
                      <w:rStyle w:val="default"/>
                      <w:rFonts w:cs="FrankRuehl"/>
                    </w:rPr>
                    <w:t>P.V.C.</w:t>
                  </w:r>
                  <w:r w:rsidRPr="00CA4D23">
                    <w:rPr>
                      <w:rStyle w:val="default"/>
                      <w:rFonts w:cs="FrankRuehl"/>
                      <w:rtl/>
                    </w:rPr>
                    <w:t>: דרישות טיב</w:t>
                  </w:r>
                </w:p>
              </w:tc>
              <w:tc>
                <w:tcPr>
                  <w:tcW w:w="1571"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145</w:t>
                  </w:r>
                </w:p>
              </w:tc>
              <w:tc>
                <w:tcPr>
                  <w:tcW w:w="2978"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120</w:t>
                  </w:r>
                </w:p>
              </w:tc>
            </w:tr>
            <w:tr w:rsidR="00C31447" w:rsidRPr="00E20144" w:rsidTr="007340DC">
              <w:tc>
                <w:tcPr>
                  <w:tcW w:w="3389"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r w:rsidRPr="00CA4D23">
                    <w:rPr>
                      <w:rStyle w:val="default"/>
                      <w:rFonts w:cs="FrankRuehl"/>
                      <w:rtl/>
                    </w:rPr>
                    <w:t>גופי חימום חליפים למכשירי חשמל ביתיים</w:t>
                  </w:r>
                </w:p>
              </w:tc>
              <w:tc>
                <w:tcPr>
                  <w:tcW w:w="1571"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383</w:t>
                  </w:r>
                </w:p>
              </w:tc>
              <w:tc>
                <w:tcPr>
                  <w:tcW w:w="2978"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270</w:t>
                  </w:r>
                </w:p>
              </w:tc>
            </w:tr>
            <w:tr w:rsidR="00C31447" w:rsidRPr="00E20144" w:rsidTr="007340DC">
              <w:tc>
                <w:tcPr>
                  <w:tcW w:w="3389"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r w:rsidRPr="00CA4D23">
                    <w:rPr>
                      <w:rStyle w:val="default"/>
                      <w:rFonts w:cs="FrankRuehl"/>
                      <w:rtl/>
                    </w:rPr>
                    <w:t>מחממים חשמליים מיטלטלים לחימום בטבילה</w:t>
                  </w:r>
                </w:p>
              </w:tc>
              <w:tc>
                <w:tcPr>
                  <w:tcW w:w="1571"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901</w:t>
                  </w:r>
                </w:p>
              </w:tc>
              <w:tc>
                <w:tcPr>
                  <w:tcW w:w="2978"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270</w:t>
                  </w:r>
                </w:p>
              </w:tc>
            </w:tr>
            <w:tr w:rsidR="00C31447" w:rsidRPr="00E20144" w:rsidTr="007340DC">
              <w:tc>
                <w:tcPr>
                  <w:tcW w:w="3389"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bookmarkStart w:id="0" w:name="_GoBack" w:colFirst="0" w:colLast="0"/>
                  <w:r w:rsidRPr="00CA4D23">
                    <w:rPr>
                      <w:rStyle w:val="default"/>
                      <w:rFonts w:cs="FrankRuehl"/>
                      <w:rtl/>
                    </w:rPr>
                    <w:t>שמיכות, סדינים, כריות ומזרונים מחממים בחשמל</w:t>
                  </w:r>
                </w:p>
              </w:tc>
              <w:tc>
                <w:tcPr>
                  <w:tcW w:w="1571"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583</w:t>
                  </w:r>
                </w:p>
              </w:tc>
              <w:tc>
                <w:tcPr>
                  <w:tcW w:w="2978"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180</w:t>
                  </w:r>
                </w:p>
              </w:tc>
            </w:tr>
            <w:tr w:rsidR="00C31447" w:rsidRPr="00E20144" w:rsidTr="007340DC">
              <w:tc>
                <w:tcPr>
                  <w:tcW w:w="3389"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r w:rsidRPr="00CA4D23">
                    <w:rPr>
                      <w:rStyle w:val="default"/>
                      <w:rFonts w:cs="FrankRuehl"/>
                      <w:rtl/>
                    </w:rPr>
                    <w:t>אבזרי עזר לנורות פריקה: נטלים לנורות אדי כספית הפועלות בלחץ גבוה</w:t>
                  </w:r>
                </w:p>
              </w:tc>
              <w:tc>
                <w:tcPr>
                  <w:tcW w:w="1571"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582</w:t>
                  </w:r>
                </w:p>
              </w:tc>
              <w:tc>
                <w:tcPr>
                  <w:tcW w:w="2978"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180</w:t>
                  </w:r>
                </w:p>
              </w:tc>
            </w:tr>
            <w:bookmarkEnd w:id="0"/>
            <w:tr w:rsidR="00C31447" w:rsidRPr="00E20144" w:rsidTr="007340DC">
              <w:tc>
                <w:tcPr>
                  <w:tcW w:w="3389"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jc w:val="left"/>
                    <w:rPr>
                      <w:rStyle w:val="default"/>
                      <w:rFonts w:cs="FrankRuehl"/>
                    </w:rPr>
                  </w:pPr>
                  <w:r w:rsidRPr="00CA4D23">
                    <w:rPr>
                      <w:rStyle w:val="default"/>
                      <w:rFonts w:cs="FrankRuehl"/>
                      <w:rtl/>
                    </w:rPr>
                    <w:t xml:space="preserve">אבזרי עזר </w:t>
                  </w:r>
                  <w:r w:rsidRPr="00CA4D23">
                    <w:rPr>
                      <w:rStyle w:val="default"/>
                      <w:rFonts w:cs="FrankRuehl" w:hint="cs"/>
                      <w:rtl/>
                    </w:rPr>
                    <w:t>ל</w:t>
                  </w:r>
                  <w:r w:rsidRPr="00CA4D23">
                    <w:rPr>
                      <w:rStyle w:val="default"/>
                      <w:rFonts w:cs="FrankRuehl"/>
                      <w:rtl/>
                    </w:rPr>
                    <w:t>שפופרות פלואוריניות נטלים לא התנגדותיים</w:t>
                  </w:r>
                </w:p>
              </w:tc>
              <w:tc>
                <w:tcPr>
                  <w:tcW w:w="1571"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397 חלק 1</w:t>
                  </w:r>
                </w:p>
              </w:tc>
              <w:tc>
                <w:tcPr>
                  <w:tcW w:w="2978" w:type="dxa"/>
                  <w:tcBorders>
                    <w:top w:val="nil"/>
                    <w:left w:val="nil"/>
                    <w:bottom w:val="nil"/>
                    <w:right w:val="nil"/>
                  </w:tcBorders>
                  <w:tcMar>
                    <w:top w:w="0" w:type="dxa"/>
                    <w:left w:w="108" w:type="dxa"/>
                    <w:bottom w:w="0" w:type="dxa"/>
                    <w:right w:w="108" w:type="dxa"/>
                  </w:tcMar>
                </w:tcPr>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tl/>
                    </w:rPr>
                  </w:pPr>
                  <w:r w:rsidRPr="00CA4D23">
                    <w:rPr>
                      <w:rStyle w:val="default"/>
                      <w:rFonts w:cs="FrankRuehl"/>
                      <w:rtl/>
                    </w:rPr>
                    <w:t> </w:t>
                  </w:r>
                </w:p>
                <w:p w:rsidR="00C31447" w:rsidRPr="00CA4D23" w:rsidRDefault="00C31447" w:rsidP="00F96E2E">
                  <w:pPr>
                    <w:pStyle w:val="P00"/>
                    <w:tabs>
                      <w:tab w:val="clear" w:pos="624"/>
                      <w:tab w:val="clear" w:pos="1021"/>
                      <w:tab w:val="clear" w:pos="1474"/>
                      <w:tab w:val="clear" w:pos="1928"/>
                      <w:tab w:val="clear" w:pos="2381"/>
                      <w:tab w:val="clear" w:pos="2835"/>
                      <w:tab w:val="clear" w:pos="6259"/>
                    </w:tabs>
                    <w:spacing w:before="0"/>
                    <w:ind w:left="0"/>
                    <w:rPr>
                      <w:rStyle w:val="default"/>
                      <w:rFonts w:cs="FrankRuehl"/>
                    </w:rPr>
                  </w:pPr>
                  <w:r w:rsidRPr="00CA4D23">
                    <w:rPr>
                      <w:rStyle w:val="default"/>
                      <w:rFonts w:cs="FrankRuehl"/>
                      <w:rtl/>
                    </w:rPr>
                    <w:t>180</w:t>
                  </w:r>
                </w:p>
              </w:tc>
            </w:tr>
          </w:tbl>
          <w:p w:rsidR="00C31447" w:rsidRDefault="00C31447">
            <w:pPr>
              <w:pStyle w:val="TableBlock"/>
            </w:pPr>
          </w:p>
        </w:tc>
      </w:tr>
      <w:tr w:rsidR="00530A3D">
        <w:trPr>
          <w:cantSplit/>
          <w:trHeight w:val="60"/>
        </w:trPr>
        <w:tc>
          <w:tcPr>
            <w:tcW w:w="1871" w:type="dxa"/>
          </w:tcPr>
          <w:p w:rsidR="00530A3D" w:rsidRDefault="00530A3D" w:rsidP="00F96E2E">
            <w:pPr>
              <w:pStyle w:val="TableSideHeading"/>
              <w:keepLines w:val="0"/>
            </w:pPr>
            <w:r>
              <w:rPr>
                <w:rFonts w:hint="cs"/>
                <w:rtl/>
              </w:rPr>
              <w:t>תחילה</w:t>
            </w:r>
          </w:p>
        </w:tc>
        <w:tc>
          <w:tcPr>
            <w:tcW w:w="624" w:type="dxa"/>
          </w:tcPr>
          <w:p w:rsidR="00530A3D" w:rsidRDefault="00530A3D" w:rsidP="00530A3D">
            <w:pPr>
              <w:pStyle w:val="TableText"/>
              <w:keepLines w:val="0"/>
              <w:numPr>
                <w:ilvl w:val="0"/>
                <w:numId w:val="1"/>
              </w:numPr>
            </w:pPr>
          </w:p>
        </w:tc>
        <w:tc>
          <w:tcPr>
            <w:tcW w:w="7146" w:type="dxa"/>
            <w:gridSpan w:val="2"/>
          </w:tcPr>
          <w:p w:rsidR="00530A3D" w:rsidRPr="00C34DE2" w:rsidRDefault="00530A3D" w:rsidP="00D27EED">
            <w:pPr>
              <w:pStyle w:val="TableBlock"/>
              <w:keepLines w:val="0"/>
            </w:pPr>
            <w:r>
              <w:rPr>
                <w:rFonts w:hint="cs"/>
                <w:rtl/>
              </w:rPr>
              <w:t xml:space="preserve">תחילתו של צו זה </w:t>
            </w:r>
            <w:r w:rsidR="00B70720">
              <w:rPr>
                <w:rFonts w:hint="cs"/>
                <w:rtl/>
              </w:rPr>
              <w:t xml:space="preserve">שישים יום </w:t>
            </w:r>
            <w:r>
              <w:rPr>
                <w:rFonts w:hint="cs"/>
                <w:rtl/>
              </w:rPr>
              <w:t xml:space="preserve">מיום פרסומו. </w:t>
            </w:r>
          </w:p>
        </w:tc>
      </w:tr>
    </w:tbl>
    <w:p w:rsidR="00D44096" w:rsidRDefault="00D44096" w:rsidP="00CA4D23">
      <w:pPr>
        <w:pStyle w:val="HeadDivreiHesber"/>
        <w:jc w:val="left"/>
        <w:rPr>
          <w:rtl/>
        </w:rPr>
      </w:pPr>
    </w:p>
    <w:p w:rsidR="00D44096" w:rsidRDefault="00CA4D23" w:rsidP="002E64FD">
      <w:pPr>
        <w:pStyle w:val="HeadDivreiHesber"/>
        <w:jc w:val="left"/>
        <w:rPr>
          <w:rtl/>
        </w:rPr>
      </w:pPr>
      <w:r>
        <w:rPr>
          <w:rFonts w:hint="cs"/>
          <w:rtl/>
        </w:rPr>
        <w:t xml:space="preserve">___ </w:t>
      </w:r>
      <w:r w:rsidR="002E64FD">
        <w:rPr>
          <w:rFonts w:hint="cs"/>
          <w:rtl/>
        </w:rPr>
        <w:t xml:space="preserve">בחשוון </w:t>
      </w:r>
      <w:r>
        <w:rPr>
          <w:rFonts w:hint="cs"/>
          <w:rtl/>
        </w:rPr>
        <w:t>תשע"</w:t>
      </w:r>
      <w:r w:rsidR="002E64FD">
        <w:rPr>
          <w:rFonts w:hint="cs"/>
          <w:rtl/>
        </w:rPr>
        <w:t xml:space="preserve">ח </w:t>
      </w:r>
      <w:r>
        <w:rPr>
          <w:rFonts w:hint="cs"/>
          <w:rtl/>
        </w:rPr>
        <w:t xml:space="preserve">(__ </w:t>
      </w:r>
      <w:r w:rsidR="002E64FD">
        <w:rPr>
          <w:rFonts w:hint="cs"/>
          <w:rtl/>
        </w:rPr>
        <w:t xml:space="preserve">בנובמבר </w:t>
      </w:r>
      <w:r>
        <w:rPr>
          <w:rFonts w:hint="cs"/>
          <w:rtl/>
        </w:rPr>
        <w:t>2017)</w:t>
      </w:r>
    </w:p>
    <w:p w:rsidR="00337469" w:rsidRDefault="00D44096" w:rsidP="001A331D">
      <w:pPr>
        <w:pStyle w:val="HeadDivreiHesber"/>
        <w:jc w:val="left"/>
        <w:rPr>
          <w:rtl/>
        </w:rPr>
      </w:pPr>
      <w:r>
        <w:rPr>
          <w:rFonts w:hint="cs"/>
          <w:rtl/>
        </w:rPr>
        <w:t xml:space="preserve">(חמ </w:t>
      </w:r>
      <w:r w:rsidR="001A331D">
        <w:rPr>
          <w:rFonts w:hint="cs"/>
          <w:rtl/>
        </w:rPr>
        <w:t>3-966-ת1)</w:t>
      </w:r>
      <w:r w:rsidR="00CA4D23">
        <w:rPr>
          <w:rFonts w:hint="cs"/>
          <w:rtl/>
        </w:rPr>
        <w:tab/>
      </w:r>
      <w:r w:rsidR="00CA4D23">
        <w:rPr>
          <w:rFonts w:hint="cs"/>
          <w:rtl/>
        </w:rPr>
        <w:tab/>
      </w:r>
    </w:p>
    <w:p w:rsidR="00CA4D23" w:rsidRPr="00CA4D23" w:rsidRDefault="00CA4D23" w:rsidP="00CA4D23">
      <w:pPr>
        <w:pStyle w:val="HeadDivreiHesber"/>
        <w:spacing w:before="0" w:line="240" w:lineRule="auto"/>
        <w:jc w:val="left"/>
        <w:rPr>
          <w:b w:val="0"/>
          <w:bCs/>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 xml:space="preserve">  </w:t>
      </w:r>
      <w:r w:rsidRPr="00CA4D23">
        <w:rPr>
          <w:rFonts w:hint="cs"/>
          <w:b w:val="0"/>
          <w:bCs/>
          <w:rtl/>
        </w:rPr>
        <w:t>אלי כהן</w:t>
      </w:r>
    </w:p>
    <w:p w:rsidR="00CA4D23" w:rsidRDefault="00CA4D23" w:rsidP="00CA4D23">
      <w:pPr>
        <w:pStyle w:val="HeadDivreiHesber"/>
        <w:spacing w:before="0" w:line="240" w:lineRule="auto"/>
        <w:jc w:val="left"/>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 xml:space="preserve">שר הכלכלה והתעשייה </w:t>
      </w:r>
    </w:p>
    <w:p w:rsidR="00337469" w:rsidRDefault="00337469">
      <w:pPr>
        <w:pStyle w:val="HeadDivreiHesber"/>
        <w:rPr>
          <w:rtl/>
        </w:rPr>
      </w:pPr>
      <w:r>
        <w:rPr>
          <w:rtl/>
        </w:rPr>
        <w:br w:type="page"/>
      </w:r>
      <w:r>
        <w:rPr>
          <w:rFonts w:hint="cs"/>
          <w:rtl/>
        </w:rPr>
        <w:lastRenderedPageBreak/>
        <w:t>דברי הסבר</w:t>
      </w:r>
    </w:p>
    <w:p w:rsidR="00337469" w:rsidRPr="002213BB" w:rsidRDefault="00337469">
      <w:pPr>
        <w:pStyle w:val="Hesber1st"/>
        <w:tabs>
          <w:tab w:val="clear" w:pos="680"/>
        </w:tabs>
        <w:rPr>
          <w:rtl/>
        </w:rPr>
      </w:pPr>
    </w:p>
    <w:p w:rsidR="00CA4D23" w:rsidRDefault="00CA4D23" w:rsidP="00CA4D23">
      <w:pPr>
        <w:widowControl/>
        <w:autoSpaceDE/>
        <w:autoSpaceDN/>
        <w:adjustRightInd/>
        <w:spacing w:before="0" w:line="240" w:lineRule="auto"/>
        <w:ind w:firstLine="0"/>
        <w:textAlignment w:val="auto"/>
        <w:rPr>
          <w:rFonts w:ascii="Times New Roman" w:eastAsia="Times New Roman" w:hAnsi="Times New Roman" w:cs="David"/>
          <w:color w:val="auto"/>
          <w:spacing w:val="0"/>
          <w:sz w:val="24"/>
          <w:szCs w:val="24"/>
          <w:rtl/>
          <w:lang w:eastAsia="he-IL"/>
        </w:rPr>
      </w:pPr>
      <w:r>
        <w:rPr>
          <w:rFonts w:ascii="Times New Roman" w:eastAsia="Times New Roman" w:hAnsi="Times New Roman" w:cs="David" w:hint="cs"/>
          <w:color w:val="auto"/>
          <w:spacing w:val="0"/>
          <w:sz w:val="24"/>
          <w:szCs w:val="24"/>
          <w:rtl/>
          <w:lang w:eastAsia="he-IL"/>
        </w:rPr>
        <w:t>סעיף 9(ב) לחוק התקנים, תשיג-1953 קובע כי לשר הכלכלה והתעשייה הסמכות לקבוע בצו "</w:t>
      </w:r>
      <w:r w:rsidRPr="00CA4D23">
        <w:rPr>
          <w:rFonts w:ascii="Times New Roman" w:eastAsia="Times New Roman" w:hAnsi="Times New Roman" w:cs="David"/>
          <w:color w:val="auto"/>
          <w:spacing w:val="0"/>
          <w:sz w:val="24"/>
          <w:szCs w:val="24"/>
          <w:rtl/>
          <w:lang w:eastAsia="he-IL"/>
        </w:rPr>
        <w:t>כי לא יעשה אדם במצרך שמיפרט שלו נקבע כתקן רשמי את אחד המעשים המנויים בסעיף קטן (א), אלא אם ניתן לו היתר מאת המכון לסמנו בתו תקן וסימנו בהתאם לתנאי ההיתר; המכון רשאי לבטל היתר כזה לגבי מצרך שניתן עליו היתר ולא יוצר לפי דרישות התקן.</w:t>
      </w:r>
      <w:r>
        <w:rPr>
          <w:rFonts w:ascii="Times New Roman" w:eastAsia="Times New Roman" w:hAnsi="Times New Roman" w:cs="David" w:hint="cs"/>
          <w:color w:val="auto"/>
          <w:spacing w:val="0"/>
          <w:sz w:val="24"/>
          <w:szCs w:val="24"/>
          <w:rtl/>
          <w:lang w:eastAsia="he-IL"/>
        </w:rPr>
        <w:t>"</w:t>
      </w:r>
    </w:p>
    <w:p w:rsidR="00CA4D23" w:rsidRDefault="00CA4D23" w:rsidP="00CA4D23">
      <w:pPr>
        <w:widowControl/>
        <w:autoSpaceDE/>
        <w:autoSpaceDN/>
        <w:adjustRightInd/>
        <w:spacing w:before="0" w:line="240" w:lineRule="auto"/>
        <w:ind w:firstLine="0"/>
        <w:textAlignment w:val="auto"/>
        <w:rPr>
          <w:rFonts w:ascii="Times New Roman" w:eastAsia="Times New Roman" w:hAnsi="Times New Roman" w:cs="David"/>
          <w:color w:val="auto"/>
          <w:spacing w:val="0"/>
          <w:sz w:val="24"/>
          <w:szCs w:val="24"/>
          <w:rtl/>
          <w:lang w:eastAsia="he-IL"/>
        </w:rPr>
      </w:pPr>
    </w:p>
    <w:p w:rsidR="00CA4D23" w:rsidRPr="00CA4D23" w:rsidRDefault="00CA4D23" w:rsidP="00CA4D23">
      <w:pPr>
        <w:widowControl/>
        <w:autoSpaceDE/>
        <w:autoSpaceDN/>
        <w:adjustRightInd/>
        <w:spacing w:before="0" w:line="240" w:lineRule="auto"/>
        <w:ind w:firstLine="0"/>
        <w:textAlignment w:val="auto"/>
        <w:rPr>
          <w:rFonts w:ascii="Times New Roman" w:eastAsia="Times New Roman" w:hAnsi="Times New Roman" w:cs="David"/>
          <w:color w:val="auto"/>
          <w:spacing w:val="0"/>
          <w:sz w:val="24"/>
          <w:szCs w:val="24"/>
          <w:rtl/>
          <w:lang w:eastAsia="he-IL"/>
        </w:rPr>
      </w:pPr>
      <w:r w:rsidRPr="00CA4D23">
        <w:rPr>
          <w:rFonts w:ascii="Times New Roman" w:eastAsia="Times New Roman" w:hAnsi="Times New Roman" w:cs="David"/>
          <w:color w:val="auto"/>
          <w:spacing w:val="0"/>
          <w:sz w:val="24"/>
          <w:szCs w:val="24"/>
          <w:rtl/>
          <w:lang w:eastAsia="he-IL"/>
        </w:rPr>
        <w:t xml:space="preserve">ברוח מדיניות הממשלה להקלה ברגולציה, בחן משרד הכלכלה </w:t>
      </w:r>
      <w:r w:rsidRPr="00CA4D23">
        <w:rPr>
          <w:rFonts w:ascii="Times New Roman" w:eastAsia="Times New Roman" w:hAnsi="Times New Roman" w:cs="David" w:hint="cs"/>
          <w:color w:val="auto"/>
          <w:spacing w:val="0"/>
          <w:sz w:val="24"/>
          <w:szCs w:val="24"/>
          <w:rtl/>
          <w:lang w:eastAsia="he-IL"/>
        </w:rPr>
        <w:t xml:space="preserve">והתעשייה </w:t>
      </w:r>
      <w:r w:rsidRPr="00CA4D23">
        <w:rPr>
          <w:rFonts w:ascii="Times New Roman" w:eastAsia="Times New Roman" w:hAnsi="Times New Roman" w:cs="David"/>
          <w:color w:val="auto"/>
          <w:spacing w:val="0"/>
          <w:sz w:val="24"/>
          <w:szCs w:val="24"/>
          <w:rtl/>
          <w:lang w:eastAsia="he-IL"/>
        </w:rPr>
        <w:t>את רשימת התקנים שב</w:t>
      </w:r>
      <w:r w:rsidRPr="00CA4D23">
        <w:rPr>
          <w:rFonts w:ascii="Times New Roman" w:eastAsia="Times New Roman" w:hAnsi="Times New Roman" w:cs="David" w:hint="cs"/>
          <w:color w:val="auto"/>
          <w:spacing w:val="0"/>
          <w:sz w:val="24"/>
          <w:szCs w:val="24"/>
          <w:rtl/>
          <w:lang w:eastAsia="he-IL"/>
        </w:rPr>
        <w:t>תוספת ל</w:t>
      </w:r>
      <w:r w:rsidRPr="00CA4D23">
        <w:rPr>
          <w:rFonts w:ascii="Times New Roman" w:eastAsia="Times New Roman" w:hAnsi="Times New Roman" w:cs="David"/>
          <w:color w:val="auto"/>
          <w:spacing w:val="0"/>
          <w:sz w:val="24"/>
          <w:szCs w:val="24"/>
          <w:rtl/>
          <w:lang w:eastAsia="he-IL"/>
        </w:rPr>
        <w:t>צו התקנים.</w:t>
      </w:r>
    </w:p>
    <w:p w:rsidR="00CA4D23" w:rsidRPr="00CA4D23" w:rsidRDefault="00CA4D23" w:rsidP="00CA4D23">
      <w:pPr>
        <w:widowControl/>
        <w:autoSpaceDE/>
        <w:autoSpaceDN/>
        <w:adjustRightInd/>
        <w:spacing w:before="0" w:line="240" w:lineRule="auto"/>
        <w:ind w:firstLine="0"/>
        <w:textAlignment w:val="auto"/>
        <w:rPr>
          <w:rFonts w:ascii="Times New Roman" w:eastAsia="Times New Roman" w:hAnsi="Times New Roman" w:cs="David"/>
          <w:color w:val="auto"/>
          <w:spacing w:val="0"/>
          <w:sz w:val="24"/>
          <w:szCs w:val="24"/>
          <w:rtl/>
          <w:lang w:eastAsia="he-IL"/>
        </w:rPr>
      </w:pPr>
    </w:p>
    <w:p w:rsidR="00CA4D23" w:rsidRPr="00CA4D23" w:rsidRDefault="00CA4D23" w:rsidP="00CA4D23">
      <w:pPr>
        <w:widowControl/>
        <w:autoSpaceDE/>
        <w:autoSpaceDN/>
        <w:adjustRightInd/>
        <w:spacing w:before="0" w:line="240" w:lineRule="auto"/>
        <w:ind w:firstLine="0"/>
        <w:textAlignment w:val="auto"/>
        <w:rPr>
          <w:rFonts w:ascii="Times New Roman" w:eastAsia="Times New Roman" w:hAnsi="Times New Roman" w:cs="David"/>
          <w:color w:val="auto"/>
          <w:spacing w:val="0"/>
          <w:sz w:val="24"/>
          <w:szCs w:val="24"/>
          <w:rtl/>
          <w:lang w:eastAsia="he-IL"/>
        </w:rPr>
      </w:pPr>
      <w:r w:rsidRPr="00CA4D23">
        <w:rPr>
          <w:rFonts w:ascii="Times New Roman" w:eastAsia="Times New Roman" w:hAnsi="Times New Roman" w:cs="David"/>
          <w:color w:val="auto"/>
          <w:spacing w:val="0"/>
          <w:sz w:val="24"/>
          <w:szCs w:val="24"/>
          <w:rtl/>
          <w:lang w:eastAsia="he-IL"/>
        </w:rPr>
        <w:t>במסגרת הבחינה נלקחו בחשבון, בין היתר: שיקולי כדאיות כלכלית וחיסכון למשק, האם קיים ייצור בארץ, מידת הסיכון הפוטנציאלי הישיר שבמוצר, תפוצת המוצר, המגע הישיר שיש למשתמש עם המוצר, ממצאי אכיפה ועוד.</w:t>
      </w:r>
    </w:p>
    <w:p w:rsidR="00CA4D23" w:rsidRPr="00CA4D23" w:rsidRDefault="00CA4D23" w:rsidP="00CA4D23">
      <w:pPr>
        <w:widowControl/>
        <w:autoSpaceDE/>
        <w:autoSpaceDN/>
        <w:adjustRightInd/>
        <w:spacing w:before="0" w:line="240" w:lineRule="auto"/>
        <w:ind w:firstLine="0"/>
        <w:textAlignment w:val="auto"/>
        <w:rPr>
          <w:rFonts w:ascii="Times New Roman" w:eastAsia="Times New Roman" w:hAnsi="Times New Roman" w:cs="David"/>
          <w:color w:val="auto"/>
          <w:spacing w:val="0"/>
          <w:sz w:val="24"/>
          <w:szCs w:val="24"/>
          <w:rtl/>
          <w:lang w:eastAsia="he-IL"/>
        </w:rPr>
      </w:pPr>
    </w:p>
    <w:p w:rsidR="00CA4D23" w:rsidRDefault="00CA4D23" w:rsidP="005A13AE">
      <w:pPr>
        <w:widowControl/>
        <w:autoSpaceDE/>
        <w:autoSpaceDN/>
        <w:adjustRightInd/>
        <w:spacing w:before="0" w:line="240" w:lineRule="auto"/>
        <w:ind w:firstLine="0"/>
        <w:textAlignment w:val="auto"/>
        <w:rPr>
          <w:rFonts w:ascii="Times New Roman" w:eastAsia="Times New Roman" w:hAnsi="Times New Roman" w:cs="David"/>
          <w:color w:val="auto"/>
          <w:spacing w:val="0"/>
          <w:sz w:val="24"/>
          <w:szCs w:val="24"/>
          <w:rtl/>
          <w:lang w:eastAsia="he-IL"/>
        </w:rPr>
      </w:pPr>
      <w:r>
        <w:rPr>
          <w:rFonts w:ascii="Times New Roman" w:eastAsia="Times New Roman" w:hAnsi="Times New Roman" w:cs="David" w:hint="cs"/>
          <w:color w:val="auto"/>
          <w:spacing w:val="0"/>
          <w:sz w:val="24"/>
          <w:szCs w:val="24"/>
          <w:rtl/>
          <w:lang w:eastAsia="he-IL"/>
        </w:rPr>
        <w:t xml:space="preserve">בנוסף, בהזדמנות תיקון זה מוצע לדייק את נוסחו של סעיף 2(א), למרות שניכר כי כוונת שר הכלכלה </w:t>
      </w:r>
      <w:r w:rsidR="005A13AE">
        <w:rPr>
          <w:rFonts w:ascii="Times New Roman" w:eastAsia="Times New Roman" w:hAnsi="Times New Roman" w:cs="David" w:hint="cs"/>
          <w:color w:val="auto"/>
          <w:spacing w:val="0"/>
          <w:sz w:val="24"/>
          <w:szCs w:val="24"/>
          <w:rtl/>
          <w:lang w:eastAsia="he-IL"/>
        </w:rPr>
        <w:t>בקביעת הצו בשנים 1981 ולאחר מכן בתיקונו בשנת 1983 הייתה איסור ייצור, שכן</w:t>
      </w:r>
      <w:r>
        <w:rPr>
          <w:rFonts w:ascii="Times New Roman" w:eastAsia="Times New Roman" w:hAnsi="Times New Roman" w:cs="David" w:hint="cs"/>
          <w:color w:val="auto"/>
          <w:spacing w:val="0"/>
          <w:sz w:val="24"/>
          <w:szCs w:val="24"/>
          <w:rtl/>
          <w:lang w:eastAsia="he-IL"/>
        </w:rPr>
        <w:t xml:space="preserve"> כותרתו של סעיף 2(א) בצו הינה "איסור יצור" </w:t>
      </w:r>
      <w:r w:rsidR="005A13AE">
        <w:rPr>
          <w:rFonts w:ascii="Times New Roman" w:eastAsia="Times New Roman" w:hAnsi="Times New Roman" w:cs="David" w:hint="cs"/>
          <w:color w:val="auto"/>
          <w:spacing w:val="0"/>
          <w:sz w:val="24"/>
          <w:szCs w:val="24"/>
          <w:rtl/>
          <w:lang w:eastAsia="he-IL"/>
        </w:rPr>
        <w:t xml:space="preserve">ובנוסף, בחר שלא לאסור פעולת ייבוא של המצרכים המפורטים בתוספת בתנאי שקיבלו היתר תו לקן אלא האיסור הוא על פעולות הרכבה, יצור, אחזקה למכירה ומכירה. מוצע לדייק את הנוסח כך שיהיה ברור כי האיסור לענין המכירה הוא לגבי מוצרים שהורכבו או יוצרו בישראל. </w:t>
      </w:r>
    </w:p>
    <w:p w:rsidR="005A13AE" w:rsidRDefault="005A13AE" w:rsidP="005A13AE">
      <w:pPr>
        <w:widowControl/>
        <w:autoSpaceDE/>
        <w:autoSpaceDN/>
        <w:adjustRightInd/>
        <w:spacing w:before="0" w:line="240" w:lineRule="auto"/>
        <w:ind w:firstLine="0"/>
        <w:textAlignment w:val="auto"/>
        <w:rPr>
          <w:rFonts w:ascii="Times New Roman" w:eastAsia="Times New Roman" w:hAnsi="Times New Roman" w:cs="David"/>
          <w:color w:val="auto"/>
          <w:spacing w:val="0"/>
          <w:sz w:val="24"/>
          <w:szCs w:val="24"/>
          <w:rtl/>
          <w:lang w:eastAsia="he-IL"/>
        </w:rPr>
      </w:pPr>
    </w:p>
    <w:p w:rsidR="00337469" w:rsidRDefault="00337469"/>
    <w:p w:rsidR="003548EB" w:rsidRDefault="003548EB"/>
    <w:sectPr w:rsidR="003548EB" w:rsidSect="00415B40">
      <w:headerReference w:type="default" r:id="rId11"/>
      <w:footerReference w:type="default" r:id="rId12"/>
      <w:pgSz w:w="11906" w:h="16838"/>
      <w:pgMar w:top="1440" w:right="1800" w:bottom="1440" w:left="1800" w:header="0"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858" w:rsidRDefault="00C90858" w:rsidP="00415B40">
      <w:pPr>
        <w:spacing w:line="240" w:lineRule="auto"/>
      </w:pPr>
      <w:r>
        <w:separator/>
      </w:r>
    </w:p>
  </w:endnote>
  <w:endnote w:type="continuationSeparator" w:id="0">
    <w:p w:rsidR="00C90858" w:rsidRDefault="00C90858" w:rsidP="00415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182" w:rsidRPr="00482C18" w:rsidRDefault="00366182" w:rsidP="00366182">
    <w:pPr>
      <w:pStyle w:val="a5"/>
      <w:rPr>
        <w:rtl/>
        <w:cs/>
      </w:rPr>
    </w:pPr>
  </w:p>
  <w:p w:rsidR="00415B40" w:rsidRDefault="00415B40" w:rsidP="00415B40">
    <w:pPr>
      <w:pStyle w:val="a5"/>
      <w:ind w:hanging="1759"/>
      <w:rPr>
        <w:rtl/>
      </w:rPr>
    </w:pPr>
  </w:p>
  <w:p w:rsidR="00482C18" w:rsidRDefault="00482C18" w:rsidP="00415B40">
    <w:pPr>
      <w:pStyle w:val="a5"/>
      <w:ind w:hanging="175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858" w:rsidRDefault="00C90858" w:rsidP="00415B40">
      <w:pPr>
        <w:spacing w:line="240" w:lineRule="auto"/>
      </w:pPr>
      <w:r>
        <w:separator/>
      </w:r>
    </w:p>
  </w:footnote>
  <w:footnote w:type="continuationSeparator" w:id="0">
    <w:p w:rsidR="00C90858" w:rsidRDefault="00C90858" w:rsidP="00415B40">
      <w:pPr>
        <w:spacing w:line="240" w:lineRule="auto"/>
      </w:pPr>
      <w:r>
        <w:continuationSeparator/>
      </w:r>
    </w:p>
  </w:footnote>
  <w:footnote w:id="1">
    <w:p w:rsidR="000D4813" w:rsidRDefault="000D4813" w:rsidP="000D4813">
      <w:pPr>
        <w:pStyle w:val="ab"/>
        <w:rPr>
          <w:rtl/>
        </w:rPr>
      </w:pPr>
      <w:r>
        <w:rPr>
          <w:rStyle w:val="ad"/>
        </w:rPr>
        <w:footnoteRef/>
      </w:r>
      <w:r>
        <w:rPr>
          <w:rtl/>
        </w:rPr>
        <w:t xml:space="preserve"> </w:t>
      </w:r>
      <w:r w:rsidRPr="00B70720">
        <w:rPr>
          <w:rtl/>
        </w:rPr>
        <w:t xml:space="preserve">ס"ח התשי"ג, עמ' 30 ; </w:t>
      </w:r>
      <w:r w:rsidRPr="00B70720">
        <w:rPr>
          <w:rFonts w:hint="eastAsia"/>
          <w:rtl/>
        </w:rPr>
        <w:t>התשע</w:t>
      </w:r>
      <w:r w:rsidRPr="00B70720">
        <w:rPr>
          <w:rtl/>
        </w:rPr>
        <w:t xml:space="preserve">"ז, עמ' </w:t>
      </w:r>
      <w:r>
        <w:rPr>
          <w:rFonts w:hint="cs"/>
          <w:rtl/>
        </w:rPr>
        <w:t>162.</w:t>
      </w:r>
    </w:p>
  </w:footnote>
  <w:footnote w:id="2">
    <w:p w:rsidR="005A13AE" w:rsidRDefault="005A13AE" w:rsidP="000D4813">
      <w:pPr>
        <w:pStyle w:val="ab"/>
      </w:pPr>
      <w:r>
        <w:rPr>
          <w:rStyle w:val="ad"/>
        </w:rPr>
        <w:footnoteRef/>
      </w:r>
      <w:r>
        <w:rPr>
          <w:rtl/>
        </w:rPr>
        <w:t xml:space="preserve"> </w:t>
      </w:r>
      <w:r w:rsidR="000D4813">
        <w:rPr>
          <w:rFonts w:hint="cs"/>
          <w:rtl/>
        </w:rPr>
        <w:t>ק"ת</w:t>
      </w:r>
      <w:r>
        <w:rPr>
          <w:rFonts w:hint="cs"/>
          <w:rtl/>
        </w:rPr>
        <w:t xml:space="preserve"> התשמ"א, עמ' 160; התשס"ח, עמ' 1184</w:t>
      </w:r>
      <w:r w:rsidR="000D4813">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B40" w:rsidRDefault="00415B40" w:rsidP="004F2CB2">
    <w:pPr>
      <w:pStyle w:val="a3"/>
      <w:tabs>
        <w:tab w:val="clear" w:pos="8306"/>
      </w:tabs>
      <w:ind w:left="-58" w:right="-1800" w:hanging="17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FC4300"/>
    <w:multiLevelType w:val="hybridMultilevel"/>
    <w:tmpl w:val="47CEF8A6"/>
    <w:lvl w:ilvl="0" w:tplc="022E1D7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69"/>
    <w:rsid w:val="0006204A"/>
    <w:rsid w:val="000D4813"/>
    <w:rsid w:val="000E043A"/>
    <w:rsid w:val="00160333"/>
    <w:rsid w:val="00163780"/>
    <w:rsid w:val="001A331D"/>
    <w:rsid w:val="001B3988"/>
    <w:rsid w:val="001D316A"/>
    <w:rsid w:val="001E178A"/>
    <w:rsid w:val="001E6009"/>
    <w:rsid w:val="001F5F69"/>
    <w:rsid w:val="002E64FD"/>
    <w:rsid w:val="002F404B"/>
    <w:rsid w:val="00337469"/>
    <w:rsid w:val="003548EB"/>
    <w:rsid w:val="00366182"/>
    <w:rsid w:val="00384165"/>
    <w:rsid w:val="003A0ACC"/>
    <w:rsid w:val="003B4717"/>
    <w:rsid w:val="00415B40"/>
    <w:rsid w:val="004210F5"/>
    <w:rsid w:val="004636F5"/>
    <w:rsid w:val="00482C18"/>
    <w:rsid w:val="00484375"/>
    <w:rsid w:val="004F2CB2"/>
    <w:rsid w:val="00530A3D"/>
    <w:rsid w:val="00571D4F"/>
    <w:rsid w:val="005A13AE"/>
    <w:rsid w:val="005E500F"/>
    <w:rsid w:val="005F02E0"/>
    <w:rsid w:val="005F60F5"/>
    <w:rsid w:val="00665614"/>
    <w:rsid w:val="006E1E74"/>
    <w:rsid w:val="007340DC"/>
    <w:rsid w:val="007448D9"/>
    <w:rsid w:val="00790FDF"/>
    <w:rsid w:val="00832B0B"/>
    <w:rsid w:val="008422E4"/>
    <w:rsid w:val="008524E6"/>
    <w:rsid w:val="008B4E2F"/>
    <w:rsid w:val="008D175C"/>
    <w:rsid w:val="008E37B9"/>
    <w:rsid w:val="00A86972"/>
    <w:rsid w:val="00B54FEA"/>
    <w:rsid w:val="00B7010C"/>
    <w:rsid w:val="00B70720"/>
    <w:rsid w:val="00C31447"/>
    <w:rsid w:val="00C90858"/>
    <w:rsid w:val="00CA4D23"/>
    <w:rsid w:val="00CB2749"/>
    <w:rsid w:val="00CF39C9"/>
    <w:rsid w:val="00D27EED"/>
    <w:rsid w:val="00D44096"/>
    <w:rsid w:val="00EC1F68"/>
    <w:rsid w:val="00EC7472"/>
    <w:rsid w:val="00EF6107"/>
    <w:rsid w:val="00F9454D"/>
    <w:rsid w:val="00F96E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7967993-640C-483E-A247-6BADA615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469"/>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37469"/>
    <w:pPr>
      <w:tabs>
        <w:tab w:val="center" w:pos="4153"/>
        <w:tab w:val="right" w:pos="8306"/>
      </w:tabs>
    </w:pPr>
  </w:style>
  <w:style w:type="character" w:customStyle="1" w:styleId="a4">
    <w:name w:val="כותרת עליונה תו"/>
    <w:basedOn w:val="a0"/>
    <w:link w:val="a3"/>
    <w:rsid w:val="00415B40"/>
    <w:rPr>
      <w:rFonts w:ascii="Hadasa Roso SL" w:eastAsia="MS Mincho" w:hAnsi="Hadasa Roso SL" w:cs="Hadasa Roso SL"/>
      <w:color w:val="000000"/>
      <w:spacing w:val="1"/>
      <w:sz w:val="17"/>
      <w:szCs w:val="17"/>
      <w:lang w:eastAsia="ja-JP"/>
    </w:rPr>
  </w:style>
  <w:style w:type="paragraph" w:styleId="a5">
    <w:name w:val="footer"/>
    <w:basedOn w:val="a"/>
    <w:link w:val="a6"/>
    <w:rsid w:val="00337469"/>
    <w:pPr>
      <w:tabs>
        <w:tab w:val="center" w:pos="4153"/>
        <w:tab w:val="right" w:pos="8306"/>
      </w:tabs>
    </w:pPr>
  </w:style>
  <w:style w:type="character" w:customStyle="1" w:styleId="a6">
    <w:name w:val="כותרת תחתונה תו"/>
    <w:basedOn w:val="a0"/>
    <w:link w:val="a5"/>
    <w:rsid w:val="00415B40"/>
    <w:rPr>
      <w:rFonts w:ascii="Hadasa Roso SL" w:eastAsia="MS Mincho" w:hAnsi="Hadasa Roso SL" w:cs="Hadasa Roso SL"/>
      <w:color w:val="000000"/>
      <w:spacing w:val="1"/>
      <w:sz w:val="17"/>
      <w:szCs w:val="17"/>
      <w:lang w:eastAsia="ja-JP"/>
    </w:rPr>
  </w:style>
  <w:style w:type="paragraph" w:styleId="a7">
    <w:name w:val="Balloon Text"/>
    <w:basedOn w:val="a"/>
    <w:link w:val="a8"/>
    <w:uiPriority w:val="99"/>
    <w:semiHidden/>
    <w:unhideWhenUsed/>
    <w:rsid w:val="00415B40"/>
    <w:pPr>
      <w:spacing w:line="240" w:lineRule="auto"/>
    </w:pPr>
    <w:rPr>
      <w:rFonts w:ascii="Tahoma" w:hAnsi="Tahoma" w:cs="Tahoma"/>
      <w:sz w:val="16"/>
      <w:szCs w:val="16"/>
    </w:rPr>
  </w:style>
  <w:style w:type="character" w:customStyle="1" w:styleId="a8">
    <w:name w:val="טקסט בלונים תו"/>
    <w:link w:val="a7"/>
    <w:uiPriority w:val="99"/>
    <w:semiHidden/>
    <w:rsid w:val="00415B40"/>
    <w:rPr>
      <w:rFonts w:ascii="Tahoma" w:hAnsi="Tahoma" w:cs="Tahoma"/>
      <w:sz w:val="16"/>
      <w:szCs w:val="16"/>
    </w:rPr>
  </w:style>
  <w:style w:type="character" w:styleId="Hyperlink">
    <w:name w:val="Hyperlink"/>
    <w:unhideWhenUsed/>
    <w:rsid w:val="00366182"/>
    <w:rPr>
      <w:color w:val="0000FF"/>
      <w:u w:val="single"/>
    </w:rPr>
  </w:style>
  <w:style w:type="paragraph" w:customStyle="1" w:styleId="TableText">
    <w:name w:val="Table Text"/>
    <w:basedOn w:val="a"/>
    <w:rsid w:val="00337469"/>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337469"/>
  </w:style>
  <w:style w:type="paragraph" w:customStyle="1" w:styleId="TableBlock">
    <w:name w:val="Table Block"/>
    <w:basedOn w:val="TableText"/>
    <w:rsid w:val="00337469"/>
    <w:pPr>
      <w:ind w:right="0"/>
      <w:jc w:val="both"/>
    </w:pPr>
  </w:style>
  <w:style w:type="paragraph" w:customStyle="1" w:styleId="TableHead">
    <w:name w:val="Table Head"/>
    <w:basedOn w:val="TableText"/>
    <w:rsid w:val="00337469"/>
    <w:pPr>
      <w:ind w:right="0"/>
      <w:jc w:val="center"/>
    </w:pPr>
    <w:rPr>
      <w:b/>
      <w:bCs/>
    </w:rPr>
  </w:style>
  <w:style w:type="paragraph" w:customStyle="1" w:styleId="HeadMitparsemetBaze">
    <w:name w:val="Head MitparsemetBaze"/>
    <w:basedOn w:val="a"/>
    <w:rsid w:val="00337469"/>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337469"/>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sberWriters">
    <w:name w:val="Hesber Writers"/>
    <w:basedOn w:val="Hesber"/>
    <w:rsid w:val="00337469"/>
    <w:pPr>
      <w:spacing w:before="120" w:after="6000"/>
      <w:ind w:left="1418" w:firstLine="0"/>
      <w:jc w:val="right"/>
    </w:pPr>
    <w:rPr>
      <w:b/>
      <w:bCs/>
    </w:rPr>
  </w:style>
  <w:style w:type="paragraph" w:customStyle="1" w:styleId="Hesber1st">
    <w:name w:val="Hesber 1st"/>
    <w:basedOn w:val="Hesber"/>
    <w:rsid w:val="00337469"/>
    <w:pPr>
      <w:tabs>
        <w:tab w:val="left" w:pos="680"/>
        <w:tab w:val="left" w:pos="1020"/>
      </w:tabs>
      <w:ind w:firstLine="0"/>
    </w:pPr>
  </w:style>
  <w:style w:type="paragraph" w:customStyle="1" w:styleId="HeadDivreiHesber">
    <w:name w:val="Head DivreiHesber"/>
    <w:basedOn w:val="a"/>
    <w:rsid w:val="00337469"/>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rsid w:val="00337469"/>
    <w:pPr>
      <w:spacing w:before="120" w:after="120"/>
    </w:pPr>
    <w:rPr>
      <w:color w:val="FF0000"/>
      <w:w w:val="80"/>
    </w:rPr>
  </w:style>
  <w:style w:type="paragraph" w:styleId="a9">
    <w:name w:val="endnote text"/>
    <w:basedOn w:val="a"/>
    <w:link w:val="aa"/>
    <w:semiHidden/>
    <w:rsid w:val="00337469"/>
    <w:pPr>
      <w:ind w:left="227" w:hanging="227"/>
    </w:pPr>
    <w:rPr>
      <w:sz w:val="14"/>
      <w:szCs w:val="22"/>
    </w:rPr>
  </w:style>
  <w:style w:type="character" w:customStyle="1" w:styleId="aa">
    <w:name w:val="טקסט הערת סיום תו"/>
    <w:basedOn w:val="a0"/>
    <w:link w:val="a9"/>
    <w:semiHidden/>
    <w:rsid w:val="00337469"/>
    <w:rPr>
      <w:rFonts w:ascii="Hadasa Roso SL" w:eastAsia="MS Mincho" w:hAnsi="Hadasa Roso SL" w:cs="Hadasa Roso SL"/>
      <w:color w:val="000000"/>
      <w:spacing w:val="1"/>
      <w:sz w:val="14"/>
      <w:szCs w:val="22"/>
      <w:lang w:eastAsia="ja-JP"/>
    </w:rPr>
  </w:style>
  <w:style w:type="paragraph" w:customStyle="1" w:styleId="TableInnerSideHeading">
    <w:name w:val="Table InnerSideHeading"/>
    <w:basedOn w:val="TableSideHeading"/>
    <w:rsid w:val="00337469"/>
  </w:style>
  <w:style w:type="paragraph" w:customStyle="1" w:styleId="Hesber">
    <w:name w:val="Hesber"/>
    <w:basedOn w:val="a"/>
    <w:rsid w:val="00337469"/>
    <w:pPr>
      <w:snapToGrid w:val="0"/>
      <w:spacing w:before="0" w:line="360" w:lineRule="auto"/>
    </w:pPr>
    <w:rPr>
      <w:rFonts w:ascii="Arial" w:eastAsia="Arial Unicode MS" w:hAnsi="Arial" w:cs="David"/>
      <w:snapToGrid w:val="0"/>
      <w:spacing w:val="0"/>
      <w:sz w:val="20"/>
      <w:szCs w:val="26"/>
    </w:rPr>
  </w:style>
  <w:style w:type="paragraph" w:styleId="ab">
    <w:name w:val="footnote text"/>
    <w:basedOn w:val="a"/>
    <w:link w:val="ac"/>
    <w:autoRedefine/>
    <w:semiHidden/>
    <w:rsid w:val="00337469"/>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c">
    <w:name w:val="טקסט הערת שוליים תו"/>
    <w:basedOn w:val="a0"/>
    <w:link w:val="ab"/>
    <w:semiHidden/>
    <w:rsid w:val="00337469"/>
    <w:rPr>
      <w:rFonts w:ascii="Arial" w:eastAsia="Arial Unicode MS" w:hAnsi="Arial" w:cs="David"/>
      <w:snapToGrid w:val="0"/>
      <w:color w:val="000000"/>
      <w:sz w:val="14"/>
      <w:lang w:eastAsia="ja-JP"/>
    </w:rPr>
  </w:style>
  <w:style w:type="character" w:styleId="ad">
    <w:name w:val="footnote reference"/>
    <w:aliases w:val="Footnote Reference"/>
    <w:basedOn w:val="a0"/>
    <w:semiHidden/>
    <w:rsid w:val="00337469"/>
    <w:rPr>
      <w:vertAlign w:val="superscript"/>
    </w:rPr>
  </w:style>
  <w:style w:type="paragraph" w:customStyle="1" w:styleId="HesberHeading">
    <w:name w:val="Hesber Heading"/>
    <w:basedOn w:val="Hesber"/>
    <w:rsid w:val="00337469"/>
    <w:pPr>
      <w:tabs>
        <w:tab w:val="left" w:pos="624"/>
        <w:tab w:val="left" w:pos="1247"/>
      </w:tabs>
      <w:ind w:firstLine="0"/>
    </w:pPr>
    <w:rPr>
      <w:b/>
      <w:bCs/>
    </w:rPr>
  </w:style>
  <w:style w:type="character" w:styleId="ae">
    <w:name w:val="endnote reference"/>
    <w:basedOn w:val="a0"/>
    <w:semiHidden/>
    <w:rsid w:val="00337469"/>
    <w:rPr>
      <w:vertAlign w:val="superscript"/>
    </w:rPr>
  </w:style>
  <w:style w:type="paragraph" w:customStyle="1" w:styleId="TableBlockOutdent">
    <w:name w:val="Table BlockOutdent"/>
    <w:basedOn w:val="TableBlock"/>
    <w:rsid w:val="00337469"/>
    <w:pPr>
      <w:ind w:left="624" w:hanging="624"/>
    </w:pPr>
  </w:style>
  <w:style w:type="character" w:styleId="af">
    <w:name w:val="page number"/>
    <w:basedOn w:val="a0"/>
    <w:rsid w:val="00337469"/>
  </w:style>
  <w:style w:type="paragraph" w:customStyle="1" w:styleId="Cover1-Reshumot">
    <w:name w:val="Cover 1-Reshumot"/>
    <w:basedOn w:val="a"/>
    <w:rsid w:val="00337469"/>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337469"/>
    <w:rPr>
      <w:sz w:val="36"/>
      <w:szCs w:val="52"/>
    </w:rPr>
  </w:style>
  <w:style w:type="paragraph" w:customStyle="1" w:styleId="Cover3-Haknesset">
    <w:name w:val="Cover 3-Haknesset"/>
    <w:basedOn w:val="Cover1-Reshumot"/>
    <w:rsid w:val="00337469"/>
    <w:rPr>
      <w:b/>
      <w:bCs/>
      <w:spacing w:val="60"/>
    </w:rPr>
  </w:style>
  <w:style w:type="paragraph" w:customStyle="1" w:styleId="Cover4-Date">
    <w:name w:val="Cover 4-Date"/>
    <w:basedOn w:val="a"/>
    <w:rsid w:val="00337469"/>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337469"/>
    <w:pPr>
      <w:snapToGrid w:val="0"/>
      <w:spacing w:before="0" w:line="360" w:lineRule="auto"/>
      <w:jc w:val="left"/>
    </w:pPr>
    <w:rPr>
      <w:rFonts w:ascii="Arial" w:eastAsia="Arial Unicode MS" w:hAnsi="Arial" w:cs="David"/>
      <w:snapToGrid w:val="0"/>
      <w:spacing w:val="0"/>
      <w:sz w:val="20"/>
      <w:szCs w:val="26"/>
    </w:rPr>
  </w:style>
  <w:style w:type="paragraph" w:customStyle="1" w:styleId="big-header">
    <w:name w:val="big-header"/>
    <w:basedOn w:val="a"/>
    <w:rsid w:val="00337469"/>
    <w:pPr>
      <w:keepNext/>
      <w:keepLines/>
      <w:tabs>
        <w:tab w:val="left" w:pos="624"/>
        <w:tab w:val="left" w:pos="1021"/>
        <w:tab w:val="left" w:pos="1474"/>
        <w:tab w:val="left" w:pos="1928"/>
        <w:tab w:val="left" w:pos="2381"/>
        <w:tab w:val="left" w:pos="2835"/>
      </w:tabs>
      <w:suppressAutoHyphens/>
      <w:adjustRightInd/>
      <w:spacing w:before="440" w:after="120" w:line="240" w:lineRule="auto"/>
      <w:ind w:left="2835" w:firstLine="0"/>
      <w:jc w:val="center"/>
      <w:textAlignment w:val="auto"/>
    </w:pPr>
    <w:rPr>
      <w:rFonts w:ascii="Times New Roman" w:eastAsia="Times New Roman" w:hAnsi="Times New Roman" w:cs="Times New Roman"/>
      <w:noProof/>
      <w:color w:val="auto"/>
      <w:spacing w:val="0"/>
      <w:sz w:val="20"/>
      <w:szCs w:val="32"/>
      <w:lang w:eastAsia="he-IL"/>
    </w:rPr>
  </w:style>
  <w:style w:type="paragraph" w:customStyle="1" w:styleId="P00">
    <w:name w:val="P00"/>
    <w:rsid w:val="00337469"/>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hAnsi="Times New Roman" w:cs="Times New Roman"/>
      <w:noProof/>
      <w:szCs w:val="26"/>
      <w:lang w:eastAsia="he-IL"/>
    </w:rPr>
  </w:style>
  <w:style w:type="character" w:customStyle="1" w:styleId="default">
    <w:name w:val="default"/>
    <w:basedOn w:val="a0"/>
    <w:rsid w:val="00337469"/>
    <w:rPr>
      <w:rFonts w:ascii="Times New Roman" w:hAnsi="Times New Roman" w:cs="Times New Roman"/>
      <w:sz w:val="26"/>
      <w:szCs w:val="26"/>
    </w:rPr>
  </w:style>
  <w:style w:type="paragraph" w:customStyle="1" w:styleId="footnote">
    <w:name w:val="footnote"/>
    <w:basedOn w:val="P00"/>
    <w:rsid w:val="00337469"/>
    <w:pPr>
      <w:tabs>
        <w:tab w:val="clear" w:pos="624"/>
        <w:tab w:val="clear" w:pos="1021"/>
        <w:tab w:val="clear" w:pos="1474"/>
        <w:tab w:val="clear" w:pos="1928"/>
        <w:tab w:val="clear" w:pos="2381"/>
        <w:tab w:val="clear" w:pos="2835"/>
        <w:tab w:val="clear" w:pos="6259"/>
      </w:tabs>
      <w:spacing w:before="0"/>
    </w:pPr>
    <w:rPr>
      <w:sz w:val="22"/>
      <w:szCs w:val="22"/>
    </w:rPr>
  </w:style>
  <w:style w:type="character" w:styleId="af0">
    <w:name w:val="annotation reference"/>
    <w:basedOn w:val="a0"/>
    <w:uiPriority w:val="99"/>
    <w:semiHidden/>
    <w:unhideWhenUsed/>
    <w:rsid w:val="005A13AE"/>
    <w:rPr>
      <w:sz w:val="16"/>
      <w:szCs w:val="16"/>
    </w:rPr>
  </w:style>
  <w:style w:type="paragraph" w:styleId="af1">
    <w:name w:val="annotation text"/>
    <w:basedOn w:val="a"/>
    <w:link w:val="af2"/>
    <w:uiPriority w:val="99"/>
    <w:semiHidden/>
    <w:unhideWhenUsed/>
    <w:rsid w:val="005A13AE"/>
    <w:pPr>
      <w:spacing w:line="240" w:lineRule="auto"/>
    </w:pPr>
    <w:rPr>
      <w:sz w:val="20"/>
      <w:szCs w:val="20"/>
    </w:rPr>
  </w:style>
  <w:style w:type="character" w:customStyle="1" w:styleId="af2">
    <w:name w:val="טקסט הערה תו"/>
    <w:basedOn w:val="a0"/>
    <w:link w:val="af1"/>
    <w:uiPriority w:val="99"/>
    <w:semiHidden/>
    <w:rsid w:val="005A13AE"/>
    <w:rPr>
      <w:rFonts w:ascii="Hadasa Roso SL" w:eastAsia="MS Mincho" w:hAnsi="Hadasa Roso SL" w:cs="Hadasa Roso SL"/>
      <w:color w:val="000000"/>
      <w:spacing w:val="1"/>
      <w:lang w:eastAsia="ja-JP"/>
    </w:rPr>
  </w:style>
  <w:style w:type="paragraph" w:styleId="af3">
    <w:name w:val="annotation subject"/>
    <w:basedOn w:val="af1"/>
    <w:next w:val="af1"/>
    <w:link w:val="af4"/>
    <w:uiPriority w:val="99"/>
    <w:semiHidden/>
    <w:unhideWhenUsed/>
    <w:rsid w:val="005A13AE"/>
    <w:rPr>
      <w:b/>
      <w:bCs/>
    </w:rPr>
  </w:style>
  <w:style w:type="character" w:customStyle="1" w:styleId="af4">
    <w:name w:val="נושא הערה תו"/>
    <w:basedOn w:val="af2"/>
    <w:link w:val="af3"/>
    <w:uiPriority w:val="99"/>
    <w:semiHidden/>
    <w:rsid w:val="005A13AE"/>
    <w:rPr>
      <w:rFonts w:ascii="Hadasa Roso SL" w:eastAsia="MS Mincho" w:hAnsi="Hadasa Roso SL" w:cs="Hadasa Roso SL"/>
      <w:b/>
      <w:bCs/>
      <w:color w:val="000000"/>
      <w:spacing w:val="1"/>
      <w:lang w:eastAsia="ja-JP"/>
    </w:rPr>
  </w:style>
  <w:style w:type="paragraph" w:styleId="af5">
    <w:name w:val="Revision"/>
    <w:hidden/>
    <w:uiPriority w:val="99"/>
    <w:semiHidden/>
    <w:rsid w:val="001A331D"/>
    <w:rPr>
      <w:rFonts w:ascii="Hadasa Roso SL" w:eastAsia="MS Mincho" w:hAnsi="Hadasa Roso SL" w:cs="Hadasa Roso SL"/>
      <w:color w:val="000000"/>
      <w:spacing w:val="1"/>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72497">
      <w:bodyDiv w:val="1"/>
      <w:marLeft w:val="0"/>
      <w:marRight w:val="0"/>
      <w:marTop w:val="0"/>
      <w:marBottom w:val="0"/>
      <w:divBdr>
        <w:top w:val="none" w:sz="0" w:space="0" w:color="auto"/>
        <w:left w:val="none" w:sz="0" w:space="0" w:color="auto"/>
        <w:bottom w:val="none" w:sz="0" w:space="0" w:color="auto"/>
        <w:right w:val="none" w:sz="0" w:space="0" w:color="auto"/>
      </w:divBdr>
    </w:div>
    <w:div w:id="51531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fNumber xmlns="d2589617-2f74-4077-aee7-f516ed639388">43541</Ref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161B5BAE19C0A94ABF7F052772C71F14" ma:contentTypeVersion="1" ma:contentTypeDescription="צור מסמך חדש." ma:contentTypeScope="" ma:versionID="4c4e7c02a57e54f45d23c2b2cc14d8d5">
  <xsd:schema xmlns:xsd="http://www.w3.org/2001/XMLSchema" xmlns:p="http://schemas.microsoft.com/office/2006/metadata/properties" xmlns:ns2="d2589617-2f74-4077-aee7-f516ed639388" targetNamespace="http://schemas.microsoft.com/office/2006/metadata/properties" ma:root="true" ma:fieldsID="07cad186b484ecc037a0bd5112bdf38e" ns2:_="">
    <xsd:import namespace="d2589617-2f74-4077-aee7-f516ed639388"/>
    <xsd:element name="properties">
      <xsd:complexType>
        <xsd:sequence>
          <xsd:element name="documentManagement">
            <xsd:complexType>
              <xsd:all>
                <xsd:element ref="ns2:RefNumber" minOccurs="0"/>
              </xsd:all>
            </xsd:complexType>
          </xsd:element>
        </xsd:sequence>
      </xsd:complexType>
    </xsd:element>
  </xsd:schema>
  <xsd:schema xmlns:xsd="http://www.w3.org/2001/XMLSchema" xmlns:dms="http://schemas.microsoft.com/office/2006/documentManagement/types" targetNamespace="d2589617-2f74-4077-aee7-f516ed639388" elementFormDefault="qualified">
    <xsd:import namespace="http://schemas.microsoft.com/office/2006/documentManagement/types"/>
    <xsd:element name="RefNumber" ma:index="8" nillable="true" ma:displayName="RefNumber" ma:description="מס' טופס" ma:internalName="Ref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B193-E90A-478D-94E8-F8CC7C64850F}">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d2589617-2f74-4077-aee7-f516ed639388"/>
  </ds:schemaRefs>
</ds:datastoreItem>
</file>

<file path=customXml/itemProps2.xml><?xml version="1.0" encoding="utf-8"?>
<ds:datastoreItem xmlns:ds="http://schemas.openxmlformats.org/officeDocument/2006/customXml" ds:itemID="{36AD3E45-5F36-429E-9403-F4343239ED90}">
  <ds:schemaRefs>
    <ds:schemaRef ds:uri="http://schemas.microsoft.com/sharepoint/v3/contenttype/forms"/>
  </ds:schemaRefs>
</ds:datastoreItem>
</file>

<file path=customXml/itemProps3.xml><?xml version="1.0" encoding="utf-8"?>
<ds:datastoreItem xmlns:ds="http://schemas.openxmlformats.org/officeDocument/2006/customXml" ds:itemID="{DA3DA61B-6933-4890-BB17-7A0A92962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89617-2f74-4077-aee7-f516ed6393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CACF32F-E327-4D9F-AD6B-7D3E623D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2270</Characters>
  <Application>Microsoft Office Word</Application>
  <DocSecurity>4</DocSecurity>
  <Lines>18</Lines>
  <Paragraphs>5</Paragraphs>
  <ScaleCrop>false</ScaleCrop>
  <HeadingPairs>
    <vt:vector size="2" baseType="variant">
      <vt:variant>
        <vt:lpstr>שם</vt:lpstr>
      </vt:variant>
      <vt:variant>
        <vt:i4>1</vt:i4>
      </vt:variant>
    </vt:vector>
  </HeadingPairs>
  <TitlesOfParts>
    <vt:vector size="1" baseType="lpstr">
      <vt:lpstr>להפצה צו התקנים (איסור ייצור מצרכים)(תיקון) התשעח-2017 -.docx</vt:lpstr>
    </vt:vector>
  </TitlesOfParts>
  <Company>Ministry Of Economy</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להפצה צו התקנים (איסור ייצור מצרכים)(תיקון) התשעח-2017 -.docx</dc:title>
  <dc:creator>שדי מנשהאוף</dc:creator>
  <cp:lastModifiedBy>Raz Hillman - Chamber Of Commerce</cp:lastModifiedBy>
  <cp:revision>2</cp:revision>
  <cp:lastPrinted>2017-07-27T08:51:00Z</cp:lastPrinted>
  <dcterms:created xsi:type="dcterms:W3CDTF">2017-11-06T15:25:00Z</dcterms:created>
  <dcterms:modified xsi:type="dcterms:W3CDTF">2017-11-06T15:25:00Z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0x010100161B5BAE19C0A94ABF7F052772C71F14</vt:lpwstr>
  </property>
</Properties>
</file>