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8F" w:rsidRDefault="00566F8F" w:rsidP="006071AD">
      <w:pPr>
        <w:ind w:left="6943"/>
        <w:jc w:val="left"/>
        <w:rPr>
          <w:rFonts w:cs="David"/>
          <w:sz w:val="22"/>
          <w:szCs w:val="22"/>
          <w:rtl/>
        </w:rPr>
      </w:pPr>
      <w:bookmarkStart w:id="0" w:name="Date"/>
      <w:bookmarkEnd w:id="0"/>
      <w:r>
        <w:rPr>
          <w:rFonts w:cs="David" w:hint="eastAsia"/>
          <w:sz w:val="22"/>
          <w:szCs w:val="22"/>
          <w:rtl/>
        </w:rPr>
        <w:t>י</w:t>
      </w:r>
      <w:r>
        <w:rPr>
          <w:rFonts w:cs="David"/>
          <w:sz w:val="22"/>
          <w:szCs w:val="22"/>
          <w:rtl/>
        </w:rPr>
        <w:t xml:space="preserve">"א בכסלו </w:t>
      </w:r>
      <w:proofErr w:type="spellStart"/>
      <w:r>
        <w:rPr>
          <w:rFonts w:cs="David"/>
          <w:sz w:val="22"/>
          <w:szCs w:val="22"/>
          <w:rtl/>
        </w:rPr>
        <w:t>התשע"ז</w:t>
      </w:r>
      <w:proofErr w:type="spellEnd"/>
      <w:r>
        <w:rPr>
          <w:rFonts w:cs="David"/>
          <w:sz w:val="22"/>
          <w:szCs w:val="22"/>
          <w:rtl/>
        </w:rPr>
        <w:br/>
        <w:t>11 בדצמבר 2016</w:t>
      </w:r>
    </w:p>
    <w:p w:rsidR="00566F8F" w:rsidRDefault="00566F8F" w:rsidP="006071AD">
      <w:pPr>
        <w:ind w:left="6943"/>
        <w:jc w:val="left"/>
        <w:rPr>
          <w:rFonts w:cs="David"/>
          <w:sz w:val="22"/>
          <w:szCs w:val="22"/>
          <w:rtl/>
        </w:rPr>
      </w:pPr>
      <w:bookmarkStart w:id="1" w:name="DocNum"/>
      <w:bookmarkEnd w:id="1"/>
      <w:r>
        <w:rPr>
          <w:rFonts w:cs="David"/>
          <w:sz w:val="22"/>
          <w:szCs w:val="22"/>
          <w:rtl/>
        </w:rPr>
        <w:t>דב. 2016-4369</w:t>
      </w:r>
    </w:p>
    <w:p w:rsidR="00157EDD" w:rsidRPr="00EB7198" w:rsidRDefault="00157EDD" w:rsidP="00A22924">
      <w:pPr>
        <w:pStyle w:val="1"/>
        <w:jc w:val="center"/>
        <w:rPr>
          <w:sz w:val="32"/>
          <w:szCs w:val="32"/>
          <w:rtl/>
        </w:rPr>
      </w:pPr>
      <w:r w:rsidRPr="00EB7198">
        <w:rPr>
          <w:sz w:val="32"/>
          <w:szCs w:val="32"/>
          <w:rtl/>
        </w:rPr>
        <w:t>הודעה  לע</w:t>
      </w:r>
      <w:r w:rsidRPr="00EB7198">
        <w:rPr>
          <w:rFonts w:hint="cs"/>
          <w:sz w:val="32"/>
          <w:szCs w:val="32"/>
          <w:rtl/>
        </w:rPr>
        <w:t>י</w:t>
      </w:r>
      <w:r w:rsidRPr="00EB7198">
        <w:rPr>
          <w:sz w:val="32"/>
          <w:szCs w:val="32"/>
          <w:rtl/>
        </w:rPr>
        <w:t>תונות</w:t>
      </w:r>
    </w:p>
    <w:p w:rsidR="00157EDD" w:rsidRPr="00157EDD" w:rsidRDefault="00157EDD" w:rsidP="00A22924">
      <w:pPr>
        <w:spacing w:line="25" w:lineRule="atLeast"/>
        <w:rPr>
          <w:rFonts w:cs="David"/>
          <w:szCs w:val="24"/>
          <w:rtl/>
        </w:rPr>
      </w:pPr>
    </w:p>
    <w:p w:rsidR="00D736DD" w:rsidRDefault="00D736DD" w:rsidP="00D736DD">
      <w:pPr>
        <w:spacing w:before="240" w:line="360" w:lineRule="auto"/>
        <w:jc w:val="center"/>
        <w:rPr>
          <w:rFonts w:cs="David"/>
          <w:b/>
          <w:bCs/>
          <w:sz w:val="32"/>
          <w:szCs w:val="32"/>
          <w:rtl/>
        </w:rPr>
      </w:pPr>
      <w:bookmarkStart w:id="2" w:name="Start"/>
      <w:bookmarkStart w:id="3" w:name="_GoBack"/>
      <w:bookmarkEnd w:id="2"/>
      <w:bookmarkEnd w:id="3"/>
      <w:r w:rsidRPr="005358FD">
        <w:rPr>
          <w:rFonts w:cs="David" w:hint="cs"/>
          <w:b/>
          <w:bCs/>
          <w:sz w:val="32"/>
          <w:szCs w:val="32"/>
          <w:rtl/>
        </w:rPr>
        <w:t>צעד נוסף להפחתת יוקר מחייה- אושרה הצעת שר</w:t>
      </w:r>
      <w:r>
        <w:rPr>
          <w:rFonts w:cs="David" w:hint="cs"/>
          <w:b/>
          <w:bCs/>
          <w:sz w:val="32"/>
          <w:szCs w:val="32"/>
          <w:rtl/>
        </w:rPr>
        <w:t>י</w:t>
      </w:r>
      <w:r w:rsidRPr="005358FD">
        <w:rPr>
          <w:rFonts w:cs="David" w:hint="cs"/>
          <w:b/>
          <w:bCs/>
          <w:sz w:val="32"/>
          <w:szCs w:val="32"/>
          <w:rtl/>
        </w:rPr>
        <w:t xml:space="preserve"> האוצר והבריאות להקלות רגולטוריות בענף התמרוקים</w:t>
      </w:r>
    </w:p>
    <w:p w:rsidR="00D736DD" w:rsidRDefault="00D736DD" w:rsidP="00D736DD">
      <w:pPr>
        <w:spacing w:line="360" w:lineRule="auto"/>
        <w:rPr>
          <w:rFonts w:cs="David"/>
          <w:szCs w:val="24"/>
          <w:rtl/>
        </w:rPr>
      </w:pPr>
    </w:p>
    <w:p w:rsidR="00D736DD" w:rsidRPr="005358FD" w:rsidRDefault="00D736DD" w:rsidP="00D736DD">
      <w:pPr>
        <w:spacing w:line="360" w:lineRule="auto"/>
        <w:rPr>
          <w:rFonts w:cs="David"/>
          <w:szCs w:val="24"/>
          <w:rtl/>
        </w:rPr>
      </w:pPr>
      <w:r>
        <w:rPr>
          <w:rFonts w:cs="David" w:hint="cs"/>
          <w:szCs w:val="24"/>
          <w:rtl/>
        </w:rPr>
        <w:t xml:space="preserve">שר האוצר, </w:t>
      </w:r>
      <w:r w:rsidRPr="005358FD">
        <w:rPr>
          <w:rFonts w:cs="David" w:hint="cs"/>
          <w:b/>
          <w:bCs/>
          <w:szCs w:val="24"/>
          <w:rtl/>
        </w:rPr>
        <w:t>משה כחלון</w:t>
      </w:r>
      <w:r>
        <w:rPr>
          <w:rFonts w:cs="David" w:hint="cs"/>
          <w:szCs w:val="24"/>
          <w:rtl/>
        </w:rPr>
        <w:t xml:space="preserve">: "מדובר בצעד נוסף במסגרת מדיניות הממשלה ומשרד האוצר להילחם בריכוזיות ולהסיר מכסים וחסמים שונים בכדי לפתוח את המשק הישראלי ליבוא ותחרות. הרפורמה תשפיע על שוק התמרוקים, שמורכב ממוצרי צריכה בסיסיים שיש בכל בית בישראל ותקל באופן ישיר על כיסם של הצרכנים. אני מודה לשר הבריאות, </w:t>
      </w:r>
      <w:r w:rsidRPr="0001710B">
        <w:rPr>
          <w:rFonts w:cs="David" w:hint="cs"/>
          <w:b/>
          <w:bCs/>
          <w:szCs w:val="24"/>
          <w:rtl/>
        </w:rPr>
        <w:t>יעק</w:t>
      </w:r>
      <w:r>
        <w:rPr>
          <w:rFonts w:cs="David" w:hint="cs"/>
          <w:b/>
          <w:bCs/>
          <w:szCs w:val="24"/>
          <w:rtl/>
        </w:rPr>
        <w:t>ו</w:t>
      </w:r>
      <w:r w:rsidRPr="0001710B">
        <w:rPr>
          <w:rFonts w:cs="David" w:hint="cs"/>
          <w:b/>
          <w:bCs/>
          <w:szCs w:val="24"/>
          <w:rtl/>
        </w:rPr>
        <w:t xml:space="preserve">ב </w:t>
      </w:r>
      <w:proofErr w:type="spellStart"/>
      <w:r w:rsidRPr="0001710B">
        <w:rPr>
          <w:rFonts w:cs="David" w:hint="cs"/>
          <w:b/>
          <w:bCs/>
          <w:szCs w:val="24"/>
          <w:rtl/>
        </w:rPr>
        <w:t>ליצמן</w:t>
      </w:r>
      <w:proofErr w:type="spellEnd"/>
      <w:r>
        <w:rPr>
          <w:rFonts w:cs="David" w:hint="cs"/>
          <w:szCs w:val="24"/>
          <w:rtl/>
        </w:rPr>
        <w:t>, שנרתם למהלך על מנת להוריד את יוקר המחיה ולסייע לאזרחי ישראל"</w:t>
      </w:r>
    </w:p>
    <w:p w:rsidR="00D736DD" w:rsidRDefault="00D736DD" w:rsidP="00D736DD">
      <w:pPr>
        <w:spacing w:line="25" w:lineRule="atLeast"/>
        <w:rPr>
          <w:rFonts w:cs="David"/>
          <w:szCs w:val="24"/>
          <w:rtl/>
        </w:rPr>
      </w:pPr>
    </w:p>
    <w:p w:rsidR="00D736DD" w:rsidRPr="00CE16C4" w:rsidRDefault="00D736DD" w:rsidP="00D736DD">
      <w:pPr>
        <w:spacing w:line="360" w:lineRule="auto"/>
        <w:rPr>
          <w:rFonts w:cs="David"/>
          <w:szCs w:val="24"/>
          <w:u w:val="single"/>
          <w:rtl/>
        </w:rPr>
      </w:pPr>
      <w:r w:rsidRPr="00CE16C4">
        <w:rPr>
          <w:rFonts w:cs="David" w:hint="cs"/>
          <w:szCs w:val="24"/>
          <w:u w:val="single"/>
          <w:rtl/>
        </w:rPr>
        <w:t xml:space="preserve">ועדת העבודה, הרווחה והבריאות אישרה הבוקר את הצעת משרדי הבריאות והאוצר </w:t>
      </w:r>
      <w:proofErr w:type="spellStart"/>
      <w:r w:rsidRPr="00CE16C4">
        <w:rPr>
          <w:rFonts w:cs="David" w:hint="cs"/>
          <w:szCs w:val="24"/>
          <w:u w:val="single"/>
          <w:rtl/>
        </w:rPr>
        <w:t>לאסדרת</w:t>
      </w:r>
      <w:proofErr w:type="spellEnd"/>
      <w:r w:rsidRPr="00CE16C4">
        <w:rPr>
          <w:rFonts w:cs="David" w:hint="cs"/>
          <w:szCs w:val="24"/>
          <w:u w:val="single"/>
          <w:rtl/>
        </w:rPr>
        <w:t xml:space="preserve"> ענף התמרוקים</w:t>
      </w:r>
      <w:r>
        <w:rPr>
          <w:rFonts w:cs="David" w:hint="cs"/>
          <w:szCs w:val="24"/>
          <w:u w:val="single"/>
          <w:rtl/>
        </w:rPr>
        <w:t>,</w:t>
      </w:r>
      <w:r w:rsidRPr="00CE16C4">
        <w:rPr>
          <w:rFonts w:cs="David" w:hint="cs"/>
          <w:szCs w:val="24"/>
          <w:u w:val="single"/>
          <w:rtl/>
        </w:rPr>
        <w:t xml:space="preserve"> במסגרת התכנית הכלכלית לשנים 2017-2018. ההצעה תקצר משמעותית את לוחות הזמנים להכנסת מוצרים חדשים לשווקים, ובכך תקל על יצרנים ויבואנים קטנים ותפחית את הריכוזיות בענף.</w:t>
      </w:r>
    </w:p>
    <w:p w:rsidR="00D736DD" w:rsidRPr="00157EDD" w:rsidRDefault="00D736DD" w:rsidP="00D736DD">
      <w:pPr>
        <w:spacing w:line="25" w:lineRule="atLeast"/>
        <w:rPr>
          <w:rFonts w:cs="David"/>
          <w:szCs w:val="24"/>
          <w:rtl/>
        </w:rPr>
      </w:pPr>
      <w:r>
        <w:rPr>
          <w:rFonts w:cs="David" w:hint="cs"/>
          <w:szCs w:val="24"/>
          <w:rtl/>
        </w:rPr>
        <w:t xml:space="preserve"> </w:t>
      </w:r>
    </w:p>
    <w:p w:rsidR="00D736DD" w:rsidRDefault="00D736DD" w:rsidP="00D736DD">
      <w:pPr>
        <w:spacing w:line="360" w:lineRule="auto"/>
        <w:rPr>
          <w:rFonts w:ascii="Arial" w:hAnsi="Arial" w:cs="David"/>
          <w:color w:val="222222"/>
          <w:szCs w:val="24"/>
          <w:rtl/>
          <w:lang w:eastAsia="en-US"/>
        </w:rPr>
      </w:pPr>
      <w:r>
        <w:rPr>
          <w:rFonts w:cs="David" w:hint="cs"/>
          <w:szCs w:val="24"/>
          <w:rtl/>
        </w:rPr>
        <w:t xml:space="preserve">האסדרה החדשה בענף התמרוקים מתבססת </w:t>
      </w:r>
      <w:r w:rsidRPr="00D95A88">
        <w:rPr>
          <w:rFonts w:ascii="Arial" w:hAnsi="Arial" w:cs="David"/>
          <w:color w:val="222222"/>
          <w:szCs w:val="24"/>
          <w:rtl/>
          <w:lang w:eastAsia="en-US"/>
        </w:rPr>
        <w:t xml:space="preserve">על המודל </w:t>
      </w:r>
      <w:r>
        <w:rPr>
          <w:rFonts w:ascii="Arial" w:hAnsi="Arial" w:cs="David"/>
          <w:color w:val="222222"/>
          <w:szCs w:val="24"/>
          <w:rtl/>
          <w:lang w:eastAsia="en-US"/>
        </w:rPr>
        <w:t>האירופאי לשיווק תמרוקים</w:t>
      </w:r>
      <w:r>
        <w:rPr>
          <w:rFonts w:ascii="Arial" w:hAnsi="Arial" w:cs="David" w:hint="cs"/>
          <w:color w:val="222222"/>
          <w:szCs w:val="24"/>
          <w:rtl/>
          <w:lang w:eastAsia="en-US"/>
        </w:rPr>
        <w:t>.</w:t>
      </w:r>
      <w:r>
        <w:rPr>
          <w:rFonts w:ascii="Arial" w:hAnsi="Arial" w:cs="David"/>
          <w:color w:val="222222"/>
          <w:szCs w:val="24"/>
          <w:rtl/>
          <w:lang w:eastAsia="en-US"/>
        </w:rPr>
        <w:t xml:space="preserve"> יישומ</w:t>
      </w:r>
      <w:r>
        <w:rPr>
          <w:rFonts w:ascii="Arial" w:hAnsi="Arial" w:cs="David" w:hint="cs"/>
          <w:color w:val="222222"/>
          <w:szCs w:val="24"/>
          <w:rtl/>
          <w:lang w:eastAsia="en-US"/>
        </w:rPr>
        <w:t>ה</w:t>
      </w:r>
      <w:r w:rsidRPr="00D95A88">
        <w:rPr>
          <w:rFonts w:ascii="Arial" w:hAnsi="Arial" w:cs="David"/>
          <w:color w:val="222222"/>
          <w:szCs w:val="24"/>
          <w:rtl/>
          <w:lang w:eastAsia="en-US"/>
        </w:rPr>
        <w:t xml:space="preserve"> צפוי להפחית חסמים </w:t>
      </w:r>
      <w:r>
        <w:rPr>
          <w:rFonts w:ascii="Arial" w:hAnsi="Arial" w:cs="David" w:hint="cs"/>
          <w:color w:val="222222"/>
          <w:szCs w:val="24"/>
          <w:rtl/>
          <w:lang w:eastAsia="en-US"/>
        </w:rPr>
        <w:t>ביבוא וייצור תמרוקים</w:t>
      </w:r>
      <w:r w:rsidRPr="00D95A88">
        <w:rPr>
          <w:rFonts w:ascii="Arial" w:hAnsi="Arial" w:cs="David"/>
          <w:color w:val="222222"/>
          <w:szCs w:val="24"/>
          <w:rtl/>
          <w:lang w:eastAsia="en-US"/>
        </w:rPr>
        <w:t xml:space="preserve"> תוך שמירה</w:t>
      </w:r>
      <w:r>
        <w:rPr>
          <w:rFonts w:ascii="Arial" w:hAnsi="Arial" w:cs="David"/>
          <w:color w:val="222222"/>
          <w:szCs w:val="24"/>
          <w:rtl/>
          <w:lang w:eastAsia="en-US"/>
        </w:rPr>
        <w:t xml:space="preserve"> על </w:t>
      </w:r>
      <w:r>
        <w:rPr>
          <w:rFonts w:ascii="Arial" w:hAnsi="Arial" w:cs="David" w:hint="cs"/>
          <w:color w:val="222222"/>
          <w:szCs w:val="24"/>
          <w:rtl/>
          <w:lang w:eastAsia="en-US"/>
        </w:rPr>
        <w:t>בריאות</w:t>
      </w:r>
      <w:r>
        <w:rPr>
          <w:rFonts w:ascii="Arial" w:hAnsi="Arial" w:cs="David"/>
          <w:color w:val="222222"/>
          <w:szCs w:val="24"/>
          <w:rtl/>
          <w:lang w:eastAsia="en-US"/>
        </w:rPr>
        <w:t xml:space="preserve"> הציבור</w:t>
      </w:r>
      <w:r>
        <w:rPr>
          <w:rFonts w:ascii="Arial" w:hAnsi="Arial" w:cs="David" w:hint="cs"/>
          <w:color w:val="222222"/>
          <w:szCs w:val="24"/>
          <w:rtl/>
          <w:lang w:eastAsia="en-US"/>
        </w:rPr>
        <w:t>.</w:t>
      </w:r>
      <w:r>
        <w:rPr>
          <w:rFonts w:cs="David" w:hint="cs"/>
          <w:szCs w:val="24"/>
          <w:rtl/>
        </w:rPr>
        <w:t xml:space="preserve"> במסגרת האסדרה </w:t>
      </w:r>
      <w:r>
        <w:rPr>
          <w:rFonts w:ascii="Arial" w:hAnsi="Arial" w:cs="David" w:hint="cs"/>
          <w:color w:val="222222"/>
          <w:szCs w:val="24"/>
          <w:rtl/>
          <w:lang w:eastAsia="en-US"/>
        </w:rPr>
        <w:t xml:space="preserve">יקודמו מספר הקלות רגולטוריות אשר יביאו לקיצור פרק הזמן הדרוש לאישור פרטני של תמרוקים כל זאת תוך שמירה על בריאות הציבור. </w:t>
      </w:r>
    </w:p>
    <w:p w:rsidR="00D736DD" w:rsidRDefault="00D736DD" w:rsidP="00D736DD">
      <w:pPr>
        <w:spacing w:line="360" w:lineRule="auto"/>
        <w:rPr>
          <w:rFonts w:ascii="Arial" w:hAnsi="Arial" w:cs="David"/>
          <w:color w:val="222222"/>
          <w:szCs w:val="24"/>
          <w:rtl/>
          <w:lang w:eastAsia="en-US"/>
        </w:rPr>
      </w:pPr>
    </w:p>
    <w:p w:rsidR="00D736DD" w:rsidRDefault="00D736DD" w:rsidP="00D736DD">
      <w:pPr>
        <w:spacing w:line="360" w:lineRule="auto"/>
        <w:rPr>
          <w:rFonts w:ascii="Arial" w:hAnsi="Arial" w:cs="David"/>
          <w:color w:val="222222"/>
          <w:szCs w:val="24"/>
          <w:rtl/>
          <w:lang w:eastAsia="en-US"/>
        </w:rPr>
      </w:pPr>
      <w:r>
        <w:rPr>
          <w:rFonts w:ascii="Arial" w:hAnsi="Arial" w:cs="David" w:hint="cs"/>
          <w:color w:val="222222"/>
          <w:szCs w:val="24"/>
          <w:rtl/>
          <w:lang w:eastAsia="en-US"/>
        </w:rPr>
        <w:t>ענף התמרוקים מאופיין בריכוזיות גבוהה. כך למשל, נתח השוק של שלושת השחקנים הגדולים בקטגוריית הדאודורנטים עומד על כ-70%. בקטגורית משחות השיניים יותר ממחצית מהשוק מוחזק על-ידי יבואן בודד. בקטגורית תכשירי השיזוף, קרוב ל-70% מוחזק על ידי היצרן המוביל במשק. גם קטגוריות השמפו, מרכך וסבון נוזלי מתאפיין השוק בריכוזיות גבוהה.</w:t>
      </w:r>
    </w:p>
    <w:p w:rsidR="00D736DD" w:rsidRDefault="00D736DD" w:rsidP="00D736DD">
      <w:pPr>
        <w:spacing w:line="360" w:lineRule="auto"/>
        <w:rPr>
          <w:rFonts w:ascii="Arial" w:hAnsi="Arial" w:cs="David"/>
          <w:color w:val="222222"/>
          <w:szCs w:val="24"/>
          <w:rtl/>
          <w:lang w:eastAsia="en-US"/>
        </w:rPr>
      </w:pPr>
    </w:p>
    <w:p w:rsidR="00D736DD" w:rsidRDefault="00D736DD" w:rsidP="00D736DD">
      <w:pPr>
        <w:spacing w:line="360" w:lineRule="auto"/>
        <w:rPr>
          <w:rFonts w:ascii="Arial" w:hAnsi="Arial" w:cs="David"/>
          <w:color w:val="222222"/>
          <w:szCs w:val="24"/>
          <w:rtl/>
          <w:lang w:eastAsia="en-US"/>
        </w:rPr>
      </w:pPr>
      <w:r>
        <w:rPr>
          <w:rFonts w:ascii="Arial" w:hAnsi="Arial" w:cs="David" w:hint="cs"/>
          <w:color w:val="222222"/>
          <w:szCs w:val="24"/>
          <w:rtl/>
          <w:lang w:eastAsia="en-US"/>
        </w:rPr>
        <w:t>ריכוזיות זו, מובילה לפערי מחירים משמעותיים בהשוואה למדינות ה-</w:t>
      </w:r>
      <w:r>
        <w:rPr>
          <w:rFonts w:ascii="Arial" w:hAnsi="Arial" w:cs="David"/>
          <w:color w:val="222222"/>
          <w:szCs w:val="24"/>
          <w:lang w:eastAsia="en-US"/>
        </w:rPr>
        <w:t>OECD</w:t>
      </w:r>
      <w:r>
        <w:rPr>
          <w:rFonts w:ascii="Arial" w:hAnsi="Arial" w:cs="David" w:hint="cs"/>
          <w:color w:val="222222"/>
          <w:szCs w:val="24"/>
          <w:rtl/>
          <w:lang w:eastAsia="en-US"/>
        </w:rPr>
        <w:t>. כך למשל מחירי משחות השיניים גבוהים בכ-20% ביחס למדינות ה-</w:t>
      </w:r>
      <w:r>
        <w:rPr>
          <w:rFonts w:ascii="Arial" w:hAnsi="Arial" w:cs="David"/>
          <w:color w:val="222222"/>
          <w:szCs w:val="24"/>
          <w:lang w:eastAsia="en-US"/>
        </w:rPr>
        <w:t>OECD</w:t>
      </w:r>
      <w:r>
        <w:rPr>
          <w:rFonts w:ascii="Arial" w:hAnsi="Arial" w:cs="David" w:hint="cs"/>
          <w:color w:val="222222"/>
          <w:szCs w:val="24"/>
          <w:rtl/>
          <w:lang w:eastAsia="en-US"/>
        </w:rPr>
        <w:t>, ופערי המחירים בשמפו, סבוני רחצה ודאודורנטים אף גבוהים מכך.</w:t>
      </w:r>
    </w:p>
    <w:p w:rsidR="00D736DD" w:rsidRDefault="00D736DD" w:rsidP="00D736DD">
      <w:pPr>
        <w:spacing w:line="360" w:lineRule="auto"/>
        <w:rPr>
          <w:rFonts w:ascii="Arial" w:hAnsi="Arial" w:cs="David"/>
          <w:color w:val="222222"/>
          <w:szCs w:val="24"/>
          <w:rtl/>
          <w:lang w:eastAsia="en-US"/>
        </w:rPr>
      </w:pPr>
    </w:p>
    <w:p w:rsidR="00D736DD" w:rsidRDefault="00D736DD" w:rsidP="00D736DD">
      <w:pPr>
        <w:spacing w:line="360" w:lineRule="auto"/>
        <w:rPr>
          <w:rFonts w:cs="David"/>
          <w:szCs w:val="24"/>
          <w:rtl/>
        </w:rPr>
      </w:pPr>
      <w:r>
        <w:rPr>
          <w:rFonts w:cs="David" w:hint="cs"/>
          <w:szCs w:val="24"/>
          <w:rtl/>
        </w:rPr>
        <w:t>במסגרת דיוני הוועדה, הוחלט על הקלות באגרות: ראשית, כהוראת מעבר של שנתיים על מוצרי בישום וסבונים מוצקים לא תחול אגרת התמרוקים בשל מעברם מתחום אחריות משרד הכלכלה והתעשייה למשרד הבריאות. כמו כן, אגרת שינוי שם תמרוק ירדה במחצית מהתעריף לסכום של 161 ש"ח. זאת, בנוסף לביטול האגרות שאישר שר האוצר באוקטובר 2016 ליצואני תמרוקים עבור תמרוקים המיועדים לייצוא בלבד.</w:t>
      </w:r>
    </w:p>
    <w:p w:rsidR="00D736DD" w:rsidRDefault="00D736DD" w:rsidP="00D736DD">
      <w:pPr>
        <w:spacing w:line="360" w:lineRule="auto"/>
        <w:rPr>
          <w:rFonts w:cs="David"/>
          <w:szCs w:val="24"/>
          <w:rtl/>
        </w:rPr>
      </w:pPr>
      <w:r>
        <w:rPr>
          <w:rFonts w:ascii="Arial" w:hAnsi="Arial" w:cs="David" w:hint="cs"/>
          <w:color w:val="222222"/>
          <w:szCs w:val="24"/>
          <w:rtl/>
          <w:lang w:eastAsia="en-US"/>
        </w:rPr>
        <w:lastRenderedPageBreak/>
        <w:t>האסדרה החדשה בתחום התמרוקים צפויה להביא להפחתת חסמי הכניסה לענף ו</w:t>
      </w:r>
      <w:r w:rsidRPr="000D74AD">
        <w:rPr>
          <w:rFonts w:ascii="Arial" w:hAnsi="Arial" w:cs="David"/>
          <w:color w:val="222222"/>
          <w:szCs w:val="24"/>
          <w:rtl/>
          <w:lang w:eastAsia="en-US"/>
        </w:rPr>
        <w:t>לה</w:t>
      </w:r>
      <w:r>
        <w:rPr>
          <w:rFonts w:ascii="Arial" w:hAnsi="Arial" w:cs="David"/>
          <w:color w:val="222222"/>
          <w:szCs w:val="24"/>
          <w:rtl/>
          <w:lang w:eastAsia="en-US"/>
        </w:rPr>
        <w:t>פח</w:t>
      </w:r>
      <w:r>
        <w:rPr>
          <w:rFonts w:ascii="Arial" w:hAnsi="Arial" w:cs="David" w:hint="cs"/>
          <w:color w:val="222222"/>
          <w:szCs w:val="24"/>
          <w:rtl/>
          <w:lang w:eastAsia="en-US"/>
        </w:rPr>
        <w:t>ת</w:t>
      </w:r>
      <w:r>
        <w:rPr>
          <w:rFonts w:ascii="Arial" w:hAnsi="Arial" w:cs="David"/>
          <w:color w:val="222222"/>
          <w:szCs w:val="24"/>
          <w:rtl/>
          <w:lang w:eastAsia="en-US"/>
        </w:rPr>
        <w:t xml:space="preserve">ת </w:t>
      </w:r>
      <w:r w:rsidRPr="000D74AD">
        <w:rPr>
          <w:rFonts w:ascii="Arial" w:hAnsi="Arial" w:cs="David"/>
          <w:color w:val="222222"/>
          <w:szCs w:val="24"/>
          <w:rtl/>
          <w:lang w:eastAsia="en-US"/>
        </w:rPr>
        <w:t>העלויות העודפות</w:t>
      </w:r>
      <w:r>
        <w:rPr>
          <w:rFonts w:ascii="Arial" w:hAnsi="Arial" w:cs="David" w:hint="cs"/>
          <w:color w:val="222222"/>
          <w:szCs w:val="24"/>
          <w:rtl/>
          <w:lang w:eastAsia="en-US"/>
        </w:rPr>
        <w:t xml:space="preserve"> ליצרנים המקומיים והיבואנים,</w:t>
      </w:r>
      <w:r w:rsidRPr="000D74AD">
        <w:rPr>
          <w:rFonts w:ascii="Arial" w:hAnsi="Arial" w:cs="David"/>
          <w:color w:val="222222"/>
          <w:szCs w:val="24"/>
          <w:rtl/>
          <w:lang w:eastAsia="en-US"/>
        </w:rPr>
        <w:t xml:space="preserve"> ובכך </w:t>
      </w:r>
      <w:r>
        <w:rPr>
          <w:rFonts w:ascii="Arial" w:hAnsi="Arial" w:cs="David" w:hint="cs"/>
          <w:color w:val="222222"/>
          <w:szCs w:val="24"/>
          <w:rtl/>
          <w:lang w:eastAsia="en-US"/>
        </w:rPr>
        <w:t>תעודד</w:t>
      </w:r>
      <w:r>
        <w:rPr>
          <w:rFonts w:ascii="Arial" w:hAnsi="Arial" w:cs="David"/>
          <w:color w:val="222222"/>
          <w:szCs w:val="24"/>
          <w:rtl/>
          <w:lang w:eastAsia="en-US"/>
        </w:rPr>
        <w:t xml:space="preserve"> </w:t>
      </w:r>
      <w:r w:rsidRPr="000D74AD">
        <w:rPr>
          <w:rFonts w:ascii="Arial" w:hAnsi="Arial" w:cs="David"/>
          <w:color w:val="222222"/>
          <w:szCs w:val="24"/>
          <w:rtl/>
          <w:lang w:eastAsia="en-US"/>
        </w:rPr>
        <w:t xml:space="preserve">תחרות </w:t>
      </w:r>
      <w:r>
        <w:rPr>
          <w:rFonts w:ascii="Arial" w:hAnsi="Arial" w:cs="David"/>
          <w:color w:val="222222"/>
          <w:szCs w:val="24"/>
          <w:rtl/>
          <w:lang w:eastAsia="en-US"/>
        </w:rPr>
        <w:t>ו</w:t>
      </w:r>
      <w:r>
        <w:rPr>
          <w:rFonts w:ascii="Arial" w:hAnsi="Arial" w:cs="David" w:hint="cs"/>
          <w:color w:val="222222"/>
          <w:szCs w:val="24"/>
          <w:rtl/>
          <w:lang w:eastAsia="en-US"/>
        </w:rPr>
        <w:t xml:space="preserve">תביא </w:t>
      </w:r>
      <w:r>
        <w:rPr>
          <w:rFonts w:ascii="Arial" w:hAnsi="Arial" w:cs="David"/>
          <w:color w:val="222222"/>
          <w:szCs w:val="24"/>
          <w:rtl/>
          <w:lang w:eastAsia="en-US"/>
        </w:rPr>
        <w:t>להפח</w:t>
      </w:r>
      <w:r>
        <w:rPr>
          <w:rFonts w:ascii="Arial" w:hAnsi="Arial" w:cs="David" w:hint="cs"/>
          <w:color w:val="222222"/>
          <w:szCs w:val="24"/>
          <w:rtl/>
          <w:lang w:eastAsia="en-US"/>
        </w:rPr>
        <w:t>ת</w:t>
      </w:r>
      <w:r>
        <w:rPr>
          <w:rFonts w:ascii="Arial" w:hAnsi="Arial" w:cs="David"/>
          <w:color w:val="222222"/>
          <w:szCs w:val="24"/>
          <w:rtl/>
          <w:lang w:eastAsia="en-US"/>
        </w:rPr>
        <w:t>ת רמ</w:t>
      </w:r>
      <w:r>
        <w:rPr>
          <w:rFonts w:ascii="Arial" w:hAnsi="Arial" w:cs="David" w:hint="cs"/>
          <w:color w:val="222222"/>
          <w:szCs w:val="24"/>
          <w:rtl/>
          <w:lang w:eastAsia="en-US"/>
        </w:rPr>
        <w:t>ו</w:t>
      </w:r>
      <w:r>
        <w:rPr>
          <w:rFonts w:ascii="Arial" w:hAnsi="Arial" w:cs="David"/>
          <w:color w:val="222222"/>
          <w:szCs w:val="24"/>
          <w:rtl/>
          <w:lang w:eastAsia="en-US"/>
        </w:rPr>
        <w:t xml:space="preserve">ת המחירים </w:t>
      </w:r>
      <w:r>
        <w:rPr>
          <w:rFonts w:ascii="Arial" w:hAnsi="Arial" w:cs="David" w:hint="cs"/>
          <w:color w:val="222222"/>
          <w:szCs w:val="24"/>
          <w:rtl/>
          <w:lang w:eastAsia="en-US"/>
        </w:rPr>
        <w:t>בשוק התמרוקים.</w:t>
      </w:r>
      <w:r>
        <w:rPr>
          <w:rFonts w:cs="David" w:hint="cs"/>
          <w:szCs w:val="24"/>
          <w:rtl/>
        </w:rPr>
        <w:t xml:space="preserve"> האסדרה כאמור תחול בתוך שישה חודשים מיום הפרסום ומצטרפת ההחלטה לפעולות הנוספות שננקטות במסגרת התכנית הכלכלית להורדת יוקר המחיה בישראל. </w:t>
      </w:r>
    </w:p>
    <w:p w:rsidR="00157EDD" w:rsidRPr="00157EDD" w:rsidRDefault="00157EDD" w:rsidP="00445C4C">
      <w:pPr>
        <w:spacing w:line="25" w:lineRule="atLeast"/>
        <w:rPr>
          <w:rFonts w:cs="David"/>
          <w:szCs w:val="24"/>
          <w:rtl/>
        </w:rPr>
      </w:pPr>
    </w:p>
    <w:p w:rsidR="00F975CB" w:rsidRDefault="00F975CB" w:rsidP="00445C4C">
      <w:pPr>
        <w:spacing w:line="25" w:lineRule="atLeast"/>
        <w:rPr>
          <w:rFonts w:cs="David"/>
          <w:szCs w:val="24"/>
          <w:rtl/>
        </w:rPr>
      </w:pPr>
    </w:p>
    <w:p w:rsidR="00157EDD" w:rsidRDefault="00157EDD" w:rsidP="00445C4C">
      <w:pPr>
        <w:spacing w:line="25" w:lineRule="atLeast"/>
        <w:rPr>
          <w:rFonts w:cs="David"/>
          <w:szCs w:val="24"/>
          <w:rtl/>
        </w:rPr>
      </w:pPr>
    </w:p>
    <w:sectPr w:rsidR="00157EDD" w:rsidSect="00CD4D8F">
      <w:footerReference w:type="default" r:id="rId9"/>
      <w:headerReference w:type="first" r:id="rId10"/>
      <w:footerReference w:type="first" r:id="rId11"/>
      <w:pgSz w:w="11906" w:h="16838"/>
      <w:pgMar w:top="1780" w:right="1418" w:bottom="1134" w:left="1418" w:header="142" w:footer="34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2F" w:rsidRDefault="0096202F" w:rsidP="00157EDD">
      <w:r>
        <w:separator/>
      </w:r>
    </w:p>
  </w:endnote>
  <w:endnote w:type="continuationSeparator" w:id="0">
    <w:p w:rsidR="0096202F" w:rsidRDefault="0096202F" w:rsidP="0015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D" w:rsidRPr="002D5772" w:rsidRDefault="00157EDD" w:rsidP="00157EDD">
    <w:pPr>
      <w:pStyle w:val="aa"/>
      <w:pBdr>
        <w:top w:val="single" w:sz="6" w:space="1" w:color="auto"/>
      </w:pBdr>
      <w:rPr>
        <w:sz w:val="4"/>
        <w:szCs w:val="4"/>
        <w:rtl/>
      </w:rPr>
    </w:pPr>
    <w:r w:rsidRPr="002D5772">
      <w:rPr>
        <w:b/>
        <w:bCs/>
        <w:sz w:val="22"/>
        <w:szCs w:val="22"/>
        <w:rtl/>
      </w:rPr>
      <w:t>רח' קפלן 1, הקריה ירושלים 91</w:t>
    </w:r>
    <w:r w:rsidRPr="002D5772">
      <w:rPr>
        <w:rFonts w:hint="cs"/>
        <w:b/>
        <w:bCs/>
        <w:sz w:val="22"/>
        <w:szCs w:val="22"/>
        <w:rtl/>
      </w:rPr>
      <w:t>030</w:t>
    </w:r>
    <w:r w:rsidRPr="002D5772">
      <w:rPr>
        <w:b/>
        <w:bCs/>
        <w:sz w:val="22"/>
        <w:szCs w:val="22"/>
        <w:rtl/>
      </w:rPr>
      <w:t xml:space="preserve"> טל':</w:t>
    </w:r>
    <w:r w:rsidRPr="002D5772">
      <w:rPr>
        <w:rFonts w:hAnsi="Narkisim"/>
        <w:b/>
        <w:bCs/>
        <w:sz w:val="22"/>
        <w:szCs w:val="22"/>
      </w:rPr>
      <w:t>02-5317201</w:t>
    </w:r>
    <w:r w:rsidRPr="002D5772">
      <w:rPr>
        <w:b/>
        <w:bCs/>
        <w:sz w:val="22"/>
        <w:szCs w:val="22"/>
        <w:rtl/>
      </w:rPr>
      <w:t xml:space="preserve"> פקס':</w:t>
    </w:r>
    <w:r w:rsidRPr="002D5772">
      <w:rPr>
        <w:rFonts w:hAnsi="Narkisim"/>
        <w:b/>
        <w:bCs/>
        <w:sz w:val="22"/>
        <w:szCs w:val="22"/>
      </w:rPr>
      <w:t>02-56</w:t>
    </w:r>
    <w:r w:rsidRPr="002D5772">
      <w:rPr>
        <w:b/>
        <w:bCs/>
        <w:sz w:val="22"/>
        <w:szCs w:val="22"/>
      </w:rPr>
      <w:t>95355</w:t>
    </w:r>
    <w:r w:rsidRPr="002D5772">
      <w:rPr>
        <w:b/>
        <w:bCs/>
        <w:sz w:val="22"/>
        <w:szCs w:val="22"/>
        <w:rtl/>
      </w:rPr>
      <w:t xml:space="preserve"> </w:t>
    </w:r>
    <w:r w:rsidRPr="002D5772">
      <w:rPr>
        <w:b/>
        <w:bCs/>
        <w:sz w:val="22"/>
        <w:szCs w:val="22"/>
        <w:rtl/>
      </w:rPr>
      <w:br/>
    </w:r>
  </w:p>
  <w:p w:rsidR="00157EDD" w:rsidRPr="00157EDD" w:rsidRDefault="00157EDD" w:rsidP="00157EDD">
    <w:pPr>
      <w:pStyle w:val="aa"/>
      <w:pBdr>
        <w:top w:val="single" w:sz="6" w:space="1" w:color="auto"/>
      </w:pBdr>
      <w:tabs>
        <w:tab w:val="clear" w:pos="4153"/>
        <w:tab w:val="clear" w:pos="8306"/>
        <w:tab w:val="center" w:pos="4556"/>
        <w:tab w:val="right" w:pos="9638"/>
      </w:tabs>
      <w:rPr>
        <w:color w:val="0000FF"/>
        <w:sz w:val="22"/>
        <w:szCs w:val="22"/>
        <w:rtl/>
      </w:rPr>
    </w:pPr>
    <w:r w:rsidRPr="00157EDD">
      <w:rPr>
        <w:rFonts w:hint="cs"/>
        <w:sz w:val="22"/>
        <w:szCs w:val="22"/>
        <w:rtl/>
      </w:rPr>
      <w:t xml:space="preserve">דוא"ל: </w:t>
    </w:r>
    <w:hyperlink r:id="rId1" w:history="1">
      <w:r w:rsidRPr="00157EDD">
        <w:rPr>
          <w:rStyle w:val="Hyperlink"/>
          <w:sz w:val="22"/>
          <w:szCs w:val="22"/>
          <w:u w:val="none"/>
        </w:rPr>
        <w:t>dover@mof.gov.il</w:t>
      </w:r>
    </w:hyperlink>
    <w:r w:rsidRPr="00157EDD">
      <w:rPr>
        <w:sz w:val="22"/>
        <w:szCs w:val="22"/>
      </w:rPr>
      <w:t xml:space="preserve">  </w:t>
    </w:r>
    <w:r w:rsidRPr="00157EDD">
      <w:rPr>
        <w:rStyle w:val="Hyperlink"/>
        <w:rFonts w:hint="cs"/>
        <w:sz w:val="22"/>
        <w:szCs w:val="22"/>
        <w:u w:val="none"/>
        <w:rtl/>
      </w:rPr>
      <w:t xml:space="preserve">           </w:t>
    </w:r>
    <w:r>
      <w:rPr>
        <w:rStyle w:val="Hyperlink"/>
        <w:rFonts w:hint="cs"/>
        <w:sz w:val="22"/>
        <w:szCs w:val="22"/>
        <w:u w:val="none"/>
        <w:rtl/>
      </w:rPr>
      <w:t xml:space="preserve">                  </w:t>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3B7E1FEE" wp14:editId="709BB850">
          <wp:extent cx="286385" cy="182880"/>
          <wp:effectExtent l="0" t="0" r="0" b="7620"/>
          <wp:docPr id="10" name="תמונה 10" descr="מוקטן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מוקטן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385" cy="182880"/>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20FAC083" wp14:editId="4EB82733">
          <wp:extent cx="167005" cy="174625"/>
          <wp:effectExtent l="0" t="0" r="4445" b="0"/>
          <wp:docPr id="11" name="תמונה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 cy="174625"/>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09C49F8E" wp14:editId="5729BDC3">
          <wp:extent cx="198755" cy="182880"/>
          <wp:effectExtent l="0" t="0" r="0" b="7620"/>
          <wp:docPr id="12" name="תמונה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7761BE00" wp14:editId="7BC2EFDF">
          <wp:extent cx="191135" cy="174625"/>
          <wp:effectExtent l="0" t="0" r="0" b="0"/>
          <wp:docPr id="13" name="תמונה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157EDD">
      <w:rPr>
        <w:rStyle w:val="Hyperlink"/>
        <w:rFonts w:hint="cs"/>
        <w:sz w:val="22"/>
        <w:szCs w:val="22"/>
        <w:u w:val="none"/>
        <w:rtl/>
      </w:rPr>
      <w:tab/>
      <w:t xml:space="preserve">      פורטל האוצר:</w:t>
    </w:r>
    <w:r w:rsidRPr="00157EDD">
      <w:rPr>
        <w:rStyle w:val="Hyperlink"/>
        <w:sz w:val="22"/>
        <w:szCs w:val="22"/>
        <w:u w:val="none"/>
      </w:rPr>
      <w:t>www.mof.gov.il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55" w:rsidRPr="002D5772" w:rsidRDefault="00157EDD" w:rsidP="001B3155">
    <w:pPr>
      <w:pStyle w:val="aa"/>
      <w:pBdr>
        <w:top w:val="single" w:sz="6" w:space="1" w:color="auto"/>
      </w:pBdr>
      <w:rPr>
        <w:sz w:val="4"/>
        <w:szCs w:val="4"/>
        <w:rtl/>
      </w:rPr>
    </w:pPr>
    <w:r w:rsidRPr="002D5772">
      <w:rPr>
        <w:b/>
        <w:bCs/>
        <w:sz w:val="22"/>
        <w:szCs w:val="22"/>
        <w:rtl/>
      </w:rPr>
      <w:t>רח' קפלן 1, הקריה ירושלים 91</w:t>
    </w:r>
    <w:r w:rsidRPr="002D5772">
      <w:rPr>
        <w:rFonts w:hint="cs"/>
        <w:b/>
        <w:bCs/>
        <w:sz w:val="22"/>
        <w:szCs w:val="22"/>
        <w:rtl/>
      </w:rPr>
      <w:t>030</w:t>
    </w:r>
    <w:r w:rsidRPr="002D5772">
      <w:rPr>
        <w:b/>
        <w:bCs/>
        <w:sz w:val="22"/>
        <w:szCs w:val="22"/>
        <w:rtl/>
      </w:rPr>
      <w:t xml:space="preserve"> טל':</w:t>
    </w:r>
    <w:r w:rsidRPr="002D5772">
      <w:rPr>
        <w:rFonts w:hAnsi="Narkisim"/>
        <w:b/>
        <w:bCs/>
        <w:sz w:val="22"/>
        <w:szCs w:val="22"/>
      </w:rPr>
      <w:t>02-5317201</w:t>
    </w:r>
    <w:r w:rsidRPr="002D5772">
      <w:rPr>
        <w:b/>
        <w:bCs/>
        <w:sz w:val="22"/>
        <w:szCs w:val="22"/>
        <w:rtl/>
      </w:rPr>
      <w:t xml:space="preserve"> פקס':</w:t>
    </w:r>
    <w:r w:rsidRPr="002D5772">
      <w:rPr>
        <w:rFonts w:hAnsi="Narkisim"/>
        <w:b/>
        <w:bCs/>
        <w:sz w:val="22"/>
        <w:szCs w:val="22"/>
      </w:rPr>
      <w:t>02-56</w:t>
    </w:r>
    <w:r w:rsidRPr="002D5772">
      <w:rPr>
        <w:b/>
        <w:bCs/>
        <w:sz w:val="22"/>
        <w:szCs w:val="22"/>
      </w:rPr>
      <w:t>95355</w:t>
    </w:r>
    <w:r w:rsidRPr="002D5772">
      <w:rPr>
        <w:b/>
        <w:bCs/>
        <w:sz w:val="22"/>
        <w:szCs w:val="22"/>
        <w:rtl/>
      </w:rPr>
      <w:t xml:space="preserve"> </w:t>
    </w:r>
    <w:r w:rsidRPr="002D5772">
      <w:rPr>
        <w:b/>
        <w:bCs/>
        <w:sz w:val="22"/>
        <w:szCs w:val="22"/>
        <w:rtl/>
      </w:rPr>
      <w:br/>
    </w:r>
  </w:p>
  <w:p w:rsidR="001B3155" w:rsidRPr="00157EDD" w:rsidRDefault="00157EDD" w:rsidP="00157EDD">
    <w:pPr>
      <w:pStyle w:val="aa"/>
      <w:pBdr>
        <w:top w:val="single" w:sz="6" w:space="1" w:color="auto"/>
      </w:pBdr>
      <w:tabs>
        <w:tab w:val="clear" w:pos="4153"/>
        <w:tab w:val="clear" w:pos="8306"/>
        <w:tab w:val="center" w:pos="4556"/>
        <w:tab w:val="right" w:pos="9638"/>
      </w:tabs>
      <w:rPr>
        <w:color w:val="0000FF"/>
        <w:sz w:val="22"/>
        <w:szCs w:val="22"/>
        <w:rtl/>
      </w:rPr>
    </w:pPr>
    <w:r w:rsidRPr="00157EDD">
      <w:rPr>
        <w:rFonts w:hint="cs"/>
        <w:sz w:val="22"/>
        <w:szCs w:val="22"/>
        <w:rtl/>
      </w:rPr>
      <w:t xml:space="preserve">דוא"ל: </w:t>
    </w:r>
    <w:hyperlink r:id="rId1" w:history="1">
      <w:r w:rsidRPr="00157EDD">
        <w:rPr>
          <w:rStyle w:val="Hyperlink"/>
          <w:sz w:val="22"/>
          <w:szCs w:val="22"/>
          <w:u w:val="none"/>
        </w:rPr>
        <w:t>dover@mof.gov.il</w:t>
      </w:r>
    </w:hyperlink>
    <w:r w:rsidRPr="00157EDD">
      <w:rPr>
        <w:sz w:val="22"/>
        <w:szCs w:val="22"/>
      </w:rPr>
      <w:t xml:space="preserve">  </w:t>
    </w:r>
    <w:r w:rsidRPr="00157EDD">
      <w:rPr>
        <w:rStyle w:val="Hyperlink"/>
        <w:rFonts w:hint="cs"/>
        <w:sz w:val="22"/>
        <w:szCs w:val="22"/>
        <w:u w:val="none"/>
        <w:rtl/>
      </w:rPr>
      <w:t xml:space="preserve">           </w:t>
    </w:r>
    <w:r>
      <w:rPr>
        <w:rStyle w:val="Hyperlink"/>
        <w:rFonts w:hint="cs"/>
        <w:sz w:val="22"/>
        <w:szCs w:val="22"/>
        <w:u w:val="none"/>
        <w:rtl/>
      </w:rPr>
      <w:t xml:space="preserve">                  </w:t>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4224E7F4" wp14:editId="1CE35CC0">
          <wp:extent cx="286385" cy="182880"/>
          <wp:effectExtent l="0" t="0" r="0" b="7620"/>
          <wp:docPr id="4" name="תמונה 4" descr="מוקטן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מוקטן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385" cy="182880"/>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5969F4CF" wp14:editId="50E198D7">
          <wp:extent cx="167005" cy="174625"/>
          <wp:effectExtent l="0" t="0" r="4445" b="0"/>
          <wp:docPr id="3" name="תמונה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 cy="174625"/>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79B162AB" wp14:editId="25232FE9">
          <wp:extent cx="198755" cy="182880"/>
          <wp:effectExtent l="0" t="0" r="0" b="7620"/>
          <wp:docPr id="2" name="תמונה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r w:rsidRPr="00157EDD">
      <w:rPr>
        <w:rStyle w:val="Hyperlink"/>
        <w:rFonts w:hint="cs"/>
        <w:sz w:val="22"/>
        <w:szCs w:val="22"/>
        <w:u w:val="none"/>
        <w:rtl/>
      </w:rPr>
      <w:t xml:space="preserve">  </w:t>
    </w:r>
    <w:r w:rsidRPr="00157EDD">
      <w:rPr>
        <w:rFonts w:hint="cs"/>
        <w:noProof/>
        <w:sz w:val="22"/>
        <w:szCs w:val="22"/>
        <w:lang w:eastAsia="en-US"/>
      </w:rPr>
      <w:drawing>
        <wp:inline distT="0" distB="0" distL="0" distR="0" wp14:anchorId="51F1C5CD" wp14:editId="433E203D">
          <wp:extent cx="191135" cy="174625"/>
          <wp:effectExtent l="0" t="0" r="0" b="0"/>
          <wp:docPr id="1" name="תמונה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157EDD">
      <w:rPr>
        <w:rStyle w:val="Hyperlink"/>
        <w:rFonts w:hint="cs"/>
        <w:sz w:val="22"/>
        <w:szCs w:val="22"/>
        <w:u w:val="none"/>
        <w:rtl/>
      </w:rPr>
      <w:tab/>
      <w:t xml:space="preserve">      פורטל האוצר:</w:t>
    </w:r>
    <w:r w:rsidRPr="00157EDD">
      <w:rPr>
        <w:rStyle w:val="Hyperlink"/>
        <w:sz w:val="22"/>
        <w:szCs w:val="22"/>
        <w:u w:val="none"/>
      </w:rPr>
      <w:t>www.mof.gov.il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2F" w:rsidRDefault="0096202F" w:rsidP="00157EDD">
      <w:r>
        <w:separator/>
      </w:r>
    </w:p>
  </w:footnote>
  <w:footnote w:type="continuationSeparator" w:id="0">
    <w:p w:rsidR="0096202F" w:rsidRDefault="0096202F" w:rsidP="0015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8F" w:rsidRDefault="00CD4D8F" w:rsidP="00A22924">
    <w:pPr>
      <w:pStyle w:val="a8"/>
      <w:tabs>
        <w:tab w:val="left" w:pos="4061"/>
        <w:tab w:val="center" w:pos="4590"/>
      </w:tabs>
      <w:jc w:val="left"/>
      <w:rPr>
        <w:b/>
        <w:bCs/>
        <w:szCs w:val="40"/>
        <w:rtl/>
      </w:rPr>
    </w:pPr>
  </w:p>
  <w:p w:rsidR="00E614F7" w:rsidRDefault="00A22924" w:rsidP="00A22924">
    <w:pPr>
      <w:pStyle w:val="a8"/>
      <w:tabs>
        <w:tab w:val="left" w:pos="4061"/>
        <w:tab w:val="center" w:pos="4590"/>
      </w:tabs>
      <w:jc w:val="left"/>
      <w:rPr>
        <w:b/>
        <w:bCs/>
        <w:szCs w:val="40"/>
        <w:rtl/>
      </w:rPr>
    </w:pPr>
    <w:r>
      <w:rPr>
        <w:b/>
        <w:bCs/>
        <w:szCs w:val="40"/>
        <w:rtl/>
      </w:rPr>
      <w:tab/>
    </w:r>
    <w:r>
      <w:rPr>
        <w:rFonts w:hint="cs"/>
        <w:b/>
        <w:bCs/>
        <w:szCs w:val="40"/>
        <w:rtl/>
      </w:rPr>
      <w:t xml:space="preserve"> </w:t>
    </w:r>
    <w:r>
      <w:rPr>
        <w:b/>
        <w:bCs/>
        <w:szCs w:val="40"/>
        <w:rtl/>
      </w:rPr>
      <w:tab/>
    </w:r>
    <w:r w:rsidR="00157EDD">
      <w:rPr>
        <w:b/>
        <w:bCs/>
        <w:noProof/>
        <w:szCs w:val="40"/>
        <w:rtl/>
        <w:lang w:eastAsia="en-US"/>
      </w:rPr>
      <w:drawing>
        <wp:inline distT="0" distB="0" distL="0" distR="0" wp14:anchorId="0079312E" wp14:editId="44606C3B">
          <wp:extent cx="540385" cy="691515"/>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E614F7" w:rsidRPr="00185B47" w:rsidRDefault="00157EDD" w:rsidP="00DD2AC9">
    <w:pPr>
      <w:pStyle w:val="a8"/>
      <w:jc w:val="center"/>
      <w:rPr>
        <w:rFonts w:cs="David"/>
        <w:szCs w:val="34"/>
        <w:rtl/>
      </w:rPr>
    </w:pPr>
    <w:r w:rsidRPr="00185B47">
      <w:rPr>
        <w:rFonts w:cs="David"/>
        <w:szCs w:val="34"/>
        <w:rtl/>
      </w:rPr>
      <w:t>משרד האוצר</w:t>
    </w:r>
  </w:p>
  <w:p w:rsidR="00E614F7" w:rsidRPr="00185B47" w:rsidRDefault="00157EDD" w:rsidP="00DD2AC9">
    <w:pPr>
      <w:pStyle w:val="a8"/>
      <w:jc w:val="center"/>
      <w:rPr>
        <w:rFonts w:cs="David"/>
        <w:b/>
        <w:bCs/>
        <w:szCs w:val="28"/>
        <w:rtl/>
      </w:rPr>
    </w:pPr>
    <w:r w:rsidRPr="00185B47">
      <w:rPr>
        <w:rFonts w:cs="David"/>
        <w:b/>
        <w:bCs/>
        <w:szCs w:val="28"/>
        <w:rtl/>
      </w:rPr>
      <w:t>דוברות והסברה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797"/>
    <w:multiLevelType w:val="multilevel"/>
    <w:tmpl w:val="CB2CFB36"/>
    <w:numStyleLink w:val="-"/>
  </w:abstractNum>
  <w:abstractNum w:abstractNumId="1">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90D37"/>
    <w:multiLevelType w:val="multilevel"/>
    <w:tmpl w:val="2C7611E6"/>
    <w:numStyleLink w:val="-0"/>
  </w:abstractNum>
  <w:abstractNum w:abstractNumId="4">
    <w:nsid w:val="477D4CEE"/>
    <w:multiLevelType w:val="multilevel"/>
    <w:tmpl w:val="2C7611E6"/>
    <w:numStyleLink w:val="-0"/>
  </w:abstractNum>
  <w:abstractNum w:abstractNumId="5">
    <w:nsid w:val="52C63965"/>
    <w:multiLevelType w:val="multilevel"/>
    <w:tmpl w:val="CB2CFB36"/>
    <w:numStyleLink w:val="-"/>
  </w:abstractNum>
  <w:abstractNum w:abstractNumId="6">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DD"/>
    <w:rsid w:val="00014182"/>
    <w:rsid w:val="00047C97"/>
    <w:rsid w:val="000520B7"/>
    <w:rsid w:val="000568CE"/>
    <w:rsid w:val="00066383"/>
    <w:rsid w:val="00093B9D"/>
    <w:rsid w:val="000C04AE"/>
    <w:rsid w:val="000E6098"/>
    <w:rsid w:val="000E632C"/>
    <w:rsid w:val="0010326C"/>
    <w:rsid w:val="00157EDD"/>
    <w:rsid w:val="001611C6"/>
    <w:rsid w:val="00164B30"/>
    <w:rsid w:val="0018292D"/>
    <w:rsid w:val="001A7C42"/>
    <w:rsid w:val="001C4F6D"/>
    <w:rsid w:val="001D55DD"/>
    <w:rsid w:val="001E548A"/>
    <w:rsid w:val="00220FCD"/>
    <w:rsid w:val="00275887"/>
    <w:rsid w:val="002A54A3"/>
    <w:rsid w:val="002A7FEA"/>
    <w:rsid w:val="002E38F4"/>
    <w:rsid w:val="002F197C"/>
    <w:rsid w:val="00325E01"/>
    <w:rsid w:val="00361114"/>
    <w:rsid w:val="003840FE"/>
    <w:rsid w:val="00393C6A"/>
    <w:rsid w:val="003A1D7A"/>
    <w:rsid w:val="003C3A5C"/>
    <w:rsid w:val="003F1396"/>
    <w:rsid w:val="0040055E"/>
    <w:rsid w:val="00423D6A"/>
    <w:rsid w:val="00426E0E"/>
    <w:rsid w:val="004323EF"/>
    <w:rsid w:val="004410DE"/>
    <w:rsid w:val="00445C4C"/>
    <w:rsid w:val="0044663B"/>
    <w:rsid w:val="00451F2E"/>
    <w:rsid w:val="004523EB"/>
    <w:rsid w:val="00452D7A"/>
    <w:rsid w:val="004C127D"/>
    <w:rsid w:val="004C5538"/>
    <w:rsid w:val="004D65A1"/>
    <w:rsid w:val="004E479D"/>
    <w:rsid w:val="004F3773"/>
    <w:rsid w:val="005016AD"/>
    <w:rsid w:val="005028F9"/>
    <w:rsid w:val="00505D36"/>
    <w:rsid w:val="00515321"/>
    <w:rsid w:val="00515E5C"/>
    <w:rsid w:val="00534452"/>
    <w:rsid w:val="005371D8"/>
    <w:rsid w:val="00556BE2"/>
    <w:rsid w:val="00566F8F"/>
    <w:rsid w:val="005D42E4"/>
    <w:rsid w:val="00600BFA"/>
    <w:rsid w:val="00600F1F"/>
    <w:rsid w:val="00602DAD"/>
    <w:rsid w:val="006071AD"/>
    <w:rsid w:val="006309B0"/>
    <w:rsid w:val="0066664E"/>
    <w:rsid w:val="00674118"/>
    <w:rsid w:val="00692C69"/>
    <w:rsid w:val="006952CA"/>
    <w:rsid w:val="006A13C9"/>
    <w:rsid w:val="006A2503"/>
    <w:rsid w:val="006A5446"/>
    <w:rsid w:val="006B352E"/>
    <w:rsid w:val="006C55AF"/>
    <w:rsid w:val="006D0744"/>
    <w:rsid w:val="006D686D"/>
    <w:rsid w:val="006E5942"/>
    <w:rsid w:val="00706164"/>
    <w:rsid w:val="00727C36"/>
    <w:rsid w:val="00735D55"/>
    <w:rsid w:val="00743847"/>
    <w:rsid w:val="00751B50"/>
    <w:rsid w:val="00757313"/>
    <w:rsid w:val="00757879"/>
    <w:rsid w:val="007611DA"/>
    <w:rsid w:val="00793E5C"/>
    <w:rsid w:val="007A373A"/>
    <w:rsid w:val="007D4118"/>
    <w:rsid w:val="007E2692"/>
    <w:rsid w:val="0080160A"/>
    <w:rsid w:val="0081532B"/>
    <w:rsid w:val="0082739B"/>
    <w:rsid w:val="00864DB3"/>
    <w:rsid w:val="00867AE5"/>
    <w:rsid w:val="00870D8A"/>
    <w:rsid w:val="008B39D7"/>
    <w:rsid w:val="008E77BE"/>
    <w:rsid w:val="00910BC9"/>
    <w:rsid w:val="00915C9A"/>
    <w:rsid w:val="00935E81"/>
    <w:rsid w:val="0096202F"/>
    <w:rsid w:val="00986444"/>
    <w:rsid w:val="00990A24"/>
    <w:rsid w:val="009B64FE"/>
    <w:rsid w:val="009E52B5"/>
    <w:rsid w:val="009F7F7A"/>
    <w:rsid w:val="00A15876"/>
    <w:rsid w:val="00A15D5D"/>
    <w:rsid w:val="00A22924"/>
    <w:rsid w:val="00A30921"/>
    <w:rsid w:val="00A5751E"/>
    <w:rsid w:val="00A67A4F"/>
    <w:rsid w:val="00A7396A"/>
    <w:rsid w:val="00A73972"/>
    <w:rsid w:val="00A84333"/>
    <w:rsid w:val="00A84658"/>
    <w:rsid w:val="00AA4752"/>
    <w:rsid w:val="00AD0167"/>
    <w:rsid w:val="00AF1C47"/>
    <w:rsid w:val="00B03E2B"/>
    <w:rsid w:val="00B041F7"/>
    <w:rsid w:val="00B311D4"/>
    <w:rsid w:val="00B429D7"/>
    <w:rsid w:val="00B60EE6"/>
    <w:rsid w:val="00B67385"/>
    <w:rsid w:val="00B93390"/>
    <w:rsid w:val="00B93A25"/>
    <w:rsid w:val="00BB393A"/>
    <w:rsid w:val="00BD67E7"/>
    <w:rsid w:val="00C01906"/>
    <w:rsid w:val="00C171DC"/>
    <w:rsid w:val="00C27AC8"/>
    <w:rsid w:val="00C37F33"/>
    <w:rsid w:val="00C84ABA"/>
    <w:rsid w:val="00CA61AF"/>
    <w:rsid w:val="00CB40A4"/>
    <w:rsid w:val="00CC356E"/>
    <w:rsid w:val="00CD4D8F"/>
    <w:rsid w:val="00CD6DB8"/>
    <w:rsid w:val="00CE0517"/>
    <w:rsid w:val="00CF44BB"/>
    <w:rsid w:val="00D33979"/>
    <w:rsid w:val="00D66453"/>
    <w:rsid w:val="00D731DA"/>
    <w:rsid w:val="00D736DD"/>
    <w:rsid w:val="00D87CFE"/>
    <w:rsid w:val="00D969C1"/>
    <w:rsid w:val="00DD5320"/>
    <w:rsid w:val="00DE069A"/>
    <w:rsid w:val="00DE7CC8"/>
    <w:rsid w:val="00DF73FF"/>
    <w:rsid w:val="00E41B31"/>
    <w:rsid w:val="00E56588"/>
    <w:rsid w:val="00E95EEF"/>
    <w:rsid w:val="00EA6729"/>
    <w:rsid w:val="00EB7198"/>
    <w:rsid w:val="00EC303E"/>
    <w:rsid w:val="00EF71D7"/>
    <w:rsid w:val="00F00D41"/>
    <w:rsid w:val="00F0592A"/>
    <w:rsid w:val="00F25ABF"/>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57EDD"/>
    <w:pPr>
      <w:bidi/>
      <w:spacing w:before="0" w:after="0" w:line="240" w:lineRule="auto"/>
      <w:jc w:val="both"/>
    </w:pPr>
    <w:rPr>
      <w:rFonts w:ascii="Times New Roman" w:eastAsia="Times New Roman" w:hAnsi="Times New Roman" w:cs="FrankRuehl"/>
      <w:sz w:val="24"/>
      <w:szCs w:val="26"/>
      <w:lang w:eastAsia="he-IL"/>
    </w:rPr>
  </w:style>
  <w:style w:type="paragraph" w:styleId="1">
    <w:name w:val="heading 1"/>
    <w:basedOn w:val="a"/>
    <w:next w:val="a"/>
    <w:link w:val="10"/>
    <w:qFormat/>
    <w:rsid w:val="003A1D7A"/>
    <w:pPr>
      <w:widowControl w:val="0"/>
      <w:spacing w:before="120" w:line="360" w:lineRule="auto"/>
      <w:outlineLvl w:val="0"/>
    </w:pPr>
    <w:rPr>
      <w:rFonts w:eastAsiaTheme="minorHAnsi" w:cs="David"/>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cs="David"/>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cs="David"/>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cs="David"/>
      <w:b/>
      <w:bCs/>
      <w:caps/>
      <w:spacing w:val="10"/>
      <w:szCs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cs="David"/>
      <w:b/>
      <w:bCs/>
      <w:caps/>
      <w:spacing w:val="10"/>
      <w:szCs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cs="David"/>
      <w:b/>
      <w:bCs/>
      <w:caps/>
      <w:spacing w:val="10"/>
      <w:szCs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cs="David"/>
      <w:b/>
      <w:bCs/>
      <w:caps/>
      <w:spacing w:val="10"/>
      <w:szCs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s="David"/>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cs="David"/>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cs="David"/>
      <w:i/>
      <w:iCs/>
      <w:szCs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cs="David"/>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cs="David"/>
      <w:szCs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cs="David"/>
      <w:szCs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cs="David"/>
      <w:szCs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cs="David"/>
      <w:szCs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cs="David"/>
      <w:szCs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cs="David"/>
      <w:szCs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cs="David"/>
      <w:szCs w:val="24"/>
      <w:lang w:eastAsia="en-US"/>
    </w:rPr>
  </w:style>
  <w:style w:type="paragraph" w:styleId="a7">
    <w:name w:val="List Paragraph"/>
    <w:basedOn w:val="a"/>
    <w:uiPriority w:val="34"/>
    <w:rsid w:val="00FE3193"/>
    <w:pPr>
      <w:spacing w:before="120" w:after="120" w:line="360" w:lineRule="auto"/>
      <w:ind w:left="720"/>
      <w:contextualSpacing/>
    </w:pPr>
    <w:rPr>
      <w:rFonts w:eastAsiaTheme="minorHAnsi" w:cs="David"/>
      <w:szCs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157EDD"/>
    <w:pPr>
      <w:tabs>
        <w:tab w:val="center" w:pos="4153"/>
        <w:tab w:val="right" w:pos="8306"/>
      </w:tabs>
    </w:pPr>
  </w:style>
  <w:style w:type="character" w:customStyle="1" w:styleId="a9">
    <w:name w:val="כותרת עליונה תו"/>
    <w:basedOn w:val="a0"/>
    <w:link w:val="a8"/>
    <w:rsid w:val="00157EDD"/>
    <w:rPr>
      <w:rFonts w:ascii="Times New Roman" w:eastAsia="Times New Roman" w:hAnsi="Times New Roman" w:cs="FrankRuehl"/>
      <w:sz w:val="24"/>
      <w:szCs w:val="26"/>
      <w:lang w:eastAsia="he-IL"/>
    </w:rPr>
  </w:style>
  <w:style w:type="paragraph" w:styleId="aa">
    <w:name w:val="footer"/>
    <w:basedOn w:val="a"/>
    <w:link w:val="ab"/>
    <w:rsid w:val="00157EDD"/>
    <w:pPr>
      <w:widowControl w:val="0"/>
      <w:tabs>
        <w:tab w:val="center" w:pos="4153"/>
        <w:tab w:val="right" w:pos="8306"/>
      </w:tabs>
    </w:pPr>
    <w:rPr>
      <w:rFonts w:cs="David"/>
    </w:rPr>
  </w:style>
  <w:style w:type="character" w:customStyle="1" w:styleId="ab">
    <w:name w:val="כותרת תחתונה תו"/>
    <w:basedOn w:val="a0"/>
    <w:link w:val="aa"/>
    <w:rsid w:val="00157EDD"/>
    <w:rPr>
      <w:rFonts w:ascii="Times New Roman" w:eastAsia="Times New Roman" w:hAnsi="Times New Roman" w:cs="David"/>
      <w:sz w:val="24"/>
      <w:szCs w:val="26"/>
      <w:lang w:eastAsia="he-IL"/>
    </w:rPr>
  </w:style>
  <w:style w:type="character" w:styleId="Hyperlink">
    <w:name w:val="Hyperlink"/>
    <w:rsid w:val="00157EDD"/>
    <w:rPr>
      <w:color w:val="0000FF"/>
      <w:u w:val="single"/>
    </w:rPr>
  </w:style>
  <w:style w:type="paragraph" w:styleId="ac">
    <w:name w:val="Balloon Text"/>
    <w:basedOn w:val="a"/>
    <w:link w:val="ad"/>
    <w:uiPriority w:val="99"/>
    <w:semiHidden/>
    <w:unhideWhenUsed/>
    <w:rsid w:val="00157EDD"/>
    <w:rPr>
      <w:rFonts w:ascii="Tahoma" w:hAnsi="Tahoma" w:cs="Tahoma"/>
      <w:sz w:val="16"/>
      <w:szCs w:val="16"/>
    </w:rPr>
  </w:style>
  <w:style w:type="character" w:customStyle="1" w:styleId="ad">
    <w:name w:val="טקסט בלונים תו"/>
    <w:basedOn w:val="a0"/>
    <w:link w:val="ac"/>
    <w:uiPriority w:val="99"/>
    <w:semiHidden/>
    <w:rsid w:val="00157EDD"/>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57EDD"/>
    <w:pPr>
      <w:bidi/>
      <w:spacing w:before="0" w:after="0" w:line="240" w:lineRule="auto"/>
      <w:jc w:val="both"/>
    </w:pPr>
    <w:rPr>
      <w:rFonts w:ascii="Times New Roman" w:eastAsia="Times New Roman" w:hAnsi="Times New Roman" w:cs="FrankRuehl"/>
      <w:sz w:val="24"/>
      <w:szCs w:val="26"/>
      <w:lang w:eastAsia="he-IL"/>
    </w:rPr>
  </w:style>
  <w:style w:type="paragraph" w:styleId="1">
    <w:name w:val="heading 1"/>
    <w:basedOn w:val="a"/>
    <w:next w:val="a"/>
    <w:link w:val="10"/>
    <w:qFormat/>
    <w:rsid w:val="003A1D7A"/>
    <w:pPr>
      <w:widowControl w:val="0"/>
      <w:spacing w:before="120" w:line="360" w:lineRule="auto"/>
      <w:outlineLvl w:val="0"/>
    </w:pPr>
    <w:rPr>
      <w:rFonts w:eastAsiaTheme="minorHAnsi" w:cs="David"/>
      <w:b/>
      <w:bCs/>
      <w:caps/>
      <w:spacing w:val="15"/>
      <w:sz w:val="36"/>
      <w:szCs w:val="36"/>
      <w:lang w:eastAsia="en-US"/>
    </w:rPr>
  </w:style>
  <w:style w:type="paragraph" w:styleId="2">
    <w:name w:val="heading 2"/>
    <w:basedOn w:val="a"/>
    <w:next w:val="a"/>
    <w:link w:val="20"/>
    <w:uiPriority w:val="9"/>
    <w:unhideWhenUsed/>
    <w:qFormat/>
    <w:rsid w:val="003A1D7A"/>
    <w:pPr>
      <w:widowControl w:val="0"/>
      <w:spacing w:before="120" w:line="360" w:lineRule="auto"/>
      <w:outlineLvl w:val="1"/>
    </w:pPr>
    <w:rPr>
      <w:rFonts w:eastAsiaTheme="minorHAnsi" w:cs="David"/>
      <w:b/>
      <w:bCs/>
      <w:caps/>
      <w:spacing w:val="15"/>
      <w:sz w:val="32"/>
      <w:szCs w:val="32"/>
      <w:lang w:eastAsia="en-US"/>
    </w:rPr>
  </w:style>
  <w:style w:type="paragraph" w:styleId="3">
    <w:name w:val="heading 3"/>
    <w:basedOn w:val="a"/>
    <w:next w:val="a"/>
    <w:link w:val="30"/>
    <w:uiPriority w:val="9"/>
    <w:unhideWhenUsed/>
    <w:qFormat/>
    <w:rsid w:val="001611C6"/>
    <w:pPr>
      <w:widowControl w:val="0"/>
      <w:bidi w:val="0"/>
      <w:spacing w:before="300" w:line="360" w:lineRule="auto"/>
      <w:outlineLvl w:val="2"/>
    </w:pPr>
    <w:rPr>
      <w:rFonts w:eastAsiaTheme="minorHAnsi" w:cs="David"/>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cs="David"/>
      <w:b/>
      <w:bCs/>
      <w:caps/>
      <w:spacing w:val="10"/>
      <w:szCs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cs="David"/>
      <w:b/>
      <w:bCs/>
      <w:caps/>
      <w:spacing w:val="10"/>
      <w:szCs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cs="David"/>
      <w:b/>
      <w:bCs/>
      <w:caps/>
      <w:spacing w:val="10"/>
      <w:szCs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cs="David"/>
      <w:b/>
      <w:bCs/>
      <w:caps/>
      <w:spacing w:val="10"/>
      <w:szCs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s="David"/>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cs="David"/>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cs="David"/>
      <w:i/>
      <w:iCs/>
      <w:szCs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cs="David"/>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cs="David"/>
      <w:szCs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cs="David"/>
      <w:szCs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cs="David"/>
      <w:szCs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cs="David"/>
      <w:szCs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cs="David"/>
      <w:szCs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cs="David"/>
      <w:szCs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cs="David"/>
      <w:szCs w:val="24"/>
      <w:lang w:eastAsia="en-US"/>
    </w:rPr>
  </w:style>
  <w:style w:type="paragraph" w:styleId="a7">
    <w:name w:val="List Paragraph"/>
    <w:basedOn w:val="a"/>
    <w:uiPriority w:val="34"/>
    <w:rsid w:val="00FE3193"/>
    <w:pPr>
      <w:spacing w:before="120" w:after="120" w:line="360" w:lineRule="auto"/>
      <w:ind w:left="720"/>
      <w:contextualSpacing/>
    </w:pPr>
    <w:rPr>
      <w:rFonts w:eastAsiaTheme="minorHAnsi" w:cs="David"/>
      <w:szCs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157EDD"/>
    <w:pPr>
      <w:tabs>
        <w:tab w:val="center" w:pos="4153"/>
        <w:tab w:val="right" w:pos="8306"/>
      </w:tabs>
    </w:pPr>
  </w:style>
  <w:style w:type="character" w:customStyle="1" w:styleId="a9">
    <w:name w:val="כותרת עליונה תו"/>
    <w:basedOn w:val="a0"/>
    <w:link w:val="a8"/>
    <w:rsid w:val="00157EDD"/>
    <w:rPr>
      <w:rFonts w:ascii="Times New Roman" w:eastAsia="Times New Roman" w:hAnsi="Times New Roman" w:cs="FrankRuehl"/>
      <w:sz w:val="24"/>
      <w:szCs w:val="26"/>
      <w:lang w:eastAsia="he-IL"/>
    </w:rPr>
  </w:style>
  <w:style w:type="paragraph" w:styleId="aa">
    <w:name w:val="footer"/>
    <w:basedOn w:val="a"/>
    <w:link w:val="ab"/>
    <w:rsid w:val="00157EDD"/>
    <w:pPr>
      <w:widowControl w:val="0"/>
      <w:tabs>
        <w:tab w:val="center" w:pos="4153"/>
        <w:tab w:val="right" w:pos="8306"/>
      </w:tabs>
    </w:pPr>
    <w:rPr>
      <w:rFonts w:cs="David"/>
    </w:rPr>
  </w:style>
  <w:style w:type="character" w:customStyle="1" w:styleId="ab">
    <w:name w:val="כותרת תחתונה תו"/>
    <w:basedOn w:val="a0"/>
    <w:link w:val="aa"/>
    <w:rsid w:val="00157EDD"/>
    <w:rPr>
      <w:rFonts w:ascii="Times New Roman" w:eastAsia="Times New Roman" w:hAnsi="Times New Roman" w:cs="David"/>
      <w:sz w:val="24"/>
      <w:szCs w:val="26"/>
      <w:lang w:eastAsia="he-IL"/>
    </w:rPr>
  </w:style>
  <w:style w:type="character" w:styleId="Hyperlink">
    <w:name w:val="Hyperlink"/>
    <w:rsid w:val="00157EDD"/>
    <w:rPr>
      <w:color w:val="0000FF"/>
      <w:u w:val="single"/>
    </w:rPr>
  </w:style>
  <w:style w:type="paragraph" w:styleId="ac">
    <w:name w:val="Balloon Text"/>
    <w:basedOn w:val="a"/>
    <w:link w:val="ad"/>
    <w:uiPriority w:val="99"/>
    <w:semiHidden/>
    <w:unhideWhenUsed/>
    <w:rsid w:val="00157EDD"/>
    <w:rPr>
      <w:rFonts w:ascii="Tahoma" w:hAnsi="Tahoma" w:cs="Tahoma"/>
      <w:sz w:val="16"/>
      <w:szCs w:val="16"/>
    </w:rPr>
  </w:style>
  <w:style w:type="character" w:customStyle="1" w:styleId="ad">
    <w:name w:val="טקסט בלונים תו"/>
    <w:basedOn w:val="a0"/>
    <w:link w:val="ac"/>
    <w:uiPriority w:val="99"/>
    <w:semiHidden/>
    <w:rsid w:val="00157EDD"/>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israelimof" TargetMode="External"/><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hyperlink" Target="http://www.gov.il/" TargetMode="External"/><Relationship Id="rId1" Type="http://schemas.openxmlformats.org/officeDocument/2006/relationships/hyperlink" Target="mailto:dover@mof.gov.il" TargetMode="External"/><Relationship Id="rId6" Type="http://schemas.openxmlformats.org/officeDocument/2006/relationships/hyperlink" Target="http://twitter.com/israel_mof" TargetMode="External"/><Relationship Id="rId5" Type="http://schemas.openxmlformats.org/officeDocument/2006/relationships/image" Target="media/image2.png"/><Relationship Id="rId4" Type="http://schemas.openxmlformats.org/officeDocument/2006/relationships/hyperlink" Target="http://www.facebook.com/Israeli.Ministry.of.Finance" TargetMode="External"/><Relationship Id="rId9"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http://www.youtube.com/israelimof" TargetMode="External"/><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hyperlink" Target="http://www.gov.il/" TargetMode="External"/><Relationship Id="rId1" Type="http://schemas.openxmlformats.org/officeDocument/2006/relationships/hyperlink" Target="mailto:dover@mof.gov.il" TargetMode="External"/><Relationship Id="rId6" Type="http://schemas.openxmlformats.org/officeDocument/2006/relationships/hyperlink" Target="http://twitter.com/israel_mof" TargetMode="External"/><Relationship Id="rId5" Type="http://schemas.openxmlformats.org/officeDocument/2006/relationships/image" Target="media/image2.png"/><Relationship Id="rId4" Type="http://schemas.openxmlformats.org/officeDocument/2006/relationships/hyperlink" Target="http://www.facebook.com/Israeli.Ministry.of.Finance"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5DBD-3A45-437C-A915-06591079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1880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זאב תמיר</dc:creator>
  <cp:lastModifiedBy>‏‏משתמש Windows</cp:lastModifiedBy>
  <cp:revision>8</cp:revision>
  <dcterms:created xsi:type="dcterms:W3CDTF">2012-06-13T13:19:00Z</dcterms:created>
  <dcterms:modified xsi:type="dcterms:W3CDTF">2016-12-11T10:42:00Z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notes://MAOR2/Doc/Dover/doverdoc.nsf/0/41B92C8785FBCA43C2258086003AB56C/?OpenDocument</vt:lpwstr>
  </property>
  <property fmtid="{D5CDD505-2E9C-101B-9397-08002B2CF9AE}" pid="3" name="MaorRecipients0">
    <vt:lpwstr>eladel@mof.gov.il</vt:lpwstr>
  </property>
</Properties>
</file>