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2DB" w:rsidRPr="00C8684B" w:rsidRDefault="00527675" w:rsidP="00527675">
      <w:pPr>
        <w:pStyle w:val="HeadMitparsemetBaze"/>
        <w:keepNext w:val="0"/>
        <w:keepLines w:val="0"/>
        <w:pageBreakBefore w:val="0"/>
        <w:jc w:val="center"/>
        <w:rPr>
          <w:sz w:val="26"/>
          <w:rtl/>
        </w:rPr>
      </w:pPr>
      <w:r>
        <w:rPr>
          <w:rFonts w:hint="cs"/>
          <w:sz w:val="26"/>
          <w:rtl/>
        </w:rPr>
        <w:t>תזכיר חוק</w:t>
      </w:r>
      <w:bookmarkStart w:id="0" w:name="_GoBack"/>
      <w:bookmarkEnd w:id="0"/>
    </w:p>
    <w:p w:rsidR="00FB22DB" w:rsidRPr="00C8684B" w:rsidRDefault="00FB22DB" w:rsidP="00FB22DB">
      <w:pPr>
        <w:pStyle w:val="ac"/>
        <w:widowControl/>
        <w:numPr>
          <w:ilvl w:val="0"/>
          <w:numId w:val="36"/>
        </w:numPr>
        <w:tabs>
          <w:tab w:val="left" w:pos="425"/>
        </w:tabs>
        <w:autoSpaceDE/>
        <w:autoSpaceDN/>
        <w:adjustRightInd/>
        <w:spacing w:before="0" w:after="200" w:line="360" w:lineRule="auto"/>
        <w:ind w:left="425" w:firstLine="0"/>
        <w:jc w:val="left"/>
        <w:textAlignment w:val="auto"/>
        <w:rPr>
          <w:rFonts w:asciiTheme="minorHAnsi" w:eastAsiaTheme="minorHAnsi" w:hAnsiTheme="minorHAnsi" w:cs="David"/>
          <w:b/>
          <w:bCs/>
          <w:color w:val="auto"/>
          <w:spacing w:val="0"/>
          <w:sz w:val="26"/>
          <w:szCs w:val="26"/>
          <w:u w:val="single"/>
          <w:lang w:eastAsia="en-US"/>
        </w:rPr>
      </w:pPr>
      <w:r w:rsidRPr="00C8684B">
        <w:rPr>
          <w:rFonts w:asciiTheme="minorHAnsi" w:eastAsiaTheme="minorHAnsi" w:hAnsiTheme="minorHAnsi" w:cs="David" w:hint="cs"/>
          <w:b/>
          <w:bCs/>
          <w:color w:val="auto"/>
          <w:spacing w:val="0"/>
          <w:sz w:val="26"/>
          <w:szCs w:val="26"/>
          <w:u w:val="single"/>
          <w:rtl/>
          <w:lang w:eastAsia="en-US"/>
        </w:rPr>
        <w:t>שם החוק המוצע</w:t>
      </w:r>
    </w:p>
    <w:p w:rsidR="00FB22DB" w:rsidRPr="00C8684B" w:rsidRDefault="00FB22DB" w:rsidP="00FB22DB">
      <w:pPr>
        <w:widowControl/>
        <w:tabs>
          <w:tab w:val="left" w:pos="425"/>
        </w:tabs>
        <w:autoSpaceDE/>
        <w:autoSpaceDN/>
        <w:adjustRightInd/>
        <w:spacing w:before="0" w:after="200" w:line="360" w:lineRule="auto"/>
        <w:ind w:left="708" w:firstLine="0"/>
        <w:jc w:val="left"/>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color w:val="auto"/>
          <w:spacing w:val="0"/>
          <w:sz w:val="26"/>
          <w:szCs w:val="26"/>
          <w:rtl/>
          <w:lang w:eastAsia="en-US"/>
        </w:rPr>
        <w:t>חוק לתיקון פקודת מס הכנסה (תיקון מס' ), התשע"ה-2015.</w:t>
      </w:r>
    </w:p>
    <w:p w:rsidR="00FB22DB" w:rsidRPr="00C8684B" w:rsidRDefault="00FB22DB" w:rsidP="00FB22DB">
      <w:pPr>
        <w:pStyle w:val="ac"/>
        <w:widowControl/>
        <w:numPr>
          <w:ilvl w:val="0"/>
          <w:numId w:val="36"/>
        </w:numPr>
        <w:tabs>
          <w:tab w:val="left" w:pos="425"/>
        </w:tabs>
        <w:autoSpaceDE/>
        <w:autoSpaceDN/>
        <w:adjustRightInd/>
        <w:spacing w:before="0" w:after="200" w:line="360" w:lineRule="auto"/>
        <w:ind w:left="708" w:hanging="283"/>
        <w:jc w:val="left"/>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b/>
          <w:bCs/>
          <w:color w:val="auto"/>
          <w:spacing w:val="0"/>
          <w:sz w:val="26"/>
          <w:szCs w:val="26"/>
          <w:u w:val="single"/>
          <w:rtl/>
          <w:lang w:eastAsia="en-US"/>
        </w:rPr>
        <w:t>עיקרי החוק המוצע והצורך בו</w:t>
      </w:r>
      <w:r>
        <w:rPr>
          <w:rFonts w:asciiTheme="minorHAnsi" w:eastAsiaTheme="minorHAnsi" w:hAnsiTheme="minorHAnsi" w:cs="David" w:hint="cs"/>
          <w:color w:val="auto"/>
          <w:spacing w:val="0"/>
          <w:sz w:val="26"/>
          <w:szCs w:val="26"/>
          <w:rtl/>
          <w:lang w:eastAsia="en-US"/>
        </w:rPr>
        <w:t>:</w:t>
      </w: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color w:val="auto"/>
          <w:spacing w:val="0"/>
          <w:sz w:val="26"/>
          <w:szCs w:val="26"/>
          <w:rtl/>
          <w:lang w:eastAsia="en-US"/>
        </w:rPr>
        <w:t xml:space="preserve">תהליך הגלובליזציה הואץ מאד בשנים האחרונות ורבים מתושבי העולם מנהלים את השקעותיהם במדינות שאינן מדינת התושבות שלהם באמצעות גופים פיננסיים מחוץ למדינת התושבות. התהליך האמור מנוצל במקרים רבים לצורך התחמקות מתשלום מס במדינת התושבות. ההערכה היא שהיקף העלמות המס הנובע מכך הנו עצום.   </w:t>
      </w: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color w:val="auto"/>
          <w:spacing w:val="0"/>
          <w:sz w:val="26"/>
          <w:szCs w:val="26"/>
          <w:rtl/>
          <w:lang w:eastAsia="en-US"/>
        </w:rPr>
        <w:t xml:space="preserve">לאור העובדה שהעלמות המס הנן בעיה חמורה המשותפת לכלל המדינות, אשר הכלי היעיל ביותר הקיים למלחמה בה הנו שיתוף פעולה בין המדינות, לרבות באמצעות חילופי מידע, ארגון ה </w:t>
      </w:r>
      <w:r w:rsidRPr="00C8684B">
        <w:rPr>
          <w:rFonts w:asciiTheme="minorHAnsi" w:eastAsiaTheme="minorHAnsi" w:hAnsiTheme="minorHAnsi" w:cs="David"/>
          <w:color w:val="auto"/>
          <w:spacing w:val="0"/>
          <w:sz w:val="26"/>
          <w:szCs w:val="26"/>
          <w:lang w:eastAsia="en-US"/>
        </w:rPr>
        <w:t>OECD</w:t>
      </w:r>
      <w:r w:rsidRPr="00C8684B">
        <w:rPr>
          <w:rFonts w:asciiTheme="minorHAnsi" w:eastAsiaTheme="minorHAnsi" w:hAnsiTheme="minorHAnsi" w:cs="David" w:hint="cs"/>
          <w:color w:val="auto"/>
          <w:spacing w:val="0"/>
          <w:sz w:val="26"/>
          <w:szCs w:val="26"/>
          <w:rtl/>
          <w:lang w:eastAsia="en-US"/>
        </w:rPr>
        <w:t>, האיחוד האירופי והגלובל פורום לשקיפות ולחילופי מידע למטרות מס פועלים באינטנסיביות בשנים האחרונות כדי לקדם ולייעל את חילופי המידע בין המדינות.</w:t>
      </w: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color w:val="auto"/>
          <w:spacing w:val="0"/>
          <w:sz w:val="26"/>
          <w:szCs w:val="26"/>
          <w:rtl/>
          <w:lang w:eastAsia="en-US"/>
        </w:rPr>
        <w:t xml:space="preserve">בין היתר, החל משנת 2010 ישנה דרישה של ארגון ה- </w:t>
      </w:r>
      <w:r w:rsidRPr="00C8684B">
        <w:rPr>
          <w:rFonts w:asciiTheme="minorHAnsi" w:eastAsiaTheme="minorHAnsi" w:hAnsiTheme="minorHAnsi" w:cs="David"/>
          <w:color w:val="auto"/>
          <w:spacing w:val="0"/>
          <w:sz w:val="26"/>
          <w:szCs w:val="26"/>
          <w:lang w:eastAsia="en-US"/>
        </w:rPr>
        <w:t>OECD</w:t>
      </w:r>
      <w:r w:rsidRPr="00C8684B">
        <w:rPr>
          <w:rFonts w:asciiTheme="minorHAnsi" w:eastAsiaTheme="minorHAnsi" w:hAnsiTheme="minorHAnsi" w:cs="David" w:hint="cs"/>
          <w:color w:val="auto"/>
          <w:spacing w:val="0"/>
          <w:sz w:val="26"/>
          <w:szCs w:val="26"/>
          <w:rtl/>
          <w:lang w:eastAsia="en-US"/>
        </w:rPr>
        <w:t xml:space="preserve"> ממדינות ה </w:t>
      </w:r>
      <w:r w:rsidRPr="00C8684B">
        <w:rPr>
          <w:rFonts w:asciiTheme="minorHAnsi" w:eastAsiaTheme="minorHAnsi" w:hAnsiTheme="minorHAnsi" w:cs="David"/>
          <w:color w:val="auto"/>
          <w:spacing w:val="0"/>
          <w:sz w:val="26"/>
          <w:szCs w:val="26"/>
          <w:lang w:eastAsia="en-US"/>
        </w:rPr>
        <w:t>OECD</w:t>
      </w:r>
      <w:r w:rsidRPr="00C8684B">
        <w:rPr>
          <w:rFonts w:asciiTheme="minorHAnsi" w:eastAsiaTheme="minorHAnsi" w:hAnsiTheme="minorHAnsi" w:cs="David" w:hint="cs"/>
          <w:color w:val="auto"/>
          <w:spacing w:val="0"/>
          <w:sz w:val="26"/>
          <w:szCs w:val="26"/>
          <w:rtl/>
          <w:lang w:eastAsia="en-US"/>
        </w:rPr>
        <w:t xml:space="preserve"> וממדינות נוספות להצטרף לאמנה המולטילטרלית לסיוע מינהלי בענייני מס</w:t>
      </w:r>
      <w:r w:rsidRPr="00C8684B">
        <w:rPr>
          <w:rFonts w:asciiTheme="minorHAnsi" w:eastAsiaTheme="minorHAnsi" w:hAnsiTheme="minorHAnsi" w:cs="David"/>
          <w:color w:val="auto"/>
          <w:spacing w:val="0"/>
          <w:sz w:val="26"/>
          <w:szCs w:val="26"/>
          <w:lang w:eastAsia="en-US"/>
        </w:rPr>
        <w:t>.</w:t>
      </w:r>
      <w:r w:rsidRPr="00C8684B">
        <w:rPr>
          <w:rFonts w:asciiTheme="minorHAnsi" w:eastAsiaTheme="minorHAnsi" w:hAnsiTheme="minorHAnsi" w:cs="David" w:hint="cs"/>
          <w:color w:val="auto"/>
          <w:spacing w:val="0"/>
          <w:sz w:val="26"/>
          <w:szCs w:val="26"/>
          <w:rtl/>
          <w:lang w:eastAsia="en-US"/>
        </w:rPr>
        <w:t xml:space="preserve"> עד היום הצטרפו לאמנה זו 84 מדינות. מדינת ישראל הינה מדינת ה- </w:t>
      </w:r>
      <w:r w:rsidRPr="00C8684B">
        <w:rPr>
          <w:rFonts w:asciiTheme="minorHAnsi" w:eastAsiaTheme="minorHAnsi" w:hAnsiTheme="minorHAnsi" w:cs="David"/>
          <w:color w:val="auto"/>
          <w:spacing w:val="0"/>
          <w:sz w:val="26"/>
          <w:szCs w:val="26"/>
          <w:lang w:eastAsia="en-US"/>
        </w:rPr>
        <w:t xml:space="preserve">OECD </w:t>
      </w:r>
      <w:r w:rsidRPr="00C8684B">
        <w:rPr>
          <w:rFonts w:asciiTheme="minorHAnsi" w:eastAsiaTheme="minorHAnsi" w:hAnsiTheme="minorHAnsi" w:cs="David" w:hint="cs"/>
          <w:color w:val="auto"/>
          <w:spacing w:val="0"/>
          <w:sz w:val="26"/>
          <w:szCs w:val="26"/>
          <w:rtl/>
          <w:lang w:eastAsia="en-US"/>
        </w:rPr>
        <w:t xml:space="preserve"> היחידה שטרם הצטרפה.</w:t>
      </w: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color w:val="auto"/>
          <w:spacing w:val="0"/>
          <w:sz w:val="26"/>
          <w:szCs w:val="26"/>
          <w:rtl/>
          <w:lang w:eastAsia="en-US"/>
        </w:rPr>
        <w:t xml:space="preserve">כמו כן, פרסם ה </w:t>
      </w:r>
      <w:r w:rsidRPr="00C8684B">
        <w:rPr>
          <w:rFonts w:asciiTheme="minorHAnsi" w:eastAsiaTheme="minorHAnsi" w:hAnsiTheme="minorHAnsi" w:cs="David"/>
          <w:color w:val="auto"/>
          <w:spacing w:val="0"/>
          <w:sz w:val="26"/>
          <w:szCs w:val="26"/>
          <w:lang w:eastAsia="en-US"/>
        </w:rPr>
        <w:t>OECD</w:t>
      </w:r>
      <w:r w:rsidRPr="00C8684B">
        <w:rPr>
          <w:rFonts w:asciiTheme="minorHAnsi" w:eastAsiaTheme="minorHAnsi" w:hAnsiTheme="minorHAnsi" w:cs="David" w:hint="cs"/>
          <w:color w:val="auto"/>
          <w:spacing w:val="0"/>
          <w:sz w:val="26"/>
          <w:szCs w:val="26"/>
          <w:rtl/>
          <w:lang w:eastAsia="en-US"/>
        </w:rPr>
        <w:t xml:space="preserve"> סטנדרט לחילופי מידע אוטומטיים (</w:t>
      </w:r>
      <w:r w:rsidRPr="00C8684B">
        <w:rPr>
          <w:rFonts w:asciiTheme="minorHAnsi" w:eastAsiaTheme="minorHAnsi" w:hAnsiTheme="minorHAnsi" w:cs="David"/>
          <w:color w:val="auto"/>
          <w:spacing w:val="0"/>
          <w:sz w:val="26"/>
          <w:szCs w:val="26"/>
          <w:lang w:eastAsia="en-US"/>
        </w:rPr>
        <w:t>CRS</w:t>
      </w:r>
      <w:r w:rsidRPr="00C8684B">
        <w:rPr>
          <w:rFonts w:asciiTheme="minorHAnsi" w:eastAsiaTheme="minorHAnsi" w:hAnsiTheme="minorHAnsi" w:cs="David" w:hint="cs"/>
          <w:color w:val="auto"/>
          <w:spacing w:val="0"/>
          <w:sz w:val="26"/>
          <w:szCs w:val="26"/>
          <w:rtl/>
          <w:lang w:eastAsia="en-US"/>
        </w:rPr>
        <w:t>), שהנו סטנדרט אחיד לאיסוף מידע על ידי מוסדות פיננסיים ביחס לחשבונות פיננסיים של לקוחות שהנם תושבים זרים והעברתו לרשות המס במדינה שבה הם פועלים, על מנת שזו תעבירו למדינת התושבות של אותם הלקוחות. כ</w:t>
      </w:r>
      <w:r w:rsidRPr="00C8684B">
        <w:rPr>
          <w:rFonts w:asciiTheme="minorHAnsi" w:eastAsiaTheme="minorHAnsi" w:hAnsiTheme="minorHAnsi" w:cs="David"/>
          <w:color w:val="auto"/>
          <w:spacing w:val="0"/>
          <w:sz w:val="26"/>
          <w:szCs w:val="26"/>
          <w:rtl/>
          <w:lang w:eastAsia="en-US"/>
        </w:rPr>
        <w:t xml:space="preserve">- 50 </w:t>
      </w:r>
      <w:r w:rsidRPr="00C8684B">
        <w:rPr>
          <w:rFonts w:asciiTheme="minorHAnsi" w:eastAsiaTheme="minorHAnsi" w:hAnsiTheme="minorHAnsi" w:cs="David" w:hint="cs"/>
          <w:color w:val="auto"/>
          <w:spacing w:val="0"/>
          <w:sz w:val="26"/>
          <w:szCs w:val="26"/>
          <w:rtl/>
          <w:lang w:eastAsia="en-US"/>
        </w:rPr>
        <w:t>מדינות,</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ובהן</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 xml:space="preserve">כל מדינות ה- </w:t>
      </w:r>
      <w:r w:rsidRPr="00C8684B">
        <w:rPr>
          <w:rFonts w:asciiTheme="minorHAnsi" w:eastAsiaTheme="minorHAnsi" w:hAnsiTheme="minorHAnsi" w:cs="David"/>
          <w:color w:val="auto"/>
          <w:spacing w:val="0"/>
          <w:sz w:val="26"/>
          <w:szCs w:val="26"/>
          <w:lang w:eastAsia="en-US"/>
        </w:rPr>
        <w:t>OECD</w:t>
      </w:r>
      <w:r w:rsidRPr="00C8684B">
        <w:rPr>
          <w:rFonts w:asciiTheme="minorHAnsi" w:eastAsiaTheme="minorHAnsi" w:hAnsiTheme="minorHAnsi" w:cs="David" w:hint="cs"/>
          <w:color w:val="auto"/>
          <w:spacing w:val="0"/>
          <w:sz w:val="26"/>
          <w:szCs w:val="26"/>
          <w:rtl/>
          <w:lang w:eastAsia="en-US"/>
        </w:rPr>
        <w:t xml:space="preserve"> (ובכללן ישראל),</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הצהירו</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במסגרת</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מפגש</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מועצה</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במעמד</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שרים</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שהתקיים</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ב</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color w:val="auto"/>
          <w:spacing w:val="0"/>
          <w:sz w:val="26"/>
          <w:szCs w:val="26"/>
          <w:lang w:eastAsia="en-US"/>
        </w:rPr>
        <w:t>OECD</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בחודש</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מאי</w:t>
      </w:r>
      <w:r w:rsidRPr="00C8684B">
        <w:rPr>
          <w:rFonts w:asciiTheme="minorHAnsi" w:eastAsiaTheme="minorHAnsi" w:hAnsiTheme="minorHAnsi" w:cs="David"/>
          <w:color w:val="auto"/>
          <w:spacing w:val="0"/>
          <w:sz w:val="26"/>
          <w:szCs w:val="26"/>
          <w:rtl/>
          <w:lang w:eastAsia="en-US"/>
        </w:rPr>
        <w:t xml:space="preserve"> 2014, </w:t>
      </w:r>
      <w:r w:rsidRPr="00C8684B">
        <w:rPr>
          <w:rFonts w:asciiTheme="minorHAnsi" w:eastAsiaTheme="minorHAnsi" w:hAnsiTheme="minorHAnsi" w:cs="David" w:hint="cs"/>
          <w:color w:val="auto"/>
          <w:spacing w:val="0"/>
          <w:sz w:val="26"/>
          <w:szCs w:val="26"/>
          <w:rtl/>
          <w:lang w:eastAsia="en-US"/>
        </w:rPr>
        <w:t>כי</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יפעלו</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ליישום</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מהיר</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של</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הסטנדרט</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האחיד</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לחילופי</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מידע</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אוטומטיים</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על</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בסיס</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הדדיות</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וכי</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לשם</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כך</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ידאגו</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לבצע</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את</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תיקוני</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החקיקה</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הנדרשים</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בדין</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הפנימי</w:t>
      </w:r>
      <w:r w:rsidRPr="00C8684B">
        <w:rPr>
          <w:rFonts w:asciiTheme="minorHAnsi" w:eastAsiaTheme="minorHAnsi" w:hAnsiTheme="minorHAnsi" w:cs="David"/>
          <w:color w:val="auto"/>
          <w:spacing w:val="0"/>
          <w:sz w:val="26"/>
          <w:szCs w:val="26"/>
          <w:rtl/>
          <w:lang w:eastAsia="en-US"/>
        </w:rPr>
        <w:t>.</w:t>
      </w: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color w:val="auto"/>
          <w:spacing w:val="0"/>
          <w:sz w:val="26"/>
          <w:szCs w:val="26"/>
          <w:rtl/>
          <w:lang w:eastAsia="en-US"/>
        </w:rPr>
        <w:t xml:space="preserve"> </w:t>
      </w: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color w:val="auto"/>
          <w:spacing w:val="0"/>
          <w:sz w:val="26"/>
          <w:szCs w:val="26"/>
          <w:rtl/>
          <w:lang w:eastAsia="en-US"/>
        </w:rPr>
        <w:t>ארצות הברית ש</w:t>
      </w:r>
      <w:r>
        <w:rPr>
          <w:rFonts w:asciiTheme="minorHAnsi" w:eastAsiaTheme="minorHAnsi" w:hAnsiTheme="minorHAnsi" w:cs="David" w:hint="cs"/>
          <w:color w:val="auto"/>
          <w:spacing w:val="0"/>
          <w:sz w:val="26"/>
          <w:szCs w:val="26"/>
          <w:rtl/>
          <w:lang w:eastAsia="en-US"/>
        </w:rPr>
        <w:t>מ</w:t>
      </w:r>
      <w:r w:rsidRPr="00C8684B">
        <w:rPr>
          <w:rFonts w:asciiTheme="minorHAnsi" w:eastAsiaTheme="minorHAnsi" w:hAnsiTheme="minorHAnsi" w:cs="David" w:hint="cs"/>
          <w:color w:val="auto"/>
          <w:spacing w:val="0"/>
          <w:sz w:val="26"/>
          <w:szCs w:val="26"/>
          <w:rtl/>
          <w:lang w:eastAsia="en-US"/>
        </w:rPr>
        <w:t xml:space="preserve">כירה </w:t>
      </w:r>
      <w:r>
        <w:rPr>
          <w:rFonts w:asciiTheme="minorHAnsi" w:eastAsiaTheme="minorHAnsi" w:hAnsiTheme="minorHAnsi" w:cs="David" w:hint="cs"/>
          <w:color w:val="auto"/>
          <w:spacing w:val="0"/>
          <w:sz w:val="26"/>
          <w:szCs w:val="26"/>
          <w:rtl/>
          <w:lang w:eastAsia="en-US"/>
        </w:rPr>
        <w:t xml:space="preserve">אף היא </w:t>
      </w:r>
      <w:r w:rsidRPr="00C8684B">
        <w:rPr>
          <w:rFonts w:asciiTheme="minorHAnsi" w:eastAsiaTheme="minorHAnsi" w:hAnsiTheme="minorHAnsi" w:cs="David" w:hint="cs"/>
          <w:color w:val="auto"/>
          <w:spacing w:val="0"/>
          <w:sz w:val="26"/>
          <w:szCs w:val="26"/>
          <w:rtl/>
          <w:lang w:eastAsia="en-US"/>
        </w:rPr>
        <w:t xml:space="preserve">בחשיבות קבלת מידע אודות חשבונות פיננסיים שמחזיקים אזרחיה ותושביה בגופים פיננסיים מחוץ לארצות הברית לצורך מניעת התחמקות מתשלום מס, חוקקה את ה- </w:t>
      </w:r>
      <w:r w:rsidRPr="00C8684B">
        <w:rPr>
          <w:rFonts w:asciiTheme="minorHAnsi" w:eastAsiaTheme="minorHAnsi" w:hAnsiTheme="minorHAnsi" w:cs="David"/>
          <w:color w:val="auto"/>
          <w:spacing w:val="0"/>
          <w:sz w:val="26"/>
          <w:szCs w:val="26"/>
          <w:lang w:eastAsia="en-US"/>
        </w:rPr>
        <w:t>Foreign Account Tax Compliance Act</w:t>
      </w:r>
      <w:r w:rsidRPr="00C8684B">
        <w:rPr>
          <w:rFonts w:asciiTheme="minorHAnsi" w:eastAsiaTheme="minorHAnsi" w:hAnsiTheme="minorHAnsi" w:cs="David" w:hint="cs"/>
          <w:color w:val="auto"/>
          <w:spacing w:val="0"/>
          <w:sz w:val="26"/>
          <w:szCs w:val="26"/>
          <w:rtl/>
          <w:lang w:eastAsia="en-US"/>
        </w:rPr>
        <w:t xml:space="preserve"> (להלן: "</w:t>
      </w:r>
      <w:r w:rsidRPr="00E83FBB">
        <w:rPr>
          <w:rFonts w:asciiTheme="minorHAnsi" w:eastAsiaTheme="minorHAnsi" w:hAnsiTheme="minorHAnsi" w:cs="David" w:hint="cs"/>
          <w:color w:val="auto"/>
          <w:spacing w:val="0"/>
          <w:sz w:val="28"/>
          <w:szCs w:val="28"/>
          <w:rtl/>
          <w:lang w:eastAsia="en-US"/>
        </w:rPr>
        <w:t>חוק הפטקא</w:t>
      </w:r>
      <w:r w:rsidRPr="00C8684B">
        <w:rPr>
          <w:rFonts w:asciiTheme="minorHAnsi" w:eastAsiaTheme="minorHAnsi" w:hAnsiTheme="minorHAnsi" w:cs="David" w:hint="cs"/>
          <w:color w:val="auto"/>
          <w:spacing w:val="0"/>
          <w:sz w:val="26"/>
          <w:szCs w:val="26"/>
          <w:rtl/>
          <w:lang w:eastAsia="en-US"/>
        </w:rPr>
        <w:t xml:space="preserve">"), אשר מכוחו חויבו גופים פיננסיים מחוץ לארצות הברית לדווח לארצות הברית על כל מי שהוא אזרח ארצות הברית או תושב ארצות הברית המחזיק אצלם חשבון פיננסי. גופים פיננסיים שלא יצייתו להוראה יהיו כפופים לסנקציות חמורות. </w:t>
      </w: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color w:val="auto"/>
          <w:spacing w:val="0"/>
          <w:sz w:val="26"/>
          <w:szCs w:val="26"/>
          <w:rtl/>
          <w:lang w:eastAsia="en-US"/>
        </w:rPr>
        <w:lastRenderedPageBreak/>
        <w:t xml:space="preserve">מדינת ישראל מחליפה כיום מידע לצרכי אכיפת מס רק מכוח סעיף חילופי המידע באמנות למניעת כפל מס, עם מדינות שעמן יש לה אמנה כאמור. סעיף 196 לפקודה קובע כי משהודיע שר האוצר בצו כי נעשה הסכם עם מדינה אחרת שעניינו מתן הקלה ממסי כפל וכי מן המועיל הוא שיינתן לו תוקף בישראל, יהא תוקף להסכם על אף האמור בכל חיקוק. סעיף 197 לפקודה קובע, כי "משניתן תוקף להסכם כאמור בסעיף 196 לא תמנע חובת הסודיות לפי סעיף 234 מלגלות לפקיד מורשה של המדינה הגומלת כל ידיעה שיש לגלותה לפי ההסכם".  </w:t>
      </w: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color w:val="auto"/>
          <w:spacing w:val="0"/>
          <w:sz w:val="26"/>
          <w:szCs w:val="26"/>
          <w:rtl/>
          <w:lang w:eastAsia="en-US"/>
        </w:rPr>
        <w:t xml:space="preserve">בהיעדר חקיקה המאפשרת זאת, ממשלת ישראל נמנעת מלחתום על הסכמים שעניינם חילופי מידע בלבד, כמו גם על האמנה המולטילטרלית לסיוע מנהלי בענייני מס של ה- </w:t>
      </w:r>
      <w:r w:rsidRPr="00C8684B">
        <w:rPr>
          <w:rFonts w:asciiTheme="minorHAnsi" w:eastAsiaTheme="minorHAnsi" w:hAnsiTheme="minorHAnsi" w:cs="David"/>
          <w:color w:val="auto"/>
          <w:spacing w:val="0"/>
          <w:sz w:val="26"/>
          <w:szCs w:val="26"/>
          <w:lang w:eastAsia="en-US"/>
        </w:rPr>
        <w:t>OECD</w:t>
      </w:r>
      <w:r w:rsidRPr="00C8684B">
        <w:rPr>
          <w:rFonts w:asciiTheme="minorHAnsi" w:eastAsiaTheme="minorHAnsi" w:hAnsiTheme="minorHAnsi" w:cs="David" w:hint="cs"/>
          <w:color w:val="auto"/>
          <w:spacing w:val="0"/>
          <w:sz w:val="26"/>
          <w:szCs w:val="26"/>
          <w:rtl/>
          <w:lang w:eastAsia="en-US"/>
        </w:rPr>
        <w:t xml:space="preserve">. ברי, כי אפשרות לחתימה על הסכמים כאמור הייתה מגדילה באופן משמעותי את מספר המדינות שעמן ניתן היה לבצע חילופי מידע. </w:t>
      </w: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color w:val="auto"/>
          <w:spacing w:val="0"/>
          <w:sz w:val="26"/>
          <w:szCs w:val="26"/>
          <w:rtl/>
          <w:lang w:eastAsia="en-US"/>
        </w:rPr>
        <w:t xml:space="preserve">בנוסף, בשל חסמים משפטיים וטכניים, חילופי המידע המבוצעים כיום על ידי מדינת ישראל אינם כוללים חילופי מידע אוטומטיים גורפים, אלא אך ורק מידע לגבי נישומים ספציפיים.   </w:t>
      </w: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color w:val="auto"/>
          <w:spacing w:val="0"/>
          <w:sz w:val="26"/>
          <w:szCs w:val="26"/>
          <w:rtl/>
          <w:lang w:eastAsia="en-US"/>
        </w:rPr>
        <w:t xml:space="preserve">כתוצאה מן האמור, ומאחר שככלל חילופי מידע עם מדינות נעשה על בסיס עקרון ההדדיות, ישראל מקבלת מידע מצומצם ביותר ביחס להכנסות שמפיקים תושביה במדינות אחרות, דבר </w:t>
      </w:r>
      <w:r>
        <w:rPr>
          <w:rFonts w:asciiTheme="minorHAnsi" w:eastAsiaTheme="minorHAnsi" w:hAnsiTheme="minorHAnsi" w:cs="David" w:hint="cs"/>
          <w:color w:val="auto"/>
          <w:spacing w:val="0"/>
          <w:sz w:val="26"/>
          <w:szCs w:val="26"/>
          <w:rtl/>
          <w:lang w:eastAsia="en-US"/>
        </w:rPr>
        <w:t>ש</w:t>
      </w:r>
      <w:r w:rsidRPr="00C8684B">
        <w:rPr>
          <w:rFonts w:asciiTheme="minorHAnsi" w:eastAsiaTheme="minorHAnsi" w:hAnsiTheme="minorHAnsi" w:cs="David" w:hint="cs"/>
          <w:color w:val="auto"/>
          <w:spacing w:val="0"/>
          <w:sz w:val="26"/>
          <w:szCs w:val="26"/>
          <w:rtl/>
          <w:lang w:eastAsia="en-US"/>
        </w:rPr>
        <w:t xml:space="preserve">פוגע ביכולת האכיפה שלה. בנוסף, נתונה מדינת ישראל לביקורת קשה בקרב הקהילה הבינלאומית מזה מספר שנים, </w:t>
      </w:r>
      <w:r w:rsidR="00DD0B44">
        <w:rPr>
          <w:rFonts w:asciiTheme="minorHAnsi" w:eastAsiaTheme="minorHAnsi" w:hAnsiTheme="minorHAnsi" w:cs="David" w:hint="cs"/>
          <w:color w:val="auto"/>
          <w:spacing w:val="0"/>
          <w:sz w:val="26"/>
          <w:szCs w:val="26"/>
          <w:rtl/>
          <w:lang w:eastAsia="en-US"/>
        </w:rPr>
        <w:t>ו</w:t>
      </w:r>
      <w:r w:rsidRPr="00C8684B">
        <w:rPr>
          <w:rFonts w:asciiTheme="minorHAnsi" w:eastAsiaTheme="minorHAnsi" w:hAnsiTheme="minorHAnsi" w:cs="David" w:hint="cs"/>
          <w:color w:val="auto"/>
          <w:spacing w:val="0"/>
          <w:sz w:val="26"/>
          <w:szCs w:val="26"/>
          <w:rtl/>
          <w:lang w:eastAsia="en-US"/>
        </w:rPr>
        <w:t>בין היתר במסגרת "סקר עמיתים" שערך לאחרונה הגלובל פורום לשקיפות ולחילופי מידע למטרות מס</w:t>
      </w:r>
      <w:r>
        <w:rPr>
          <w:rFonts w:asciiTheme="minorHAnsi" w:eastAsiaTheme="minorHAnsi" w:hAnsiTheme="minorHAnsi" w:cs="David" w:hint="cs"/>
          <w:color w:val="auto"/>
          <w:spacing w:val="0"/>
          <w:sz w:val="26"/>
          <w:szCs w:val="26"/>
          <w:rtl/>
          <w:lang w:eastAsia="en-US"/>
        </w:rPr>
        <w:t xml:space="preserve"> (להלן </w:t>
      </w:r>
      <w:r>
        <w:rPr>
          <w:rFonts w:asciiTheme="minorHAnsi" w:eastAsiaTheme="minorHAnsi" w:hAnsiTheme="minorHAnsi" w:cs="David"/>
          <w:color w:val="auto"/>
          <w:spacing w:val="0"/>
          <w:sz w:val="26"/>
          <w:szCs w:val="26"/>
          <w:rtl/>
          <w:lang w:eastAsia="en-US"/>
        </w:rPr>
        <w:t>–</w:t>
      </w:r>
      <w:r>
        <w:rPr>
          <w:rFonts w:asciiTheme="minorHAnsi" w:eastAsiaTheme="minorHAnsi" w:hAnsiTheme="minorHAnsi" w:cs="David" w:hint="cs"/>
          <w:color w:val="auto"/>
          <w:spacing w:val="0"/>
          <w:sz w:val="26"/>
          <w:szCs w:val="26"/>
          <w:rtl/>
          <w:lang w:eastAsia="en-US"/>
        </w:rPr>
        <w:t xml:space="preserve"> הגלובל פורום)</w:t>
      </w:r>
      <w:r w:rsidRPr="00C8684B">
        <w:rPr>
          <w:rFonts w:asciiTheme="minorHAnsi" w:eastAsiaTheme="minorHAnsi" w:hAnsiTheme="minorHAnsi" w:cs="David" w:hint="cs"/>
          <w:color w:val="auto"/>
          <w:spacing w:val="0"/>
          <w:sz w:val="26"/>
          <w:szCs w:val="26"/>
          <w:rtl/>
          <w:lang w:eastAsia="en-US"/>
        </w:rPr>
        <w:t>, לבחינת היקף חילופי המידע במדינות השונות ובחינת איכותם, סווגה ישראל כ- "</w:t>
      </w:r>
      <w:r w:rsidRPr="00C8684B">
        <w:rPr>
          <w:rFonts w:asciiTheme="minorHAnsi" w:eastAsiaTheme="minorHAnsi" w:hAnsiTheme="minorHAnsi" w:cs="David"/>
          <w:color w:val="auto"/>
          <w:spacing w:val="0"/>
          <w:sz w:val="26"/>
          <w:szCs w:val="26"/>
          <w:lang w:eastAsia="en-US"/>
        </w:rPr>
        <w:t>Partially compliant</w:t>
      </w:r>
      <w:r w:rsidRPr="00C8684B">
        <w:rPr>
          <w:rFonts w:asciiTheme="minorHAnsi" w:eastAsiaTheme="minorHAnsi" w:hAnsiTheme="minorHAnsi" w:cs="David" w:hint="cs"/>
          <w:color w:val="auto"/>
          <w:spacing w:val="0"/>
          <w:sz w:val="26"/>
          <w:szCs w:val="26"/>
          <w:rtl/>
          <w:lang w:eastAsia="en-US"/>
        </w:rPr>
        <w:t xml:space="preserve">" ("מצייתת באופן חלקי") ודורגה במקום נמוך ביחס למדינות הנבדקות, בין היתר, בשל היעדרן של הסמכויות המוצעות בהצעה זו. הדירוג הנמוך משפיע על התייחסות גופים בינלאומיים ונכונותם לשתף פעולה עם ישראל. הבנק האירופאי לשיקום ולפיתוח (ה- </w:t>
      </w:r>
      <w:r w:rsidRPr="00C8684B">
        <w:rPr>
          <w:rFonts w:asciiTheme="minorHAnsi" w:eastAsiaTheme="minorHAnsi" w:hAnsiTheme="minorHAnsi" w:cs="David"/>
          <w:color w:val="auto"/>
          <w:spacing w:val="0"/>
          <w:sz w:val="26"/>
          <w:szCs w:val="26"/>
          <w:lang w:eastAsia="en-US"/>
        </w:rPr>
        <w:t>EBRD</w:t>
      </w:r>
      <w:r w:rsidRPr="00C8684B">
        <w:rPr>
          <w:rFonts w:asciiTheme="minorHAnsi" w:eastAsiaTheme="minorHAnsi" w:hAnsiTheme="minorHAnsi" w:cs="David" w:hint="cs"/>
          <w:color w:val="auto"/>
          <w:spacing w:val="0"/>
          <w:sz w:val="26"/>
          <w:szCs w:val="26"/>
          <w:rtl/>
          <w:lang w:eastAsia="en-US"/>
        </w:rPr>
        <w:t>) והבנק העולמי הודיעו כי יפסיקו לשתף פעולה עם גורמים ישראליים אם לא יתוקנו הליקויים בתוך שנה.</w:t>
      </w: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color w:val="auto"/>
          <w:spacing w:val="0"/>
          <w:sz w:val="26"/>
          <w:szCs w:val="26"/>
          <w:rtl/>
          <w:lang w:eastAsia="en-US"/>
        </w:rPr>
        <w:t xml:space="preserve">כתגובה לביקורת האמורה וההבנה כי ייעול חילופי המידע אשר יביא לקבלת מידע ממדינות אחרות צפוי להגביר את יעילות מערכת אכיפת המס כנגד תושבי ישראל המפיקים הכנסות מחוץ לישראל, הצהירה מדינת ישראל בפני ה- </w:t>
      </w:r>
      <w:r w:rsidRPr="00C8684B">
        <w:rPr>
          <w:rFonts w:asciiTheme="minorHAnsi" w:eastAsiaTheme="minorHAnsi" w:hAnsiTheme="minorHAnsi" w:cs="David"/>
          <w:color w:val="auto"/>
          <w:spacing w:val="0"/>
          <w:sz w:val="26"/>
          <w:szCs w:val="26"/>
          <w:lang w:eastAsia="en-US"/>
        </w:rPr>
        <w:t>OECD</w:t>
      </w:r>
      <w:r w:rsidRPr="00C8684B">
        <w:rPr>
          <w:rFonts w:asciiTheme="minorHAnsi" w:eastAsiaTheme="minorHAnsi" w:hAnsiTheme="minorHAnsi" w:cs="David" w:hint="cs"/>
          <w:color w:val="auto"/>
          <w:spacing w:val="0"/>
          <w:sz w:val="26"/>
          <w:szCs w:val="26"/>
          <w:rtl/>
          <w:lang w:eastAsia="en-US"/>
        </w:rPr>
        <w:t xml:space="preserve"> כי תפעל לקידום תיקוני החקיקה שיאפשרו לה להצטרף לאמנה המולטילטרלית. </w:t>
      </w: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color w:val="auto"/>
          <w:spacing w:val="0"/>
          <w:sz w:val="26"/>
          <w:szCs w:val="26"/>
          <w:rtl/>
          <w:lang w:eastAsia="en-US"/>
        </w:rPr>
        <w:t xml:space="preserve">לפניית הגלובל פורום מאוגוסט 2014 לשר האוצר בבקשה להודיע מה הם מועדי היישום המתוכננים בישראל של חילופי מידע אוטומטיים בהתאם לסטנדרט, השיב משרד האוצר כי מדינת ישראל מתעתדת ליישם חילופים כאמור החל מסוף שנת 2018. יצוין, כי בפנייה זו הובהר, כי התכנית היא להביא ליישום חילופי מידע בעולם בהתאם לסטנדרט כבר בשנת 2017, וכי יש חשיבות ליישום מקביל בכל המדינות לצורך העברת מסר למעלימי המס שאין פרצות ואין מקומות שאליהם ניתן להבריח כספים. הדרישה מהמדינות הייתה ליישום לא יאוחר משנת 2018.  </w:t>
      </w:r>
    </w:p>
    <w:p w:rsidR="00FB22D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color w:val="auto"/>
          <w:spacing w:val="0"/>
          <w:sz w:val="26"/>
          <w:szCs w:val="26"/>
          <w:rtl/>
          <w:lang w:eastAsia="en-US"/>
        </w:rPr>
        <w:t>לפניות הבנק העולמי והבנק האירופאי, אשר תוארו לעיל, השיב משרד האוצר כי הוא פועל לתיקון הליקויים שנמצאו בסקר, וכי בכוונתו להביא לאישור הממשלה החדשה את החקיקה הנדרשת, ולבצע את ההליכים המנהליים הנדרשים, כך שבתוך 12 חודשים יתוקנו הליקויים.</w:t>
      </w: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color w:val="auto"/>
          <w:spacing w:val="0"/>
          <w:sz w:val="26"/>
          <w:szCs w:val="26"/>
          <w:rtl/>
          <w:lang w:eastAsia="en-US"/>
        </w:rPr>
        <w:t xml:space="preserve">  </w:t>
      </w:r>
    </w:p>
    <w:p w:rsidR="00FB22D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color w:val="auto"/>
          <w:spacing w:val="0"/>
          <w:sz w:val="26"/>
          <w:szCs w:val="26"/>
          <w:rtl/>
          <w:lang w:eastAsia="en-US"/>
        </w:rPr>
        <w:t>זאת ועוד, לאור הנזק הכלכלי החמור הצפוי למערכת הפיננסית בישראל אם הגופים הפיננסיים הישראליים לא יצייתו להוראות חוק הפטקא וחשיבות קיום חילופי מידע עם ארצות הברית, המליץ הצוות הבין משרדי לבחינת השלכות חקיקת הפטקא, ברשות המשנה לממונה על הכנסות המדינה, על התקשרות בהסכם בין מדינתי עם ארצות הברית לשיפור אכיפת המס וליישום הפטקא</w:t>
      </w:r>
      <w:r w:rsidRPr="00C8684B">
        <w:rPr>
          <w:rFonts w:asciiTheme="minorHAnsi" w:eastAsiaTheme="minorHAnsi" w:hAnsiTheme="minorHAnsi" w:cs="David"/>
          <w:color w:val="auto"/>
          <w:spacing w:val="0"/>
          <w:sz w:val="26"/>
          <w:szCs w:val="26"/>
          <w:lang w:eastAsia="en-US"/>
        </w:rPr>
        <w:t xml:space="preserve"> </w:t>
      </w:r>
      <w:r w:rsidRPr="00C8684B">
        <w:rPr>
          <w:rFonts w:asciiTheme="minorHAnsi" w:eastAsiaTheme="minorHAnsi" w:hAnsiTheme="minorHAnsi" w:cs="David" w:hint="cs"/>
          <w:color w:val="auto"/>
          <w:spacing w:val="0"/>
          <w:sz w:val="26"/>
          <w:szCs w:val="26"/>
          <w:rtl/>
          <w:lang w:eastAsia="en-US"/>
        </w:rPr>
        <w:t>("</w:t>
      </w:r>
      <w:r w:rsidRPr="00E83FBB">
        <w:rPr>
          <w:rFonts w:asciiTheme="minorHAnsi" w:eastAsiaTheme="minorHAnsi" w:hAnsiTheme="minorHAnsi" w:cs="David" w:hint="cs"/>
          <w:color w:val="auto"/>
          <w:spacing w:val="0"/>
          <w:sz w:val="26"/>
          <w:szCs w:val="26"/>
          <w:rtl/>
          <w:lang w:eastAsia="en-US"/>
        </w:rPr>
        <w:t>הסכם פטקא</w:t>
      </w:r>
      <w:r w:rsidRPr="00C8684B">
        <w:rPr>
          <w:rFonts w:asciiTheme="minorHAnsi" w:eastAsiaTheme="minorHAnsi" w:hAnsiTheme="minorHAnsi" w:cs="David" w:hint="cs"/>
          <w:color w:val="auto"/>
          <w:spacing w:val="0"/>
          <w:sz w:val="26"/>
          <w:szCs w:val="26"/>
          <w:rtl/>
          <w:lang w:eastAsia="en-US"/>
        </w:rPr>
        <w:t>"). בעקבות המלצות אלו הורתה הממשלה על התקשרות בהסכם כאמור, וביום 30.6.2014 נחתם ההסכם בין ישראל לארצות הברית אשר מכוחו התחייבה מדינת ישראל להורות לגופים פיננסיים ישראליים החייבים בדיווח לבצע בדיקות נאותות לחשבונות המתנהלים אצלם, ולהעביר מידע אודות חשבונות של לקוחות המוחזקים באופן ישיר או עקיף על ידי אזרחי ארצות הברית ותושביה לרשות המסים. רשות המסים תעביר את המידע האמור לרשויות המוסמכות בארצות הברית.</w:t>
      </w: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color w:val="auto"/>
          <w:spacing w:val="0"/>
          <w:sz w:val="26"/>
          <w:szCs w:val="26"/>
          <w:rtl/>
          <w:lang w:eastAsia="en-US"/>
        </w:rPr>
        <w:t xml:space="preserve">יצוין, כי החתימה על ההסכם כללה הסכמה של ארצות הברית להתייחס לגופים הפיננסיים הישראליים כמצייתים ולפיכך לא יהיו כפופים לסנקציות אף בטרם כניסת ההסכם לתוקף מלא. </w:t>
      </w: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color w:val="auto"/>
          <w:spacing w:val="0"/>
          <w:sz w:val="26"/>
          <w:szCs w:val="26"/>
          <w:rtl/>
          <w:lang w:eastAsia="en-US"/>
        </w:rPr>
        <w:t xml:space="preserve"> </w:t>
      </w:r>
    </w:p>
    <w:p w:rsidR="00FB22DB" w:rsidRDefault="00FB22DB" w:rsidP="00977309">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color w:val="auto"/>
          <w:spacing w:val="0"/>
          <w:sz w:val="26"/>
          <w:szCs w:val="26"/>
          <w:rtl/>
          <w:lang w:eastAsia="en-US"/>
        </w:rPr>
        <w:t>לאור כל האמור לעיל, יש צורך לבצע בדחיפות את תיקוני החקיקה אשר יאפשרו למדינת ישראל ליישם את הסכם הפטקא ולחתום על הסכמים נוספים לחילופי מידע בהתאם לסטנדרטים המקובלים היום בעולם וליישמם</w:t>
      </w:r>
      <w:r w:rsidR="00977309">
        <w:rPr>
          <w:rFonts w:asciiTheme="minorHAnsi" w:eastAsiaTheme="minorHAnsi" w:hAnsiTheme="minorHAnsi" w:cs="David" w:hint="cs"/>
          <w:color w:val="auto"/>
          <w:spacing w:val="0"/>
          <w:sz w:val="26"/>
          <w:szCs w:val="26"/>
          <w:rtl/>
          <w:lang w:eastAsia="en-US"/>
        </w:rPr>
        <w:t xml:space="preserve">. </w:t>
      </w:r>
    </w:p>
    <w:p w:rsidR="00A64D91" w:rsidRDefault="00A64D91" w:rsidP="00977309">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p>
    <w:p w:rsidR="00A64D91" w:rsidRPr="00C8684B" w:rsidRDefault="00A64D91" w:rsidP="00A64D91">
      <w:pPr>
        <w:widowControl/>
        <w:autoSpaceDE/>
        <w:autoSpaceDN/>
        <w:adjustRightInd/>
        <w:spacing w:before="0" w:after="200" w:line="360" w:lineRule="auto"/>
        <w:ind w:left="567" w:hanging="567"/>
        <w:textAlignment w:val="auto"/>
        <w:rPr>
          <w:rFonts w:asciiTheme="minorHAnsi" w:eastAsiaTheme="minorHAnsi" w:hAnsiTheme="minorHAnsi" w:cs="David"/>
          <w:color w:val="auto"/>
          <w:spacing w:val="0"/>
          <w:sz w:val="26"/>
          <w:szCs w:val="26"/>
          <w:rtl/>
          <w:lang w:eastAsia="en-US"/>
        </w:rPr>
      </w:pPr>
      <w:r>
        <w:rPr>
          <w:rFonts w:asciiTheme="minorHAnsi" w:eastAsiaTheme="minorHAnsi" w:hAnsiTheme="minorHAnsi" w:cs="David" w:hint="cs"/>
          <w:color w:val="auto"/>
          <w:spacing w:val="0"/>
          <w:sz w:val="26"/>
          <w:szCs w:val="26"/>
          <w:rtl/>
          <w:lang w:eastAsia="en-US"/>
        </w:rPr>
        <w:t xml:space="preserve">          </w:t>
      </w:r>
      <w:r w:rsidR="0067243E">
        <w:rPr>
          <w:rFonts w:asciiTheme="minorHAnsi" w:eastAsiaTheme="minorHAnsi" w:hAnsiTheme="minorHAnsi" w:cs="David" w:hint="cs"/>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 xml:space="preserve">לעניין הסכם פטקא- </w:t>
      </w:r>
      <w:r>
        <w:rPr>
          <w:rFonts w:asciiTheme="minorHAnsi" w:eastAsiaTheme="minorHAnsi" w:hAnsiTheme="minorHAnsi" w:cs="David" w:hint="cs"/>
          <w:color w:val="auto"/>
          <w:spacing w:val="0"/>
          <w:sz w:val="26"/>
          <w:szCs w:val="26"/>
          <w:rtl/>
          <w:lang w:eastAsia="en-US"/>
        </w:rPr>
        <w:t xml:space="preserve"> התקבלה </w:t>
      </w:r>
      <w:r w:rsidRPr="00C8684B">
        <w:rPr>
          <w:rFonts w:asciiTheme="minorHAnsi" w:eastAsiaTheme="minorHAnsi" w:hAnsiTheme="minorHAnsi" w:cs="David" w:hint="cs"/>
          <w:color w:val="auto"/>
          <w:spacing w:val="0"/>
          <w:sz w:val="26"/>
          <w:szCs w:val="26"/>
          <w:rtl/>
          <w:lang w:eastAsia="en-US"/>
        </w:rPr>
        <w:t xml:space="preserve">החלטת ועדת שרים לענייני חברה וכלכלה (קבינט חברתי כלכלי) </w:t>
      </w:r>
      <w:r w:rsidR="0067243E">
        <w:rPr>
          <w:rFonts w:asciiTheme="minorHAnsi" w:eastAsiaTheme="minorHAnsi" w:hAnsiTheme="minorHAnsi" w:cs="David" w:hint="cs"/>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מיום 13.3.14</w:t>
      </w:r>
      <w:r>
        <w:rPr>
          <w:rFonts w:asciiTheme="minorHAnsi" w:eastAsiaTheme="minorHAnsi" w:hAnsiTheme="minorHAnsi" w:cs="David" w:hint="cs"/>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 xml:space="preserve">אשר צורפה לפרוטוקול החלטות הממשלה וקיבלה תוקף של החלטת ממשלה ביום 21.3.14, מספרה 1490. </w:t>
      </w:r>
    </w:p>
    <w:p w:rsidR="00DD0B44" w:rsidRDefault="00A64D91" w:rsidP="00A64D91">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color w:val="auto"/>
          <w:spacing w:val="0"/>
          <w:sz w:val="26"/>
          <w:szCs w:val="26"/>
          <w:rtl/>
          <w:lang w:eastAsia="en-US"/>
        </w:rPr>
        <w:t xml:space="preserve">לעניין הסמכות לחתום על הסכמים לחילופי מידע- </w:t>
      </w:r>
      <w:r>
        <w:rPr>
          <w:rFonts w:asciiTheme="minorHAnsi" w:eastAsiaTheme="minorHAnsi" w:hAnsiTheme="minorHAnsi" w:cs="David" w:hint="cs"/>
          <w:color w:val="auto"/>
          <w:spacing w:val="0"/>
          <w:sz w:val="26"/>
          <w:szCs w:val="26"/>
          <w:rtl/>
          <w:lang w:eastAsia="en-US"/>
        </w:rPr>
        <w:t xml:space="preserve">היתה </w:t>
      </w:r>
      <w:r w:rsidRPr="00C8684B">
        <w:rPr>
          <w:rFonts w:asciiTheme="minorHAnsi" w:eastAsiaTheme="minorHAnsi" w:hAnsiTheme="minorHAnsi" w:cs="David" w:hint="cs"/>
          <w:color w:val="auto"/>
          <w:spacing w:val="0"/>
          <w:sz w:val="26"/>
          <w:szCs w:val="26"/>
          <w:rtl/>
          <w:lang w:eastAsia="en-US"/>
        </w:rPr>
        <w:t>הצעת חוק לתיקון פקודת מס הכנסה, שעניינה הענקת סמכויות בדומה לאלה המוצעות בסעיף 1 לפרק זה, אושרה בוועדת השרים לענייני חקיקה ביום 1.12.13, חק/468, ועברה בקריאה ראשונה (הצעת חוק לתיקון פקודת מס הכנסה (מס' 200), התשע"ד 2014).</w:t>
      </w:r>
    </w:p>
    <w:p w:rsidR="0067243E" w:rsidRPr="00DD0B44" w:rsidRDefault="0067243E" w:rsidP="00A64D91">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p>
    <w:p w:rsidR="00FB22DB" w:rsidRPr="00C8684B" w:rsidRDefault="00FB22DB" w:rsidP="00DD0B44">
      <w:pPr>
        <w:widowControl/>
        <w:autoSpaceDE/>
        <w:autoSpaceDN/>
        <w:adjustRightInd/>
        <w:spacing w:before="0" w:after="200" w:line="360" w:lineRule="auto"/>
        <w:ind w:left="720" w:firstLine="0"/>
        <w:contextualSpacing/>
        <w:textAlignment w:val="auto"/>
        <w:rPr>
          <w:rFonts w:asciiTheme="minorHAnsi" w:eastAsiaTheme="minorHAnsi" w:hAnsiTheme="minorHAnsi" w:cs="David"/>
          <w:b/>
          <w:bCs/>
          <w:color w:val="auto"/>
          <w:spacing w:val="0"/>
          <w:sz w:val="26"/>
          <w:szCs w:val="26"/>
          <w:u w:val="single"/>
          <w:rtl/>
          <w:lang w:eastAsia="en-US"/>
        </w:rPr>
      </w:pPr>
      <w:r w:rsidRPr="00C8684B">
        <w:rPr>
          <w:rFonts w:asciiTheme="minorHAnsi" w:eastAsiaTheme="minorHAnsi" w:hAnsiTheme="minorHAnsi" w:cs="David" w:hint="cs"/>
          <w:b/>
          <w:bCs/>
          <w:color w:val="auto"/>
          <w:spacing w:val="0"/>
          <w:sz w:val="26"/>
          <w:szCs w:val="26"/>
          <w:u w:val="single"/>
          <w:rtl/>
          <w:lang w:eastAsia="en-US"/>
        </w:rPr>
        <w:t>לסעיף</w:t>
      </w:r>
      <w:r w:rsidR="00BF7221">
        <w:rPr>
          <w:rFonts w:asciiTheme="minorHAnsi" w:eastAsiaTheme="minorHAnsi" w:hAnsiTheme="minorHAnsi" w:cs="David" w:hint="cs"/>
          <w:b/>
          <w:bCs/>
          <w:color w:val="auto"/>
          <w:spacing w:val="0"/>
          <w:sz w:val="26"/>
          <w:szCs w:val="26"/>
          <w:u w:val="single"/>
          <w:rtl/>
          <w:lang w:eastAsia="en-US"/>
        </w:rPr>
        <w:t xml:space="preserve"> 1</w:t>
      </w:r>
      <w:r w:rsidRPr="00C8684B">
        <w:rPr>
          <w:rFonts w:asciiTheme="minorHAnsi" w:eastAsiaTheme="minorHAnsi" w:hAnsiTheme="minorHAnsi" w:cs="David" w:hint="cs"/>
          <w:b/>
          <w:bCs/>
          <w:color w:val="auto"/>
          <w:spacing w:val="0"/>
          <w:sz w:val="26"/>
          <w:szCs w:val="26"/>
          <w:u w:val="single"/>
          <w:rtl/>
          <w:lang w:eastAsia="en-US"/>
        </w:rPr>
        <w:t xml:space="preserve">  </w:t>
      </w:r>
      <w:r w:rsidRPr="00C8684B">
        <w:rPr>
          <w:rFonts w:asciiTheme="minorHAnsi" w:eastAsiaTheme="minorHAnsi" w:hAnsiTheme="minorHAnsi" w:cs="David"/>
          <w:b/>
          <w:bCs/>
          <w:color w:val="auto"/>
          <w:spacing w:val="0"/>
          <w:sz w:val="26"/>
          <w:szCs w:val="26"/>
          <w:u w:val="single"/>
          <w:rtl/>
          <w:lang w:eastAsia="en-US"/>
        </w:rPr>
        <w:t>–</w:t>
      </w:r>
      <w:r w:rsidRPr="00C8684B">
        <w:rPr>
          <w:rFonts w:asciiTheme="minorHAnsi" w:eastAsiaTheme="minorHAnsi" w:hAnsiTheme="minorHAnsi" w:cs="David" w:hint="cs"/>
          <w:b/>
          <w:bCs/>
          <w:color w:val="auto"/>
          <w:spacing w:val="0"/>
          <w:sz w:val="26"/>
          <w:szCs w:val="26"/>
          <w:u w:val="single"/>
          <w:rtl/>
          <w:lang w:eastAsia="en-US"/>
        </w:rPr>
        <w:t xml:space="preserve"> הוספת סעיף 135ב לפקודה</w:t>
      </w: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color w:val="auto"/>
          <w:spacing w:val="0"/>
          <w:sz w:val="26"/>
          <w:szCs w:val="26"/>
          <w:rtl/>
          <w:lang w:eastAsia="en-US"/>
        </w:rPr>
        <w:t xml:space="preserve">הסטנדרט המקובל היום לחילופי מידע בין רשויות מס כולל זיהוי ואיסוף מידע יזום על ידי המוסדות הפיננסיים והעברתו לרשות המסים על מנת שזו תעבירו למדינת התושבות של הלקוח אשר זוהה. </w:t>
      </w: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r>
        <w:rPr>
          <w:rFonts w:asciiTheme="minorHAnsi" w:eastAsiaTheme="minorHAnsi" w:hAnsiTheme="minorHAnsi" w:cs="David" w:hint="cs"/>
          <w:color w:val="auto"/>
          <w:spacing w:val="0"/>
          <w:sz w:val="26"/>
          <w:szCs w:val="26"/>
          <w:rtl/>
          <w:lang w:eastAsia="en-US"/>
        </w:rPr>
        <w:t>כדי</w:t>
      </w:r>
      <w:r w:rsidRPr="00C8684B">
        <w:rPr>
          <w:rFonts w:asciiTheme="minorHAnsi" w:eastAsiaTheme="minorHAnsi" w:hAnsiTheme="minorHAnsi" w:cs="David" w:hint="cs"/>
          <w:color w:val="auto"/>
          <w:spacing w:val="0"/>
          <w:sz w:val="26"/>
          <w:szCs w:val="26"/>
          <w:rtl/>
          <w:lang w:eastAsia="en-US"/>
        </w:rPr>
        <w:t xml:space="preserve"> ליישם את הסכם פטקא שנחתם והסכמים לחילופי מידע אוטומטיים שייחתמו בין הרשויות המוסמכות במתכונת של הסטנדרט שטבע ארגון ה- </w:t>
      </w:r>
      <w:r w:rsidRPr="00C8684B">
        <w:rPr>
          <w:rFonts w:asciiTheme="minorHAnsi" w:eastAsiaTheme="minorHAnsi" w:hAnsiTheme="minorHAnsi" w:cs="David"/>
          <w:color w:val="auto"/>
          <w:spacing w:val="0"/>
          <w:sz w:val="26"/>
          <w:szCs w:val="26"/>
          <w:lang w:eastAsia="en-US"/>
        </w:rPr>
        <w:t xml:space="preserve"> </w:t>
      </w:r>
      <w:r>
        <w:rPr>
          <w:rFonts w:asciiTheme="minorHAnsi" w:eastAsiaTheme="minorHAnsi" w:hAnsiTheme="minorHAnsi" w:cs="David"/>
          <w:color w:val="auto"/>
          <w:spacing w:val="0"/>
          <w:sz w:val="26"/>
          <w:szCs w:val="26"/>
          <w:lang w:eastAsia="en-US"/>
        </w:rPr>
        <w:t>,</w:t>
      </w:r>
      <w:r w:rsidRPr="00C8684B">
        <w:rPr>
          <w:rFonts w:asciiTheme="minorHAnsi" w:eastAsiaTheme="minorHAnsi" w:hAnsiTheme="minorHAnsi" w:cs="David"/>
          <w:color w:val="auto"/>
          <w:spacing w:val="0"/>
          <w:sz w:val="26"/>
          <w:szCs w:val="26"/>
          <w:lang w:eastAsia="en-US"/>
        </w:rPr>
        <w:t>OECD</w:t>
      </w:r>
      <w:r w:rsidRPr="00C8684B">
        <w:rPr>
          <w:rFonts w:asciiTheme="minorHAnsi" w:eastAsiaTheme="minorHAnsi" w:hAnsiTheme="minorHAnsi" w:cs="David" w:hint="cs"/>
          <w:color w:val="auto"/>
          <w:spacing w:val="0"/>
          <w:sz w:val="26"/>
          <w:szCs w:val="26"/>
          <w:rtl/>
          <w:lang w:eastAsia="en-US"/>
        </w:rPr>
        <w:t xml:space="preserve">יש צורך במתן סמכות לשר האוצר </w:t>
      </w:r>
      <w:r w:rsidRPr="00C8684B">
        <w:rPr>
          <w:rFonts w:asciiTheme="minorHAnsi" w:eastAsiaTheme="minorHAnsi" w:hAnsiTheme="minorHAnsi" w:cs="David" w:hint="cs"/>
          <w:color w:val="auto"/>
          <w:spacing w:val="0"/>
          <w:sz w:val="26"/>
          <w:szCs w:val="26"/>
          <w:rtl/>
          <w:lang w:eastAsia="en-US"/>
        </w:rPr>
        <w:lastRenderedPageBreak/>
        <w:t>לקבוע בתקנות, לאחר התייעצות עם נגיד בנק ישראל ועם יושב ראש רשות ניירות ערך ובאישור ועדת הכספים של הכנסת, הוראות לעניין פעולות</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שעל</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מוסד</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פיננסי</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ישראלי</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חייב</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בדיווח</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לבצע</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לצורך</w:t>
      </w:r>
      <w:r w:rsidRPr="00C8684B">
        <w:rPr>
          <w:rFonts w:asciiTheme="minorHAnsi" w:eastAsiaTheme="minorHAnsi" w:hAnsiTheme="minorHAnsi" w:cs="David"/>
          <w:color w:val="auto"/>
          <w:spacing w:val="0"/>
          <w:sz w:val="26"/>
          <w:szCs w:val="26"/>
          <w:rtl/>
          <w:lang w:eastAsia="en-US"/>
        </w:rPr>
        <w:t xml:space="preserve"> </w:t>
      </w:r>
      <w:r w:rsidRPr="00C8684B">
        <w:rPr>
          <w:rFonts w:asciiTheme="minorHAnsi" w:eastAsiaTheme="minorHAnsi" w:hAnsiTheme="minorHAnsi" w:cs="David" w:hint="cs"/>
          <w:color w:val="auto"/>
          <w:spacing w:val="0"/>
          <w:sz w:val="26"/>
          <w:szCs w:val="26"/>
          <w:rtl/>
          <w:lang w:eastAsia="en-US"/>
        </w:rPr>
        <w:t>זיהויו</w:t>
      </w:r>
      <w:r>
        <w:rPr>
          <w:rFonts w:asciiTheme="minorHAnsi" w:eastAsiaTheme="minorHAnsi" w:hAnsiTheme="minorHAnsi" w:cs="David" w:hint="cs"/>
          <w:color w:val="auto"/>
          <w:spacing w:val="0"/>
          <w:sz w:val="26"/>
          <w:szCs w:val="26"/>
          <w:rtl/>
          <w:lang w:eastAsia="en-US"/>
        </w:rPr>
        <w:t>,</w:t>
      </w:r>
      <w:r w:rsidRPr="00C8684B">
        <w:rPr>
          <w:rFonts w:asciiTheme="minorHAnsi" w:eastAsiaTheme="minorHAnsi" w:hAnsiTheme="minorHAnsi" w:cs="David" w:hint="cs"/>
          <w:color w:val="auto"/>
          <w:spacing w:val="0"/>
          <w:sz w:val="26"/>
          <w:szCs w:val="26"/>
          <w:rtl/>
          <w:lang w:eastAsia="en-US"/>
        </w:rPr>
        <w:t xml:space="preserve"> ולעניין זיהוי פרטים של בעלי החשבונות במוסדות הפיננסיים הישראליים החייבים בדיווח, לרבות פרטים שעל המוסד הפיננסי לדרוש מבעל החשבון, ופרטים שבעל החשבון מחויב למסור, הוראות לזיהוי בעל חשבון שהוא ישות הכוללות גם זיהוי של יחיד שהוא בעל שליטה </w:t>
      </w:r>
      <w:r>
        <w:rPr>
          <w:rFonts w:asciiTheme="minorHAnsi" w:eastAsiaTheme="minorHAnsi" w:hAnsiTheme="minorHAnsi" w:cs="David" w:hint="cs"/>
          <w:color w:val="auto"/>
          <w:spacing w:val="0"/>
          <w:sz w:val="26"/>
          <w:szCs w:val="26"/>
          <w:rtl/>
          <w:lang w:eastAsia="en-US"/>
        </w:rPr>
        <w:t>בישות.</w:t>
      </w: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p>
    <w:p w:rsidR="00FB22DB" w:rsidRPr="00C8684B" w:rsidRDefault="00FB22DB" w:rsidP="00DD0B44">
      <w:pPr>
        <w:pStyle w:val="ac"/>
        <w:spacing w:line="360" w:lineRule="auto"/>
        <w:ind w:left="708" w:firstLine="0"/>
        <w:rPr>
          <w:rFonts w:asciiTheme="minorBidi" w:hAnsiTheme="minorBidi" w:cs="David"/>
          <w:sz w:val="26"/>
          <w:szCs w:val="26"/>
        </w:rPr>
      </w:pPr>
      <w:r w:rsidRPr="00C8684B">
        <w:rPr>
          <w:rFonts w:asciiTheme="minorBidi" w:hAnsiTheme="minorBidi" w:cs="David"/>
          <w:sz w:val="26"/>
          <w:szCs w:val="26"/>
          <w:rtl/>
        </w:rPr>
        <w:t xml:space="preserve">לאור ההכרה בהיעדר יכולתה של ישראל ליישום מלא של הסכם הפטקא במועדים הקבועים בו, נקבעו בהסכם הוראות מיוחדות (להלן: "ההליכים האלטרנטיביים") ביחס לחשבונות המוגדרים כ"חשבונות חדשים" על פי ההסכם </w:t>
      </w:r>
      <w:r>
        <w:rPr>
          <w:rFonts w:asciiTheme="minorBidi" w:hAnsiTheme="minorBidi" w:cs="David" w:hint="cs"/>
          <w:sz w:val="26"/>
          <w:szCs w:val="26"/>
          <w:rtl/>
        </w:rPr>
        <w:t>(נפתחו אחרי יום ב' בתמוז התשע"ד (30 ביוני 2014)) ולפני יום התחילה של התקנות לפי סעיף 135ב לפקודה.</w:t>
      </w:r>
      <w:r w:rsidRPr="00C8684B">
        <w:rPr>
          <w:rFonts w:asciiTheme="minorBidi" w:hAnsiTheme="minorBidi" w:cs="David"/>
          <w:sz w:val="26"/>
          <w:szCs w:val="26"/>
          <w:rtl/>
        </w:rPr>
        <w:t xml:space="preserve"> בעיקרון הוראות אלה נתנו אפשרות לדחיית הדרישה לגביית הצהרות ואיסוף מסמכים בעת פתיחת החשבונות החדשים, ובלבד שבתוך שנה מיום הכניסה לתוקף של ההסכם ידרשו המוסדות הפיננסיים מבעלי החשבונות את ההצהרות והמסמכים הרלבנטיים. ההקלות האמורות ניתנו כפוף לכך שאם בתוך שנה לא עלה בידי מוסד פיננסי לאסוף הצהרות או מסמכים לגבי חשבון מסוים, הוא יסגור את החשבון. לגבי החשבונות הסגורים יבוצעו הליכי הזיהוי המבוצעים ביחס לחשבונות קיימים וידווחו חשבונות שבעליהם זוהו כאמריקאים או כגופים פיננסיים שאינם מצייתים. </w:t>
      </w:r>
    </w:p>
    <w:p w:rsidR="00FB22DB" w:rsidRPr="00C8684B" w:rsidRDefault="00FB22DB" w:rsidP="00FB22DB">
      <w:pPr>
        <w:pStyle w:val="ac"/>
        <w:spacing w:line="360" w:lineRule="auto"/>
        <w:ind w:hanging="12"/>
        <w:rPr>
          <w:rFonts w:asciiTheme="minorBidi" w:hAnsiTheme="minorBidi" w:cs="David"/>
          <w:sz w:val="26"/>
          <w:szCs w:val="26"/>
          <w:rtl/>
        </w:rPr>
      </w:pPr>
      <w:r w:rsidRPr="00C8684B">
        <w:rPr>
          <w:rFonts w:asciiTheme="minorBidi" w:hAnsiTheme="minorBidi" w:cs="David"/>
          <w:sz w:val="26"/>
          <w:szCs w:val="26"/>
          <w:rtl/>
        </w:rPr>
        <w:t xml:space="preserve">לגבי חשבונות חדשים של ישויות שנפתחו לפני </w:t>
      </w:r>
      <w:r>
        <w:rPr>
          <w:rFonts w:asciiTheme="minorBidi" w:hAnsiTheme="minorBidi" w:cs="David" w:hint="cs"/>
          <w:sz w:val="26"/>
          <w:szCs w:val="26"/>
          <w:rtl/>
        </w:rPr>
        <w:t xml:space="preserve">יום י' בטבת התשע"ה (1בינואר 2015) </w:t>
      </w:r>
      <w:r w:rsidRPr="00C8684B">
        <w:rPr>
          <w:rFonts w:asciiTheme="minorBidi" w:hAnsiTheme="minorBidi" w:cs="David"/>
          <w:sz w:val="26"/>
          <w:szCs w:val="26"/>
          <w:rtl/>
        </w:rPr>
        <w:t>נקבע שישראל רשאית לראות בהם חשבונות קיימים ולהחיל לגביהם את הליכי הזיהוי המלאים של חשבונות קיימים של ישויות כפי שנקבעו בהסכם הפטקא. לגבי חשבונות אלה לא יהיה צורך להחיל את ההליכים האלטרנטיביים.</w:t>
      </w:r>
    </w:p>
    <w:p w:rsidR="00FB22DB" w:rsidRPr="00C8684B" w:rsidRDefault="00FB22DB" w:rsidP="00FB22DB">
      <w:pPr>
        <w:pStyle w:val="ac"/>
        <w:spacing w:line="360" w:lineRule="auto"/>
        <w:rPr>
          <w:rFonts w:asciiTheme="minorBidi" w:hAnsiTheme="minorBidi" w:cs="David"/>
          <w:sz w:val="26"/>
          <w:szCs w:val="26"/>
          <w:rtl/>
        </w:rPr>
      </w:pPr>
    </w:p>
    <w:p w:rsidR="00FB22DB" w:rsidRPr="00C8684B" w:rsidRDefault="00FB22DB" w:rsidP="00FB22DB">
      <w:pPr>
        <w:pStyle w:val="ac"/>
        <w:spacing w:line="360" w:lineRule="auto"/>
        <w:ind w:hanging="12"/>
        <w:rPr>
          <w:rFonts w:asciiTheme="minorBidi" w:hAnsiTheme="minorBidi" w:cs="David"/>
          <w:sz w:val="26"/>
          <w:szCs w:val="26"/>
        </w:rPr>
      </w:pPr>
      <w:r w:rsidRPr="00C8684B">
        <w:rPr>
          <w:rFonts w:asciiTheme="minorBidi" w:hAnsiTheme="minorBidi" w:cs="David" w:hint="cs"/>
          <w:sz w:val="26"/>
          <w:szCs w:val="26"/>
          <w:rtl/>
        </w:rPr>
        <w:t>בנוסף</w:t>
      </w:r>
      <w:r>
        <w:rPr>
          <w:rFonts w:asciiTheme="minorBidi" w:hAnsiTheme="minorBidi" w:cs="David" w:hint="cs"/>
          <w:sz w:val="26"/>
          <w:szCs w:val="26"/>
          <w:rtl/>
        </w:rPr>
        <w:t>,</w:t>
      </w:r>
      <w:r w:rsidRPr="00C8684B">
        <w:rPr>
          <w:rFonts w:asciiTheme="minorBidi" w:hAnsiTheme="minorBidi" w:cs="David" w:hint="cs"/>
          <w:sz w:val="26"/>
          <w:szCs w:val="26"/>
          <w:rtl/>
        </w:rPr>
        <w:t xml:space="preserve"> </w:t>
      </w:r>
      <w:r w:rsidRPr="00C8684B">
        <w:rPr>
          <w:rFonts w:asciiTheme="minorBidi" w:hAnsiTheme="minorBidi" w:cs="David"/>
          <w:sz w:val="26"/>
          <w:szCs w:val="26"/>
          <w:rtl/>
        </w:rPr>
        <w:t xml:space="preserve">בהסכם הפטקא נקבע, כי בהתקיים תנאים מסוימים מוסדות פיננסיים אשר הוכרו על ידי הרשויות האמריקאיות כ"מתווך מורשה" ו"כמנכה במקור" ינכו 30% מכל תקבול למוסד פיננסי שאינו משתתף (מוסד פיננסי שאינו מציית להוראות חוק הפטקא ואינו תושב במדינה אשר התקשרה בהסכם עם ארצות הברית לצורך יישום חוק הפטקא או שהנו תושב במדינה כאמור, אך הוכרז על ידי רשויות המס בארה"ב כמוסד פיננסי שאינו משתתף) ויעבירו את הסכום המנוכה לרשויות בארצות הברית. </w:t>
      </w:r>
    </w:p>
    <w:p w:rsidR="00FB22DB" w:rsidRPr="00C8684B" w:rsidRDefault="00FB22DB" w:rsidP="00FB22DB">
      <w:pPr>
        <w:pStyle w:val="ac"/>
        <w:spacing w:line="360" w:lineRule="auto"/>
        <w:ind w:hanging="12"/>
        <w:rPr>
          <w:rFonts w:asciiTheme="minorBidi" w:hAnsiTheme="minorBidi" w:cs="David"/>
          <w:sz w:val="26"/>
          <w:szCs w:val="26"/>
          <w:rtl/>
        </w:rPr>
      </w:pPr>
      <w:r w:rsidRPr="00C8684B">
        <w:rPr>
          <w:rFonts w:asciiTheme="minorBidi" w:hAnsiTheme="minorBidi" w:cs="David"/>
          <w:sz w:val="26"/>
          <w:szCs w:val="26"/>
          <w:rtl/>
        </w:rPr>
        <w:t>בישראל פועלים מספר מוסדות פיננסיים אשר זכו להכרה מטעם רשויות המס האמריקאיות כ"מתווך מורשה" ו"כמנכה במקור". מוסדות אלה בחרו להכפיף את עצמם לרשויות האמריקאיות ולדין האמריקאי ולפעול עבורן במסגרת טיפול בנישומים אמריקאים. גופים אלה הנם בעלי היכולת הטכנית לבצע ניכויים עבור רשות המס האמריקאית</w:t>
      </w:r>
      <w:r>
        <w:rPr>
          <w:rFonts w:asciiTheme="minorBidi" w:hAnsiTheme="minorBidi" w:cs="David" w:hint="cs"/>
          <w:sz w:val="26"/>
          <w:szCs w:val="26"/>
          <w:rtl/>
        </w:rPr>
        <w:t xml:space="preserve">. </w:t>
      </w: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r>
        <w:rPr>
          <w:rFonts w:asciiTheme="minorHAnsi" w:eastAsiaTheme="minorHAnsi" w:hAnsiTheme="minorHAnsi" w:cs="David" w:hint="cs"/>
          <w:color w:val="auto"/>
          <w:spacing w:val="0"/>
          <w:sz w:val="26"/>
          <w:szCs w:val="26"/>
          <w:rtl/>
          <w:lang w:eastAsia="en-US"/>
        </w:rPr>
        <w:t xml:space="preserve">לאור האמור, לצורך יישום ההוראות האמורות בהסכם פטקא תינתן לשר האוצר סמכות לקבוע בתקנות, באישור ועדת הכספים של הכנסת ובהתייעצות עם נגיד בנק ישראל ועם יו"ר רשות ניירות ערך, תנאים אשר בהתקיימם יסגור מוסד פיננסי ישראלי החייב בדיווח חשבון פיננסי חדש שנפתח לפני יום התחילה אשר לגביו לא הצליח המוסד הפיננסי האמור לגבות הצהרות או לקבל מסמכים בהתאם להוראות שנקבעו בתקנות, וכן הוראות לגבי ניכוי מתשלום בר ניכוי ממקור </w:t>
      </w:r>
      <w:r>
        <w:rPr>
          <w:rFonts w:asciiTheme="minorHAnsi" w:eastAsiaTheme="minorHAnsi" w:hAnsiTheme="minorHAnsi" w:cs="David" w:hint="cs"/>
          <w:color w:val="auto"/>
          <w:spacing w:val="0"/>
          <w:sz w:val="26"/>
          <w:szCs w:val="26"/>
          <w:rtl/>
          <w:lang w:eastAsia="en-US"/>
        </w:rPr>
        <w:lastRenderedPageBreak/>
        <w:t xml:space="preserve">הכנסה אמריקאי המשולם למוסד פיננסי לא משתתף </w:t>
      </w:r>
      <w:r w:rsidRPr="00C8684B">
        <w:rPr>
          <w:rFonts w:asciiTheme="minorHAnsi" w:eastAsiaTheme="minorHAnsi" w:hAnsiTheme="minorHAnsi" w:cs="David" w:hint="cs"/>
          <w:color w:val="auto"/>
          <w:spacing w:val="0"/>
          <w:sz w:val="26"/>
          <w:szCs w:val="26"/>
          <w:rtl/>
          <w:lang w:eastAsia="en-US"/>
        </w:rPr>
        <w:t>והוראות בדבר העברת מידע על חשבונות שזוהו כחשבונות של תושבים זרים ואופן העברתם.</w:t>
      </w: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p>
    <w:p w:rsidR="00FB22DB" w:rsidRPr="00C8684B" w:rsidRDefault="00FB22DB" w:rsidP="00FB22DB">
      <w:pPr>
        <w:widowControl/>
        <w:autoSpaceDE/>
        <w:autoSpaceDN/>
        <w:adjustRightInd/>
        <w:spacing w:before="0" w:after="200" w:line="360" w:lineRule="auto"/>
        <w:ind w:left="793" w:firstLine="0"/>
        <w:contextualSpacing/>
        <w:textAlignment w:val="auto"/>
        <w:rPr>
          <w:rFonts w:asciiTheme="minorHAnsi" w:eastAsiaTheme="minorHAnsi" w:hAnsiTheme="minorHAnsi" w:cs="David"/>
          <w:color w:val="auto"/>
          <w:spacing w:val="0"/>
          <w:sz w:val="26"/>
          <w:szCs w:val="26"/>
          <w:rtl/>
          <w:lang w:eastAsia="en-US"/>
        </w:rPr>
      </w:pPr>
    </w:p>
    <w:p w:rsidR="00FB22DB" w:rsidRPr="00C8684B" w:rsidRDefault="00FB22DB" w:rsidP="00DD0B44">
      <w:pPr>
        <w:widowControl/>
        <w:autoSpaceDE/>
        <w:autoSpaceDN/>
        <w:adjustRightInd/>
        <w:spacing w:before="0" w:after="200" w:line="360" w:lineRule="auto"/>
        <w:ind w:left="720" w:firstLine="0"/>
        <w:contextualSpacing/>
        <w:textAlignment w:val="auto"/>
        <w:rPr>
          <w:rFonts w:asciiTheme="minorHAnsi" w:eastAsiaTheme="minorHAnsi" w:hAnsiTheme="minorHAnsi" w:cs="David"/>
          <w:b/>
          <w:bCs/>
          <w:color w:val="auto"/>
          <w:spacing w:val="0"/>
          <w:sz w:val="26"/>
          <w:szCs w:val="26"/>
          <w:u w:val="single"/>
          <w:rtl/>
          <w:lang w:eastAsia="en-US"/>
        </w:rPr>
      </w:pPr>
      <w:r w:rsidRPr="00C8684B">
        <w:rPr>
          <w:rFonts w:asciiTheme="minorHAnsi" w:eastAsiaTheme="minorHAnsi" w:hAnsiTheme="minorHAnsi" w:cs="David" w:hint="cs"/>
          <w:b/>
          <w:bCs/>
          <w:color w:val="auto"/>
          <w:spacing w:val="0"/>
          <w:sz w:val="26"/>
          <w:szCs w:val="26"/>
          <w:u w:val="single"/>
          <w:rtl/>
          <w:lang w:eastAsia="en-US"/>
        </w:rPr>
        <w:t>לסעיפים</w:t>
      </w:r>
      <w:r w:rsidR="00BF7221">
        <w:rPr>
          <w:rFonts w:asciiTheme="minorHAnsi" w:eastAsiaTheme="minorHAnsi" w:hAnsiTheme="minorHAnsi" w:cs="David" w:hint="cs"/>
          <w:b/>
          <w:bCs/>
          <w:color w:val="auto"/>
          <w:spacing w:val="0"/>
          <w:sz w:val="26"/>
          <w:szCs w:val="26"/>
          <w:u w:val="single"/>
          <w:rtl/>
          <w:lang w:eastAsia="en-US"/>
        </w:rPr>
        <w:t xml:space="preserve"> 2, 3, 4, 5 ו-6</w:t>
      </w:r>
      <w:r w:rsidRPr="00C8684B">
        <w:rPr>
          <w:rFonts w:asciiTheme="minorHAnsi" w:eastAsiaTheme="minorHAnsi" w:hAnsiTheme="minorHAnsi" w:cs="David" w:hint="cs"/>
          <w:b/>
          <w:bCs/>
          <w:color w:val="auto"/>
          <w:spacing w:val="0"/>
          <w:sz w:val="26"/>
          <w:szCs w:val="26"/>
          <w:u w:val="single"/>
          <w:rtl/>
          <w:lang w:eastAsia="en-US"/>
        </w:rPr>
        <w:t xml:space="preserve"> - הוספת סעיפים 195ב, 195ג, 195ד ו- 195ח לפקודה  ותיקון סעיף 197</w:t>
      </w:r>
      <w:r>
        <w:rPr>
          <w:rFonts w:asciiTheme="minorHAnsi" w:eastAsiaTheme="minorHAnsi" w:hAnsiTheme="minorHAnsi" w:cs="David" w:hint="cs"/>
          <w:b/>
          <w:bCs/>
          <w:color w:val="auto"/>
          <w:spacing w:val="0"/>
          <w:sz w:val="26"/>
          <w:szCs w:val="26"/>
          <w:u w:val="single"/>
          <w:rtl/>
          <w:lang w:eastAsia="en-US"/>
        </w:rPr>
        <w:t xml:space="preserve"> לפקודה</w:t>
      </w:r>
    </w:p>
    <w:p w:rsidR="00FB22DB" w:rsidRPr="00C8684B" w:rsidRDefault="00FB22DB" w:rsidP="00170015">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color w:val="auto"/>
          <w:spacing w:val="0"/>
          <w:sz w:val="26"/>
          <w:szCs w:val="26"/>
          <w:rtl/>
          <w:lang w:eastAsia="en-US"/>
        </w:rPr>
        <w:t>ציות מלא של המוסדות הפיננסיים בישראל הנו תנאי בלעדיו אין להבטחת קיומם של ההסכמים הבינלאומיים והצלחת יישומם של ההסדרים בישראל. על מנת להבטיח אכיפה יעילה יש להעניק לרשות כלי אכיפה מתאים. לאור העובדה שיש צורך בטיפול מהיר בהפרות המתגלות, ומניעת מצבים של הפרות מתמשכות העולות כדי הפרה משמעותית של ההתחייבויות שמדינת ישראל נטלה על עצמה במסגרת הסכמים, הכלי המתאים ביותר הנו עיצום כספי, אשר ההליך להטלתו הנו מהיר. הליך זה מתאים לשימוש במקרים, כמו במקרה דנן, של הפרות טכניות של הוראות, המאופיינות בפשטות הנסיבות ובקלות ההוכחה. לאור אופיין המתמשך של העבירות והצורך בהבטחת תיקון הליקויים, האפשרות להטיל עיצומים נוספים בגין אותה העבירה צפוי</w:t>
      </w:r>
      <w:r w:rsidR="00170015">
        <w:rPr>
          <w:rFonts w:asciiTheme="minorHAnsi" w:eastAsiaTheme="minorHAnsi" w:hAnsiTheme="minorHAnsi" w:cs="David" w:hint="cs"/>
          <w:color w:val="auto"/>
          <w:spacing w:val="0"/>
          <w:sz w:val="26"/>
          <w:szCs w:val="26"/>
          <w:rtl/>
          <w:lang w:eastAsia="en-US"/>
        </w:rPr>
        <w:t>ה</w:t>
      </w:r>
      <w:r w:rsidRPr="00C8684B">
        <w:rPr>
          <w:rFonts w:asciiTheme="minorHAnsi" w:eastAsiaTheme="minorHAnsi" w:hAnsiTheme="minorHAnsi" w:cs="David" w:hint="cs"/>
          <w:color w:val="auto"/>
          <w:spacing w:val="0"/>
          <w:sz w:val="26"/>
          <w:szCs w:val="26"/>
          <w:rtl/>
          <w:lang w:eastAsia="en-US"/>
        </w:rPr>
        <w:t xml:space="preserve"> לתרום רבות ליעילות ההרתעתית של השימוש בעיצומים. </w:t>
      </w:r>
    </w:p>
    <w:p w:rsidR="00FB22DB" w:rsidRPr="00C8684B" w:rsidRDefault="00FB22DB" w:rsidP="00FB22DB">
      <w:pPr>
        <w:widowControl/>
        <w:autoSpaceDE/>
        <w:autoSpaceDN/>
        <w:adjustRightInd/>
        <w:spacing w:before="0" w:after="200" w:line="360" w:lineRule="auto"/>
        <w:ind w:left="793" w:firstLine="0"/>
        <w:contextualSpacing/>
        <w:textAlignment w:val="auto"/>
        <w:rPr>
          <w:rFonts w:asciiTheme="minorHAnsi" w:eastAsiaTheme="minorHAnsi" w:hAnsiTheme="minorHAnsi" w:cs="David"/>
          <w:b/>
          <w:bCs/>
          <w:color w:val="auto"/>
          <w:spacing w:val="0"/>
          <w:sz w:val="26"/>
          <w:szCs w:val="26"/>
          <w:u w:val="single"/>
          <w:rtl/>
          <w:lang w:eastAsia="en-US"/>
        </w:rPr>
      </w:pPr>
    </w:p>
    <w:p w:rsidR="00FB22DB" w:rsidRPr="00C8684B" w:rsidRDefault="00FB22DB" w:rsidP="00DD0B44">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u w:val="single"/>
          <w:rtl/>
          <w:lang w:eastAsia="en-US"/>
        </w:rPr>
      </w:pPr>
      <w:r w:rsidRPr="00C8684B">
        <w:rPr>
          <w:rFonts w:asciiTheme="minorHAnsi" w:eastAsiaTheme="minorHAnsi" w:hAnsiTheme="minorHAnsi" w:cs="David" w:hint="cs"/>
          <w:b/>
          <w:bCs/>
          <w:color w:val="auto"/>
          <w:spacing w:val="0"/>
          <w:sz w:val="26"/>
          <w:szCs w:val="26"/>
          <w:u w:val="single"/>
          <w:rtl/>
          <w:lang w:eastAsia="en-US"/>
        </w:rPr>
        <w:t>לסעיף</w:t>
      </w:r>
      <w:r w:rsidR="00BF7221">
        <w:rPr>
          <w:rFonts w:asciiTheme="minorHAnsi" w:eastAsiaTheme="minorHAnsi" w:hAnsiTheme="minorHAnsi" w:cs="David" w:hint="cs"/>
          <w:b/>
          <w:bCs/>
          <w:color w:val="auto"/>
          <w:spacing w:val="0"/>
          <w:sz w:val="26"/>
          <w:szCs w:val="26"/>
          <w:u w:val="single"/>
          <w:rtl/>
          <w:lang w:eastAsia="en-US"/>
        </w:rPr>
        <w:t xml:space="preserve"> 7</w:t>
      </w:r>
      <w:r w:rsidRPr="00C8684B">
        <w:rPr>
          <w:rFonts w:asciiTheme="minorHAnsi" w:eastAsiaTheme="minorHAnsi" w:hAnsiTheme="minorHAnsi" w:cs="David"/>
          <w:b/>
          <w:bCs/>
          <w:color w:val="auto"/>
          <w:spacing w:val="0"/>
          <w:sz w:val="26"/>
          <w:szCs w:val="26"/>
          <w:u w:val="single"/>
          <w:rtl/>
          <w:lang w:eastAsia="en-US"/>
        </w:rPr>
        <w:t>–</w:t>
      </w:r>
      <w:r w:rsidRPr="00C8684B">
        <w:rPr>
          <w:rFonts w:asciiTheme="minorHAnsi" w:eastAsiaTheme="minorHAnsi" w:hAnsiTheme="minorHAnsi" w:cs="David" w:hint="cs"/>
          <w:b/>
          <w:bCs/>
          <w:color w:val="auto"/>
          <w:spacing w:val="0"/>
          <w:sz w:val="26"/>
          <w:szCs w:val="26"/>
          <w:u w:val="single"/>
          <w:rtl/>
          <w:lang w:eastAsia="en-US"/>
        </w:rPr>
        <w:t xml:space="preserve"> הוספת סעיפים 214א, 214ב, 214ג ו-214ד לפקודה</w:t>
      </w: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color w:val="auto"/>
          <w:spacing w:val="0"/>
          <w:sz w:val="26"/>
          <w:szCs w:val="26"/>
          <w:rtl/>
          <w:lang w:eastAsia="en-US"/>
        </w:rPr>
        <w:t xml:space="preserve">סעיפים 231 ו- 234 לפקודה קובעים חובת סודיות רחבה על מידע הנוגע להכנסתו של אדם. העברת המידע ללא היתר שר האוצר או שלא לצורך ביצוע הפקודה מהווה עבירה פלילית. </w:t>
      </w: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color w:val="auto"/>
          <w:spacing w:val="0"/>
          <w:sz w:val="26"/>
          <w:szCs w:val="26"/>
          <w:rtl/>
          <w:lang w:eastAsia="en-US"/>
        </w:rPr>
        <w:t xml:space="preserve">על מנת להעביר מידע לרשויות מס זרות במסגרת הסכמים לחילופי מידע יש לציין במפורש בחוק, כי על אף האמור בסעיפים האמורים רשאי המנהל להעביר מידע לרשות מס במדינה </w:t>
      </w: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color w:val="auto"/>
          <w:spacing w:val="0"/>
          <w:sz w:val="26"/>
          <w:szCs w:val="26"/>
          <w:rtl/>
          <w:lang w:eastAsia="en-US"/>
        </w:rPr>
        <w:t>אחרת בהתאם להסכם בינלאומי בכפוף לסייגים שמטרתם, בין היתר, להבטיח כי תישמר סודיות המידע אצל הגורם המקבל, וכי לא יועבר מידע אשר נאסר על רשות המסים במפורש בחוק לעשות בו שימוש לצורך גביית מסים. "</w:t>
      </w:r>
      <w:r w:rsidRPr="00C8684B">
        <w:rPr>
          <w:rFonts w:asciiTheme="minorHAnsi" w:eastAsiaTheme="minorHAnsi" w:hAnsiTheme="minorHAnsi" w:cs="David" w:hint="cs"/>
          <w:b/>
          <w:bCs/>
          <w:color w:val="auto"/>
          <w:spacing w:val="0"/>
          <w:sz w:val="26"/>
          <w:szCs w:val="26"/>
          <w:rtl/>
          <w:lang w:eastAsia="en-US"/>
        </w:rPr>
        <w:t>הסכם בינלאומי</w:t>
      </w:r>
      <w:r w:rsidRPr="00C8684B">
        <w:rPr>
          <w:rFonts w:asciiTheme="minorHAnsi" w:eastAsiaTheme="minorHAnsi" w:hAnsiTheme="minorHAnsi" w:cs="David" w:hint="cs"/>
          <w:color w:val="auto"/>
          <w:spacing w:val="0"/>
          <w:sz w:val="26"/>
          <w:szCs w:val="26"/>
          <w:rtl/>
          <w:lang w:eastAsia="en-US"/>
        </w:rPr>
        <w:t>" לצורך זה יוגדר כאמנה למניעת כפל מס או הסכם לחילופי מידע.</w:t>
      </w: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color w:val="auto"/>
          <w:spacing w:val="0"/>
          <w:sz w:val="26"/>
          <w:szCs w:val="26"/>
          <w:rtl/>
          <w:lang w:eastAsia="en-US"/>
        </w:rPr>
        <w:t xml:space="preserve">במסגרת התיקון יש להבהיר, כי העברת המידע מותרת בין על פי בקשת רשות מס זרה ובין ביזמת מנהל, לצורך מתן האפשרות להעברת מידע אוטומטי. </w:t>
      </w: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color w:val="auto"/>
          <w:spacing w:val="0"/>
          <w:sz w:val="26"/>
          <w:szCs w:val="26"/>
          <w:rtl/>
          <w:lang w:eastAsia="en-US"/>
        </w:rPr>
        <w:t xml:space="preserve">עוד מוצע להבהיר כי לצורך איסוף המידע, לשם העברתו למדינה אחרת לפי הסכם בין לאומי, יהיו למנהל ולפקיד השומה הסמכויות שיש להם לפי סעיפים 135 עד 140א לפקודה, הנתונות להם לצורך אכיפת דיני המס בישראל. מוצע לקבוע כי הפעלת הסמכויות תיעשה באותו האופן שבו מופעלות הסמכויות לצורך ביצוע הפקודה ובכפוף לתנאים והמגבלות החלים על הפעלתן. </w:t>
      </w: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color w:val="auto"/>
          <w:spacing w:val="0"/>
          <w:sz w:val="26"/>
          <w:szCs w:val="26"/>
          <w:rtl/>
          <w:lang w:eastAsia="en-US"/>
        </w:rPr>
        <w:t xml:space="preserve">מוצע לקבוע כי שר האוצר יפרסם הודעה ברשומות על כל הסכם לחילופי מידע שנחתם, וזאת כדי להביאו לידיעת הציבור.  </w:t>
      </w:r>
    </w:p>
    <w:p w:rsidR="00FB22DB" w:rsidRDefault="00FB22DB" w:rsidP="00DD0B44">
      <w:pPr>
        <w:widowControl/>
        <w:autoSpaceDE/>
        <w:autoSpaceDN/>
        <w:adjustRightInd/>
        <w:spacing w:before="0" w:after="200" w:line="360" w:lineRule="auto"/>
        <w:ind w:firstLine="0"/>
        <w:contextualSpacing/>
        <w:textAlignment w:val="auto"/>
        <w:rPr>
          <w:rFonts w:asciiTheme="minorBidi" w:eastAsiaTheme="minorHAnsi" w:hAnsiTheme="minorBidi" w:cs="David"/>
          <w:b/>
          <w:bCs/>
          <w:color w:val="auto"/>
          <w:spacing w:val="0"/>
          <w:sz w:val="26"/>
          <w:szCs w:val="26"/>
          <w:u w:val="single"/>
          <w:rtl/>
          <w:lang w:eastAsia="en-US"/>
        </w:rPr>
      </w:pPr>
    </w:p>
    <w:p w:rsidR="00FB22DB" w:rsidRPr="00C8684B" w:rsidRDefault="00FB22DB" w:rsidP="00DD0B44">
      <w:pPr>
        <w:widowControl/>
        <w:autoSpaceDE/>
        <w:autoSpaceDN/>
        <w:adjustRightInd/>
        <w:spacing w:before="0" w:after="200" w:line="360" w:lineRule="auto"/>
        <w:ind w:left="793" w:firstLine="0"/>
        <w:contextualSpacing/>
        <w:textAlignment w:val="auto"/>
        <w:rPr>
          <w:rFonts w:asciiTheme="minorBidi" w:eastAsiaTheme="minorHAnsi" w:hAnsiTheme="minorBidi" w:cs="David"/>
          <w:color w:val="auto"/>
          <w:spacing w:val="0"/>
          <w:sz w:val="26"/>
          <w:szCs w:val="26"/>
          <w:u w:val="single"/>
          <w:rtl/>
          <w:lang w:eastAsia="en-US"/>
        </w:rPr>
      </w:pPr>
      <w:r w:rsidRPr="00C8684B">
        <w:rPr>
          <w:rFonts w:asciiTheme="minorBidi" w:eastAsiaTheme="minorHAnsi" w:hAnsiTheme="minorBidi" w:cs="David"/>
          <w:b/>
          <w:bCs/>
          <w:color w:val="auto"/>
          <w:spacing w:val="0"/>
          <w:sz w:val="26"/>
          <w:szCs w:val="26"/>
          <w:u w:val="single"/>
          <w:rtl/>
          <w:lang w:eastAsia="en-US"/>
        </w:rPr>
        <w:t>לסעיף</w:t>
      </w:r>
      <w:r w:rsidR="00BF7221">
        <w:rPr>
          <w:rFonts w:asciiTheme="minorBidi" w:eastAsiaTheme="minorHAnsi" w:hAnsiTheme="minorBidi" w:cs="David" w:hint="cs"/>
          <w:b/>
          <w:bCs/>
          <w:color w:val="auto"/>
          <w:spacing w:val="0"/>
          <w:sz w:val="26"/>
          <w:szCs w:val="26"/>
          <w:u w:val="single"/>
          <w:rtl/>
          <w:lang w:eastAsia="en-US"/>
        </w:rPr>
        <w:t xml:space="preserve"> 8</w:t>
      </w:r>
      <w:r w:rsidRPr="00C8684B">
        <w:rPr>
          <w:rFonts w:asciiTheme="minorBidi" w:eastAsiaTheme="minorHAnsi" w:hAnsiTheme="minorBidi" w:cs="David"/>
          <w:b/>
          <w:bCs/>
          <w:color w:val="auto"/>
          <w:spacing w:val="0"/>
          <w:sz w:val="26"/>
          <w:szCs w:val="26"/>
          <w:u w:val="single"/>
          <w:rtl/>
          <w:lang w:eastAsia="en-US"/>
        </w:rPr>
        <w:t xml:space="preserve"> - הוספת סעיף 220</w:t>
      </w:r>
      <w:r w:rsidRPr="00EF579C">
        <w:rPr>
          <w:rFonts w:asciiTheme="minorBidi" w:eastAsiaTheme="minorHAnsi" w:hAnsiTheme="minorBidi" w:cs="David" w:hint="cs"/>
          <w:b/>
          <w:bCs/>
          <w:color w:val="auto"/>
          <w:spacing w:val="0"/>
          <w:sz w:val="26"/>
          <w:szCs w:val="26"/>
          <w:u w:val="single"/>
          <w:rtl/>
          <w:lang w:eastAsia="en-US"/>
        </w:rPr>
        <w:t>ג</w:t>
      </w:r>
      <w:r w:rsidRPr="00EF579C">
        <w:rPr>
          <w:rFonts w:asciiTheme="minorBidi" w:eastAsiaTheme="minorHAnsi" w:hAnsiTheme="minorBidi" w:cs="David"/>
          <w:b/>
          <w:bCs/>
          <w:color w:val="auto"/>
          <w:spacing w:val="0"/>
          <w:sz w:val="26"/>
          <w:szCs w:val="26"/>
          <w:u w:val="single"/>
          <w:rtl/>
          <w:lang w:eastAsia="en-US"/>
        </w:rPr>
        <w:t xml:space="preserve"> </w:t>
      </w:r>
      <w:r w:rsidRPr="00C8684B">
        <w:rPr>
          <w:rFonts w:asciiTheme="minorBidi" w:eastAsiaTheme="minorHAnsi" w:hAnsiTheme="minorBidi" w:cs="David"/>
          <w:b/>
          <w:bCs/>
          <w:color w:val="auto"/>
          <w:spacing w:val="0"/>
          <w:sz w:val="26"/>
          <w:szCs w:val="26"/>
          <w:u w:val="single"/>
          <w:rtl/>
          <w:lang w:eastAsia="en-US"/>
        </w:rPr>
        <w:t xml:space="preserve">לפקודה </w:t>
      </w:r>
    </w:p>
    <w:p w:rsidR="00FB22DB" w:rsidRPr="00C8684B" w:rsidRDefault="00FB22DB" w:rsidP="00FB22DB">
      <w:pPr>
        <w:pStyle w:val="ac"/>
        <w:spacing w:line="360" w:lineRule="auto"/>
        <w:rPr>
          <w:rFonts w:asciiTheme="minorBidi" w:hAnsiTheme="minorBidi" w:cs="David"/>
          <w:sz w:val="26"/>
          <w:szCs w:val="26"/>
        </w:rPr>
      </w:pPr>
      <w:r w:rsidRPr="00C8684B">
        <w:rPr>
          <w:rFonts w:asciiTheme="minorBidi" w:hAnsiTheme="minorBidi" w:cs="David"/>
          <w:sz w:val="26"/>
          <w:szCs w:val="26"/>
          <w:rtl/>
        </w:rPr>
        <w:lastRenderedPageBreak/>
        <w:t xml:space="preserve">חילופי מידע עם מדינות אחרות על פי הסטנדרטים המקובלים בעולם הם תנאי בלעדיו אין לקבלת מידע ממדינות אחרות על הכנסות של תושבי ישראל בחו"ל, על פי עיקרון ההדדיות, ולפיכך חיוניים לתפקודה של מערכת המס בישראל. תיקון החקיקה המוצע הופך את הסטנדרטים החדשים לחלק בלתי נפרד מפקודת מס הכנסה. </w:t>
      </w:r>
    </w:p>
    <w:p w:rsidR="00FB22DB" w:rsidRPr="00C8684B" w:rsidRDefault="00FB22DB" w:rsidP="00FB22DB">
      <w:pPr>
        <w:pStyle w:val="ac"/>
        <w:spacing w:line="360" w:lineRule="auto"/>
        <w:rPr>
          <w:rFonts w:asciiTheme="minorBidi" w:hAnsiTheme="minorBidi" w:cs="David"/>
          <w:sz w:val="26"/>
          <w:szCs w:val="26"/>
          <w:rtl/>
        </w:rPr>
      </w:pPr>
      <w:r w:rsidRPr="00C8684B">
        <w:rPr>
          <w:rFonts w:asciiTheme="minorBidi" w:hAnsiTheme="minorBidi" w:cs="David"/>
          <w:sz w:val="26"/>
          <w:szCs w:val="26"/>
          <w:rtl/>
        </w:rPr>
        <w:t xml:space="preserve">בנסיבות אלה, יש להתייחס באופן דומה למי אשר עושה פעולות במטרה להתחמק מתשלום מס או לעזור לאדם אחר להתחמק מתשלום מס למי אשר עושה פעולות דומות במטרה להתחמק מקיום חילופי מידע לשם אכיפת דיני המס במדינה אחרת או במטרה לעזור לאדם אחר להתחמק מקיום חילופי מידע כאמור. </w:t>
      </w:r>
    </w:p>
    <w:p w:rsidR="00FB22DB" w:rsidRPr="00C8684B" w:rsidRDefault="00FB22DB" w:rsidP="00FB22DB">
      <w:pPr>
        <w:pStyle w:val="ac"/>
        <w:spacing w:line="360" w:lineRule="auto"/>
        <w:rPr>
          <w:rFonts w:asciiTheme="minorBidi" w:hAnsiTheme="minorBidi" w:cs="David"/>
          <w:sz w:val="26"/>
          <w:szCs w:val="26"/>
          <w:rtl/>
        </w:rPr>
      </w:pPr>
      <w:r w:rsidRPr="00C8684B">
        <w:rPr>
          <w:rFonts w:asciiTheme="minorBidi" w:hAnsiTheme="minorBidi" w:cs="David"/>
          <w:sz w:val="26"/>
          <w:szCs w:val="26"/>
          <w:rtl/>
        </w:rPr>
        <w:t xml:space="preserve">מוצע לקבוע כי מי אשר במטרה להתחמק מקיום חילופי מידע לשם אכיפת דיני המס של מדינה אחרת, או במטרה לעזור לאדם להתחמק מקיום חילופי מידע כאמור, עושה אחת מאלה, דינו מאסר </w:t>
      </w:r>
      <w:r>
        <w:rPr>
          <w:rFonts w:asciiTheme="minorBidi" w:hAnsiTheme="minorBidi" w:cs="David" w:hint="cs"/>
          <w:sz w:val="26"/>
          <w:szCs w:val="26"/>
          <w:rtl/>
        </w:rPr>
        <w:t xml:space="preserve">שבע שנים </w:t>
      </w:r>
      <w:r w:rsidRPr="00C8684B">
        <w:rPr>
          <w:rFonts w:asciiTheme="minorBidi" w:hAnsiTheme="minorBidi" w:cs="David"/>
          <w:sz w:val="26"/>
          <w:szCs w:val="26"/>
          <w:rtl/>
        </w:rPr>
        <w:t xml:space="preserve">או קנס </w:t>
      </w:r>
      <w:r>
        <w:rPr>
          <w:rFonts w:asciiTheme="minorBidi" w:hAnsiTheme="minorBidi" w:cs="David" w:hint="cs"/>
          <w:sz w:val="26"/>
          <w:szCs w:val="26"/>
          <w:rtl/>
        </w:rPr>
        <w:t xml:space="preserve">כאמור בסעיף 61(א)(4) </w:t>
      </w:r>
      <w:r w:rsidRPr="00C8684B">
        <w:rPr>
          <w:rFonts w:asciiTheme="minorBidi" w:hAnsiTheme="minorBidi" w:cs="David"/>
          <w:sz w:val="26"/>
          <w:szCs w:val="26"/>
          <w:rtl/>
        </w:rPr>
        <w:t xml:space="preserve">או שני העונשים כאחד. </w:t>
      </w:r>
    </w:p>
    <w:p w:rsidR="00FB22DB" w:rsidRPr="00C8684B" w:rsidRDefault="00FB22DB" w:rsidP="00FB22DB">
      <w:pPr>
        <w:pStyle w:val="ac"/>
        <w:widowControl/>
        <w:numPr>
          <w:ilvl w:val="0"/>
          <w:numId w:val="37"/>
        </w:numPr>
        <w:autoSpaceDE/>
        <w:autoSpaceDN/>
        <w:adjustRightInd/>
        <w:spacing w:before="0" w:after="200" w:line="360" w:lineRule="auto"/>
        <w:textAlignment w:val="auto"/>
        <w:rPr>
          <w:rFonts w:asciiTheme="minorBidi" w:hAnsiTheme="minorBidi" w:cs="David"/>
          <w:sz w:val="26"/>
          <w:szCs w:val="26"/>
          <w:rtl/>
        </w:rPr>
      </w:pPr>
      <w:r w:rsidRPr="00C8684B">
        <w:rPr>
          <w:rFonts w:asciiTheme="minorBidi" w:hAnsiTheme="minorBidi" w:cs="David"/>
          <w:sz w:val="26"/>
          <w:szCs w:val="26"/>
          <w:rtl/>
        </w:rPr>
        <w:t xml:space="preserve">לא זיהה פרטים של בעל חשבון במוסד פיננסי ישראלי החייב בדיווח בהתאם להוראות שנקבעו בתקנות לפי סעיף 135ב; </w:t>
      </w:r>
    </w:p>
    <w:p w:rsidR="00FB22DB" w:rsidRPr="00C8684B" w:rsidRDefault="00FB22DB" w:rsidP="00FB22DB">
      <w:pPr>
        <w:pStyle w:val="ac"/>
        <w:widowControl/>
        <w:numPr>
          <w:ilvl w:val="0"/>
          <w:numId w:val="37"/>
        </w:numPr>
        <w:autoSpaceDE/>
        <w:autoSpaceDN/>
        <w:adjustRightInd/>
        <w:spacing w:before="0" w:after="200" w:line="360" w:lineRule="auto"/>
        <w:textAlignment w:val="auto"/>
        <w:rPr>
          <w:rFonts w:asciiTheme="minorBidi" w:hAnsiTheme="minorBidi" w:cs="David"/>
          <w:sz w:val="26"/>
          <w:szCs w:val="26"/>
        </w:rPr>
      </w:pPr>
      <w:r w:rsidRPr="00C8684B">
        <w:rPr>
          <w:rFonts w:asciiTheme="minorBidi" w:hAnsiTheme="minorBidi" w:cs="David"/>
          <w:sz w:val="26"/>
          <w:szCs w:val="26"/>
          <w:rtl/>
        </w:rPr>
        <w:t>השמיט מתוך דו"ח שנערך על פי הפקודה כל מידע שיש לכלול דו"ח;</w:t>
      </w:r>
    </w:p>
    <w:p w:rsidR="00FB22DB" w:rsidRPr="00C8684B" w:rsidRDefault="00FB22DB" w:rsidP="00FB22DB">
      <w:pPr>
        <w:pStyle w:val="ac"/>
        <w:widowControl/>
        <w:numPr>
          <w:ilvl w:val="0"/>
          <w:numId w:val="37"/>
        </w:numPr>
        <w:autoSpaceDE/>
        <w:autoSpaceDN/>
        <w:adjustRightInd/>
        <w:spacing w:before="0" w:after="200" w:line="360" w:lineRule="auto"/>
        <w:textAlignment w:val="auto"/>
        <w:rPr>
          <w:rFonts w:asciiTheme="minorBidi" w:hAnsiTheme="minorBidi" w:cs="David"/>
          <w:sz w:val="26"/>
          <w:szCs w:val="26"/>
        </w:rPr>
      </w:pPr>
      <w:r w:rsidRPr="00C8684B">
        <w:rPr>
          <w:rFonts w:asciiTheme="minorBidi" w:hAnsiTheme="minorBidi" w:cs="David"/>
          <w:sz w:val="26"/>
          <w:szCs w:val="26"/>
          <w:rtl/>
        </w:rPr>
        <w:t>הציג מסמך כוזב למנהל;</w:t>
      </w:r>
    </w:p>
    <w:p w:rsidR="00FB22DB" w:rsidRPr="00C8684B" w:rsidRDefault="00FB22DB" w:rsidP="00FB22DB">
      <w:pPr>
        <w:pStyle w:val="ac"/>
        <w:widowControl/>
        <w:numPr>
          <w:ilvl w:val="0"/>
          <w:numId w:val="37"/>
        </w:numPr>
        <w:autoSpaceDE/>
        <w:autoSpaceDN/>
        <w:adjustRightInd/>
        <w:spacing w:before="0" w:after="200" w:line="360" w:lineRule="auto"/>
        <w:textAlignment w:val="auto"/>
        <w:rPr>
          <w:rFonts w:asciiTheme="minorBidi" w:hAnsiTheme="minorBidi" w:cs="David"/>
          <w:sz w:val="26"/>
          <w:szCs w:val="26"/>
        </w:rPr>
      </w:pPr>
      <w:r w:rsidRPr="00C8684B">
        <w:rPr>
          <w:rFonts w:asciiTheme="minorBidi" w:hAnsiTheme="minorBidi" w:cs="David"/>
          <w:sz w:val="26"/>
          <w:szCs w:val="26"/>
          <w:rtl/>
        </w:rPr>
        <w:t>מסר בדו"ח על פי הפקודה אמרה או תרשומת כוזבת;</w:t>
      </w:r>
    </w:p>
    <w:p w:rsidR="00FB22DB" w:rsidRPr="00C8684B" w:rsidRDefault="00FB22DB" w:rsidP="00FB22DB">
      <w:pPr>
        <w:pStyle w:val="ac"/>
        <w:widowControl/>
        <w:numPr>
          <w:ilvl w:val="0"/>
          <w:numId w:val="37"/>
        </w:numPr>
        <w:autoSpaceDE/>
        <w:autoSpaceDN/>
        <w:adjustRightInd/>
        <w:spacing w:before="0" w:after="200" w:line="360" w:lineRule="auto"/>
        <w:textAlignment w:val="auto"/>
        <w:rPr>
          <w:rFonts w:asciiTheme="minorBidi" w:hAnsiTheme="minorBidi" w:cs="David"/>
          <w:sz w:val="26"/>
          <w:szCs w:val="26"/>
        </w:rPr>
      </w:pPr>
      <w:r w:rsidRPr="00C8684B">
        <w:rPr>
          <w:rFonts w:asciiTheme="minorBidi" w:hAnsiTheme="minorBidi" w:cs="David"/>
          <w:sz w:val="26"/>
          <w:szCs w:val="26"/>
          <w:rtl/>
        </w:rPr>
        <w:t>השיב תשובה כוזבת, בעל פה או בכתב על שאלה שנשאלה או על דרישת ידיעות שנערכה אליו על פי הפקודה;</w:t>
      </w:r>
    </w:p>
    <w:p w:rsidR="00FB22DB" w:rsidRPr="00C8684B" w:rsidRDefault="00FB22DB" w:rsidP="00FB22DB">
      <w:pPr>
        <w:pStyle w:val="ac"/>
        <w:widowControl/>
        <w:numPr>
          <w:ilvl w:val="0"/>
          <w:numId w:val="37"/>
        </w:numPr>
        <w:autoSpaceDE/>
        <w:autoSpaceDN/>
        <w:adjustRightInd/>
        <w:spacing w:before="0" w:after="200" w:line="360" w:lineRule="auto"/>
        <w:textAlignment w:val="auto"/>
        <w:rPr>
          <w:rFonts w:asciiTheme="minorBidi" w:hAnsiTheme="minorBidi" w:cs="David"/>
          <w:sz w:val="26"/>
          <w:szCs w:val="26"/>
        </w:rPr>
      </w:pPr>
      <w:r w:rsidRPr="00C8684B">
        <w:rPr>
          <w:rFonts w:asciiTheme="minorBidi" w:hAnsiTheme="minorBidi" w:cs="David"/>
          <w:sz w:val="26"/>
          <w:szCs w:val="26"/>
          <w:rtl/>
        </w:rPr>
        <w:t>השתמש בכל מרמה, עורמה או תחבולה או הרשה להשתמש בהן.</w:t>
      </w:r>
    </w:p>
    <w:p w:rsidR="00FB22DB" w:rsidRPr="00C8684B" w:rsidRDefault="00FB22DB" w:rsidP="00FB22DB">
      <w:pPr>
        <w:widowControl/>
        <w:autoSpaceDE/>
        <w:autoSpaceDN/>
        <w:adjustRightInd/>
        <w:spacing w:before="0" w:after="200" w:line="360" w:lineRule="auto"/>
        <w:ind w:left="793" w:firstLine="0"/>
        <w:contextualSpacing/>
        <w:textAlignment w:val="auto"/>
        <w:rPr>
          <w:rFonts w:asciiTheme="minorHAnsi" w:eastAsiaTheme="minorHAnsi" w:hAnsiTheme="minorHAnsi" w:cs="David"/>
          <w:color w:val="auto"/>
          <w:spacing w:val="0"/>
          <w:sz w:val="26"/>
          <w:szCs w:val="26"/>
          <w:rtl/>
          <w:lang w:eastAsia="en-US"/>
        </w:rPr>
      </w:pPr>
    </w:p>
    <w:p w:rsidR="00FB22DB" w:rsidRDefault="00FB22DB" w:rsidP="00DD0B44">
      <w:pPr>
        <w:widowControl/>
        <w:autoSpaceDE/>
        <w:autoSpaceDN/>
        <w:adjustRightInd/>
        <w:spacing w:before="0" w:after="200" w:line="360" w:lineRule="auto"/>
        <w:ind w:left="720" w:firstLine="0"/>
        <w:contextualSpacing/>
        <w:textAlignment w:val="auto"/>
        <w:rPr>
          <w:rFonts w:asciiTheme="minorHAnsi" w:eastAsiaTheme="minorHAnsi" w:hAnsiTheme="minorHAnsi" w:cs="David"/>
          <w:b/>
          <w:bCs/>
          <w:color w:val="auto"/>
          <w:spacing w:val="0"/>
          <w:sz w:val="26"/>
          <w:szCs w:val="26"/>
          <w:u w:val="single"/>
          <w:rtl/>
          <w:lang w:eastAsia="en-US"/>
        </w:rPr>
      </w:pPr>
      <w:r w:rsidRPr="00C8684B">
        <w:rPr>
          <w:rFonts w:asciiTheme="minorHAnsi" w:eastAsiaTheme="minorHAnsi" w:hAnsiTheme="minorHAnsi" w:cs="David" w:hint="cs"/>
          <w:b/>
          <w:bCs/>
          <w:color w:val="auto"/>
          <w:spacing w:val="0"/>
          <w:sz w:val="26"/>
          <w:szCs w:val="26"/>
          <w:u w:val="single"/>
          <w:rtl/>
          <w:lang w:eastAsia="en-US"/>
        </w:rPr>
        <w:t xml:space="preserve">לסעיף </w:t>
      </w:r>
      <w:r w:rsidR="00320646">
        <w:rPr>
          <w:rFonts w:asciiTheme="minorHAnsi" w:eastAsiaTheme="minorHAnsi" w:hAnsiTheme="minorHAnsi" w:cs="David" w:hint="cs"/>
          <w:b/>
          <w:bCs/>
          <w:color w:val="auto"/>
          <w:spacing w:val="0"/>
          <w:sz w:val="26"/>
          <w:szCs w:val="26"/>
          <w:u w:val="single"/>
          <w:rtl/>
          <w:lang w:eastAsia="en-US"/>
        </w:rPr>
        <w:t xml:space="preserve">9 </w:t>
      </w:r>
      <w:r w:rsidRPr="00C8684B">
        <w:rPr>
          <w:rFonts w:asciiTheme="minorHAnsi" w:eastAsiaTheme="minorHAnsi" w:hAnsiTheme="minorHAnsi" w:cs="David" w:hint="cs"/>
          <w:b/>
          <w:bCs/>
          <w:color w:val="auto"/>
          <w:spacing w:val="0"/>
          <w:sz w:val="26"/>
          <w:szCs w:val="26"/>
          <w:u w:val="single"/>
          <w:rtl/>
          <w:lang w:eastAsia="en-US"/>
        </w:rPr>
        <w:t xml:space="preserve">- תיקון חוק איסור הלבנת הון </w:t>
      </w:r>
    </w:p>
    <w:p w:rsidR="00FB22DB" w:rsidRPr="00C8684B" w:rsidRDefault="00C3497C" w:rsidP="00C3497C">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lang w:eastAsia="en-US"/>
        </w:rPr>
      </w:pPr>
      <w:r w:rsidRPr="00C3497C">
        <w:rPr>
          <w:rFonts w:asciiTheme="minorHAnsi" w:eastAsiaTheme="minorHAnsi" w:hAnsiTheme="minorHAnsi" w:cs="David" w:hint="cs"/>
          <w:color w:val="auto"/>
          <w:spacing w:val="0"/>
          <w:sz w:val="26"/>
          <w:szCs w:val="26"/>
          <w:rtl/>
          <w:lang w:eastAsia="en-US"/>
        </w:rPr>
        <w:t>על מנת ליישם את ההוראות הקבועות בהסכם פטקא ובסטנדרט לחילופי מידע אוטומטיים, יש להורות למוסדות הפיננסיים לעשות שימוש גם במידע אשר נאסף על ידם לצורך חוק איסור הלבנת הון. לפיכך,</w:t>
      </w:r>
      <w:r>
        <w:rPr>
          <w:rFonts w:asciiTheme="minorHAnsi" w:eastAsiaTheme="minorHAnsi" w:hAnsiTheme="minorHAnsi" w:cs="David" w:hint="cs"/>
          <w:color w:val="auto"/>
          <w:spacing w:val="0"/>
          <w:sz w:val="26"/>
          <w:szCs w:val="26"/>
          <w:rtl/>
          <w:lang w:eastAsia="en-US"/>
        </w:rPr>
        <w:t xml:space="preserve"> </w:t>
      </w:r>
      <w:r w:rsidR="00FB22DB" w:rsidRPr="00C8684B">
        <w:rPr>
          <w:rFonts w:asciiTheme="minorHAnsi" w:eastAsiaTheme="minorHAnsi" w:hAnsiTheme="minorHAnsi" w:cs="David" w:hint="cs"/>
          <w:color w:val="auto"/>
          <w:spacing w:val="0"/>
          <w:sz w:val="26"/>
          <w:szCs w:val="26"/>
          <w:rtl/>
          <w:lang w:eastAsia="en-US"/>
        </w:rPr>
        <w:t xml:space="preserve">מוצע לתקן את חוק איסור הלבנת הון, התש"ס-2000, (להלן </w:t>
      </w:r>
      <w:r w:rsidR="00FB22DB" w:rsidRPr="00C8684B">
        <w:rPr>
          <w:rFonts w:asciiTheme="minorHAnsi" w:eastAsiaTheme="minorHAnsi" w:hAnsiTheme="minorHAnsi" w:cs="David"/>
          <w:color w:val="auto"/>
          <w:spacing w:val="0"/>
          <w:sz w:val="26"/>
          <w:szCs w:val="26"/>
          <w:rtl/>
          <w:lang w:eastAsia="en-US"/>
        </w:rPr>
        <w:t>–</w:t>
      </w:r>
      <w:r w:rsidR="00FB22DB" w:rsidRPr="00C8684B">
        <w:rPr>
          <w:rFonts w:asciiTheme="minorHAnsi" w:eastAsiaTheme="minorHAnsi" w:hAnsiTheme="minorHAnsi" w:cs="David" w:hint="cs"/>
          <w:color w:val="auto"/>
          <w:spacing w:val="0"/>
          <w:sz w:val="26"/>
          <w:szCs w:val="26"/>
          <w:rtl/>
          <w:lang w:eastAsia="en-US"/>
        </w:rPr>
        <w:t xml:space="preserve"> חוק איסור הלבנת הון) כך שייקבע שעל אף האמור בסעיף 31א(א) לחוק איסור הלבנת הון, מוסד פיננסי ישראלי חייב בדיווח שהגיעו אליו פרטי זיהוי לפי פרק ג', תוך כדי מילוי תפקידו או במהלך עבודתו, רשאי לעשות בהם שימוש לצורך קיום הסכם הפטקא או לשם קיום הסכם בינלאומי, ובלבד שנחתם הסכם ליישום ההסכם הבינלאומי המבוסס על הנוהל לחילופי מידע אוטומטיים של חשבונות פיננסיים שפרסם ארגון ה- </w:t>
      </w:r>
      <w:r w:rsidR="00FB22DB" w:rsidRPr="00C8684B">
        <w:rPr>
          <w:rFonts w:asciiTheme="minorHAnsi" w:eastAsiaTheme="minorHAnsi" w:hAnsiTheme="minorHAnsi" w:cs="David"/>
          <w:color w:val="auto"/>
          <w:spacing w:val="0"/>
          <w:sz w:val="26"/>
          <w:szCs w:val="26"/>
          <w:lang w:eastAsia="en-US"/>
        </w:rPr>
        <w:t>OECD</w:t>
      </w:r>
      <w:r w:rsidR="00FB22DB" w:rsidRPr="00C8684B">
        <w:rPr>
          <w:rFonts w:asciiTheme="minorHAnsi" w:eastAsiaTheme="minorHAnsi" w:hAnsiTheme="minorHAnsi" w:cs="David" w:hint="cs"/>
          <w:color w:val="auto"/>
          <w:spacing w:val="0"/>
          <w:sz w:val="26"/>
          <w:szCs w:val="26"/>
          <w:rtl/>
          <w:lang w:eastAsia="en-US"/>
        </w:rPr>
        <w:t xml:space="preserve"> (</w:t>
      </w:r>
      <w:r w:rsidR="00FB22DB" w:rsidRPr="00C8684B">
        <w:rPr>
          <w:rFonts w:asciiTheme="minorHAnsi" w:eastAsiaTheme="minorHAnsi" w:hAnsiTheme="minorHAnsi" w:cs="David"/>
          <w:color w:val="auto"/>
          <w:spacing w:val="0"/>
          <w:sz w:val="26"/>
          <w:szCs w:val="26"/>
          <w:lang w:eastAsia="en-US"/>
        </w:rPr>
        <w:t>Standard for Automatic Exchange of Financial Account Information)</w:t>
      </w:r>
      <w:r w:rsidR="00FB22DB" w:rsidRPr="00C8684B">
        <w:rPr>
          <w:rFonts w:asciiTheme="minorHAnsi" w:eastAsiaTheme="minorHAnsi" w:hAnsiTheme="minorHAnsi" w:cs="David" w:hint="cs"/>
          <w:color w:val="auto"/>
          <w:spacing w:val="0"/>
          <w:sz w:val="26"/>
          <w:szCs w:val="26"/>
          <w:rtl/>
          <w:lang w:eastAsia="en-US"/>
        </w:rPr>
        <w:t xml:space="preserve"> בין מי ששר האוצר הסמיך לחתום על הסכם היישום לבין מי שהוסמך לחתום על הסכם היישום במ</w:t>
      </w:r>
      <w:r>
        <w:rPr>
          <w:rFonts w:asciiTheme="minorHAnsi" w:eastAsiaTheme="minorHAnsi" w:hAnsiTheme="minorHAnsi" w:cs="David" w:hint="cs"/>
          <w:color w:val="auto"/>
          <w:spacing w:val="0"/>
          <w:sz w:val="26"/>
          <w:szCs w:val="26"/>
          <w:rtl/>
          <w:lang w:eastAsia="en-US"/>
        </w:rPr>
        <w:t xml:space="preserve">דינה שעמה נחתם ההסכם הבינלאומי. </w:t>
      </w:r>
    </w:p>
    <w:p w:rsidR="00FB22DB" w:rsidRPr="00C8684B" w:rsidRDefault="00FB22DB" w:rsidP="00FB22DB">
      <w:pPr>
        <w:widowControl/>
        <w:autoSpaceDE/>
        <w:autoSpaceDN/>
        <w:adjustRightInd/>
        <w:spacing w:before="0" w:after="200" w:line="360" w:lineRule="auto"/>
        <w:ind w:left="720" w:firstLine="0"/>
        <w:contextualSpacing/>
        <w:textAlignment w:val="auto"/>
        <w:rPr>
          <w:rFonts w:asciiTheme="minorHAnsi" w:eastAsiaTheme="minorHAnsi" w:hAnsiTheme="minorHAnsi" w:cs="David"/>
          <w:color w:val="auto"/>
          <w:spacing w:val="0"/>
          <w:sz w:val="26"/>
          <w:szCs w:val="26"/>
          <w:rtl/>
          <w:lang w:eastAsia="en-US"/>
        </w:rPr>
      </w:pPr>
    </w:p>
    <w:p w:rsidR="00FB22DB" w:rsidRPr="00A214A4" w:rsidRDefault="00FB22DB" w:rsidP="00FB22DB">
      <w:pPr>
        <w:pStyle w:val="ac"/>
        <w:widowControl/>
        <w:numPr>
          <w:ilvl w:val="0"/>
          <w:numId w:val="36"/>
        </w:numPr>
        <w:tabs>
          <w:tab w:val="left" w:pos="425"/>
        </w:tabs>
        <w:autoSpaceDE/>
        <w:autoSpaceDN/>
        <w:adjustRightInd/>
        <w:spacing w:before="0" w:after="200" w:line="360" w:lineRule="auto"/>
        <w:ind w:left="0" w:firstLine="0"/>
        <w:textAlignment w:val="auto"/>
        <w:rPr>
          <w:rFonts w:asciiTheme="minorHAnsi" w:eastAsiaTheme="minorHAnsi" w:hAnsiTheme="minorHAnsi" w:cs="David"/>
          <w:b/>
          <w:bCs/>
          <w:color w:val="auto"/>
          <w:spacing w:val="0"/>
          <w:sz w:val="26"/>
          <w:szCs w:val="26"/>
          <w:u w:val="single"/>
          <w:rtl/>
          <w:lang w:eastAsia="en-US"/>
        </w:rPr>
      </w:pPr>
      <w:r w:rsidRPr="00A214A4">
        <w:rPr>
          <w:rFonts w:asciiTheme="minorHAnsi" w:eastAsiaTheme="minorHAnsi" w:hAnsiTheme="minorHAnsi" w:cs="David" w:hint="cs"/>
          <w:b/>
          <w:bCs/>
          <w:color w:val="auto"/>
          <w:spacing w:val="0"/>
          <w:sz w:val="26"/>
          <w:szCs w:val="26"/>
          <w:u w:val="single"/>
          <w:rtl/>
          <w:lang w:eastAsia="en-US"/>
        </w:rPr>
        <w:t>השפעת החוק המוצע על תקציב המדינה</w:t>
      </w:r>
    </w:p>
    <w:p w:rsidR="00FB22DB" w:rsidRPr="00C8684B" w:rsidRDefault="00FB22DB" w:rsidP="00FB22DB">
      <w:pPr>
        <w:widowControl/>
        <w:autoSpaceDE/>
        <w:autoSpaceDN/>
        <w:adjustRightInd/>
        <w:spacing w:before="0" w:after="200" w:line="360" w:lineRule="auto"/>
        <w:ind w:firstLine="0"/>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color w:val="auto"/>
          <w:spacing w:val="0"/>
          <w:sz w:val="26"/>
          <w:szCs w:val="26"/>
          <w:rtl/>
          <w:lang w:eastAsia="en-US"/>
        </w:rPr>
        <w:t xml:space="preserve">היעדר דיווח של תושבי ישראל אודות הכנסות שהפיקו בחו"ל ואי תשלום מס בגין הכנסות אלה מביא לאבדן הכנסות ממסים. מטבע הדברים קיים קושי רב לאמוד את ההיקף ההכנסות הבלתי מדווחות </w:t>
      </w:r>
      <w:r w:rsidRPr="00C8684B">
        <w:rPr>
          <w:rFonts w:asciiTheme="minorHAnsi" w:eastAsiaTheme="minorHAnsi" w:hAnsiTheme="minorHAnsi" w:cs="David" w:hint="cs"/>
          <w:color w:val="auto"/>
          <w:spacing w:val="0"/>
          <w:sz w:val="26"/>
          <w:szCs w:val="26"/>
          <w:rtl/>
          <w:lang w:eastAsia="en-US"/>
        </w:rPr>
        <w:lastRenderedPageBreak/>
        <w:t>כאמור, אבל ההנחה היא כי מדובר בהיקפים משמעותיים. הגדלת היקף חילופי המידע  אודות פעילות פיננסית של תושבי ישראל בחו"ל צפויה להביא להגדלת הכנסות המדינה ממסים, הן בשל הסיוע באכיפה כלפי תושבי ישראל המעלימים הכנסות בחו"ל והן בשל האלמנט ההרתעתי הגלום בהם.</w:t>
      </w:r>
    </w:p>
    <w:p w:rsidR="00FB22DB" w:rsidRDefault="00FB22DB" w:rsidP="00FB22DB">
      <w:pPr>
        <w:widowControl/>
        <w:autoSpaceDE/>
        <w:autoSpaceDN/>
        <w:adjustRightInd/>
        <w:spacing w:before="0" w:after="200" w:line="360" w:lineRule="auto"/>
        <w:ind w:firstLine="0"/>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color w:val="auto"/>
          <w:spacing w:val="0"/>
          <w:sz w:val="26"/>
          <w:szCs w:val="26"/>
          <w:rtl/>
          <w:lang w:eastAsia="en-US"/>
        </w:rPr>
        <w:t xml:space="preserve">בנוסף, בחירה של מדינת ישראל שלא ליישם חילופי מידע עם ארצות הברית ועם מדינות נוספות בהתאם לסטנדרטים המקובלים עשויות להסב למשק המדינה נזקים כבדים, הן בשל הסנקציות שיופעלו כלפי המוסדות הפיננסיים הישראליים באמצעות מוסדות פיננסיים זרים והן בשל הפסקת שיתופי הפעולה של גופים בינלאומיים (דוגמת ה </w:t>
      </w:r>
      <w:r w:rsidRPr="00C8684B">
        <w:rPr>
          <w:rFonts w:asciiTheme="minorHAnsi" w:eastAsiaTheme="minorHAnsi" w:hAnsiTheme="minorHAnsi" w:cs="David"/>
          <w:color w:val="auto"/>
          <w:spacing w:val="0"/>
          <w:sz w:val="26"/>
          <w:szCs w:val="26"/>
          <w:lang w:eastAsia="en-US"/>
        </w:rPr>
        <w:t>EBRD  -</w:t>
      </w:r>
      <w:r w:rsidRPr="00C8684B">
        <w:rPr>
          <w:rFonts w:asciiTheme="minorHAnsi" w:eastAsiaTheme="minorHAnsi" w:hAnsiTheme="minorHAnsi" w:cs="David" w:hint="cs"/>
          <w:color w:val="auto"/>
          <w:spacing w:val="0"/>
          <w:sz w:val="26"/>
          <w:szCs w:val="26"/>
          <w:rtl/>
          <w:lang w:eastAsia="en-US"/>
        </w:rPr>
        <w:t xml:space="preserve"> והבנק העולמי). </w:t>
      </w:r>
    </w:p>
    <w:p w:rsidR="00FB22DB" w:rsidRPr="00A214A4" w:rsidRDefault="00FB22DB" w:rsidP="00FB22DB">
      <w:pPr>
        <w:pStyle w:val="ac"/>
        <w:widowControl/>
        <w:numPr>
          <w:ilvl w:val="0"/>
          <w:numId w:val="36"/>
        </w:numPr>
        <w:tabs>
          <w:tab w:val="left" w:pos="425"/>
        </w:tabs>
        <w:autoSpaceDE/>
        <w:autoSpaceDN/>
        <w:adjustRightInd/>
        <w:spacing w:before="0" w:after="200" w:line="360" w:lineRule="auto"/>
        <w:ind w:left="0" w:firstLine="0"/>
        <w:textAlignment w:val="auto"/>
        <w:rPr>
          <w:rFonts w:asciiTheme="minorHAnsi" w:eastAsiaTheme="minorHAnsi" w:hAnsiTheme="minorHAnsi" w:cs="David"/>
          <w:b/>
          <w:bCs/>
          <w:color w:val="auto"/>
          <w:spacing w:val="0"/>
          <w:sz w:val="26"/>
          <w:szCs w:val="26"/>
          <w:u w:val="single"/>
          <w:rtl/>
          <w:lang w:eastAsia="en-US"/>
        </w:rPr>
      </w:pPr>
      <w:r w:rsidRPr="00A214A4">
        <w:rPr>
          <w:rFonts w:asciiTheme="minorHAnsi" w:eastAsiaTheme="minorHAnsi" w:hAnsiTheme="minorHAnsi" w:cs="David" w:hint="cs"/>
          <w:b/>
          <w:bCs/>
          <w:color w:val="auto"/>
          <w:spacing w:val="0"/>
          <w:sz w:val="26"/>
          <w:szCs w:val="26"/>
          <w:u w:val="single"/>
          <w:rtl/>
          <w:lang w:eastAsia="en-US"/>
        </w:rPr>
        <w:t>השפעת החוק המוצע על התקן המינהלי</w:t>
      </w:r>
    </w:p>
    <w:p w:rsidR="00FB22DB" w:rsidRPr="00C8684B" w:rsidRDefault="00FB22DB" w:rsidP="00C118D0">
      <w:pPr>
        <w:widowControl/>
        <w:autoSpaceDE/>
        <w:autoSpaceDN/>
        <w:adjustRightInd/>
        <w:spacing w:before="0" w:after="200" w:line="360" w:lineRule="auto"/>
        <w:ind w:firstLine="0"/>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color w:val="auto"/>
          <w:spacing w:val="0"/>
          <w:sz w:val="26"/>
          <w:szCs w:val="26"/>
          <w:rtl/>
          <w:lang w:eastAsia="en-US"/>
        </w:rPr>
        <w:t xml:space="preserve">יהיה צורך להוסיף כוח אדם למחלקה למיסוי בינלאומי בחטיבה המקצועית של רשות המסים אשר הנה הרשות המוסמכת ליישום חילופי מידע בין מדינות. חטיבות נוספות ברשות המסים (משפטית ושע"מ) מטפלות אף הן בנושא ויידרש להן תגבור </w:t>
      </w:r>
      <w:r w:rsidR="00C118D0">
        <w:rPr>
          <w:rFonts w:asciiTheme="minorHAnsi" w:eastAsiaTheme="minorHAnsi" w:hAnsiTheme="minorHAnsi" w:cs="David" w:hint="cs"/>
          <w:color w:val="auto"/>
          <w:spacing w:val="0"/>
          <w:sz w:val="26"/>
          <w:szCs w:val="26"/>
          <w:rtl/>
          <w:lang w:eastAsia="en-US"/>
        </w:rPr>
        <w:t>ב</w:t>
      </w:r>
      <w:r w:rsidRPr="00C8684B">
        <w:rPr>
          <w:rFonts w:asciiTheme="minorHAnsi" w:eastAsiaTheme="minorHAnsi" w:hAnsiTheme="minorHAnsi" w:cs="David" w:hint="cs"/>
          <w:color w:val="auto"/>
          <w:spacing w:val="0"/>
          <w:sz w:val="26"/>
          <w:szCs w:val="26"/>
          <w:rtl/>
          <w:lang w:eastAsia="en-US"/>
        </w:rPr>
        <w:t xml:space="preserve">כוח </w:t>
      </w:r>
      <w:r w:rsidR="00C118D0">
        <w:rPr>
          <w:rFonts w:asciiTheme="minorHAnsi" w:eastAsiaTheme="minorHAnsi" w:hAnsiTheme="minorHAnsi" w:cs="David" w:hint="cs"/>
          <w:color w:val="auto"/>
          <w:spacing w:val="0"/>
          <w:sz w:val="26"/>
          <w:szCs w:val="26"/>
          <w:rtl/>
          <w:lang w:eastAsia="en-US"/>
        </w:rPr>
        <w:t>ה</w:t>
      </w:r>
      <w:r w:rsidRPr="00C8684B">
        <w:rPr>
          <w:rFonts w:asciiTheme="minorHAnsi" w:eastAsiaTheme="minorHAnsi" w:hAnsiTheme="minorHAnsi" w:cs="David" w:hint="cs"/>
          <w:color w:val="auto"/>
          <w:spacing w:val="0"/>
          <w:sz w:val="26"/>
          <w:szCs w:val="26"/>
          <w:rtl/>
          <w:lang w:eastAsia="en-US"/>
        </w:rPr>
        <w:t>אדם. כמו כן י</w:t>
      </w:r>
      <w:r w:rsidR="00C118D0">
        <w:rPr>
          <w:rFonts w:asciiTheme="minorHAnsi" w:eastAsiaTheme="minorHAnsi" w:hAnsiTheme="minorHAnsi" w:cs="David" w:hint="cs"/>
          <w:color w:val="auto"/>
          <w:spacing w:val="0"/>
          <w:sz w:val="26"/>
          <w:szCs w:val="26"/>
          <w:rtl/>
          <w:lang w:eastAsia="en-US"/>
        </w:rPr>
        <w:t>י</w:t>
      </w:r>
      <w:r w:rsidRPr="00C8684B">
        <w:rPr>
          <w:rFonts w:asciiTheme="minorHAnsi" w:eastAsiaTheme="minorHAnsi" w:hAnsiTheme="minorHAnsi" w:cs="David" w:hint="cs"/>
          <w:color w:val="auto"/>
          <w:spacing w:val="0"/>
          <w:sz w:val="26"/>
          <w:szCs w:val="26"/>
          <w:rtl/>
          <w:lang w:eastAsia="en-US"/>
        </w:rPr>
        <w:t>דרש כ</w:t>
      </w:r>
      <w:r w:rsidR="00C118D0">
        <w:rPr>
          <w:rFonts w:asciiTheme="minorHAnsi" w:eastAsiaTheme="minorHAnsi" w:hAnsiTheme="minorHAnsi" w:cs="David" w:hint="cs"/>
          <w:color w:val="auto"/>
          <w:spacing w:val="0"/>
          <w:sz w:val="26"/>
          <w:szCs w:val="26"/>
          <w:rtl/>
          <w:lang w:eastAsia="en-US"/>
        </w:rPr>
        <w:t>ו</w:t>
      </w:r>
      <w:r w:rsidRPr="00C8684B">
        <w:rPr>
          <w:rFonts w:asciiTheme="minorHAnsi" w:eastAsiaTheme="minorHAnsi" w:hAnsiTheme="minorHAnsi" w:cs="David" w:hint="cs"/>
          <w:color w:val="auto"/>
          <w:spacing w:val="0"/>
          <w:sz w:val="26"/>
          <w:szCs w:val="26"/>
          <w:rtl/>
          <w:lang w:eastAsia="en-US"/>
        </w:rPr>
        <w:t xml:space="preserve">ח אדם נוסף להפעלת המערכות הטכניות שידרשו לשם קליטת מידע, מיונו ושליחתו. </w:t>
      </w:r>
    </w:p>
    <w:p w:rsidR="00FB22DB" w:rsidRPr="00A214A4" w:rsidRDefault="00FB22DB" w:rsidP="00FB22DB">
      <w:pPr>
        <w:pStyle w:val="ac"/>
        <w:widowControl/>
        <w:numPr>
          <w:ilvl w:val="0"/>
          <w:numId w:val="36"/>
        </w:numPr>
        <w:tabs>
          <w:tab w:val="left" w:pos="425"/>
        </w:tabs>
        <w:autoSpaceDE/>
        <w:autoSpaceDN/>
        <w:adjustRightInd/>
        <w:spacing w:before="0" w:after="200" w:line="360" w:lineRule="auto"/>
        <w:ind w:left="0" w:firstLine="0"/>
        <w:textAlignment w:val="auto"/>
        <w:rPr>
          <w:rFonts w:asciiTheme="minorHAnsi" w:eastAsiaTheme="minorHAnsi" w:hAnsiTheme="minorHAnsi" w:cs="David"/>
          <w:b/>
          <w:bCs/>
          <w:color w:val="auto"/>
          <w:spacing w:val="0"/>
          <w:sz w:val="26"/>
          <w:szCs w:val="26"/>
          <w:u w:val="single"/>
          <w:rtl/>
          <w:lang w:eastAsia="en-US"/>
        </w:rPr>
      </w:pPr>
      <w:r w:rsidRPr="00A214A4">
        <w:rPr>
          <w:rFonts w:asciiTheme="minorHAnsi" w:eastAsiaTheme="minorHAnsi" w:hAnsiTheme="minorHAnsi" w:cs="David" w:hint="cs"/>
          <w:b/>
          <w:bCs/>
          <w:color w:val="auto"/>
          <w:spacing w:val="0"/>
          <w:sz w:val="26"/>
          <w:szCs w:val="26"/>
          <w:u w:val="single"/>
          <w:rtl/>
          <w:lang w:eastAsia="en-US"/>
        </w:rPr>
        <w:t>השפעת החוק המוצע על החוק הקיים</w:t>
      </w:r>
    </w:p>
    <w:p w:rsidR="00FB22DB" w:rsidRPr="00C8684B" w:rsidRDefault="00FB22DB" w:rsidP="00FB22DB">
      <w:pPr>
        <w:widowControl/>
        <w:autoSpaceDE/>
        <w:autoSpaceDN/>
        <w:adjustRightInd/>
        <w:spacing w:before="0" w:after="200" w:line="360" w:lineRule="auto"/>
        <w:ind w:firstLine="0"/>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color w:val="auto"/>
          <w:spacing w:val="0"/>
          <w:sz w:val="26"/>
          <w:szCs w:val="26"/>
          <w:rtl/>
          <w:lang w:eastAsia="en-US"/>
        </w:rPr>
        <w:t>תיקון פקודת מס הכנסה [נוסח חדש], התשכ"א-1961.</w:t>
      </w:r>
    </w:p>
    <w:p w:rsidR="00FB22DB" w:rsidRPr="00C8684B" w:rsidRDefault="00FB22DB" w:rsidP="00FB22DB">
      <w:pPr>
        <w:widowControl/>
        <w:autoSpaceDE/>
        <w:autoSpaceDN/>
        <w:adjustRightInd/>
        <w:spacing w:before="0" w:after="200" w:line="360" w:lineRule="auto"/>
        <w:ind w:firstLine="0"/>
        <w:textAlignment w:val="auto"/>
        <w:rPr>
          <w:rFonts w:asciiTheme="minorHAnsi" w:eastAsiaTheme="minorHAnsi" w:hAnsiTheme="minorHAnsi" w:cs="David"/>
          <w:color w:val="auto"/>
          <w:spacing w:val="0"/>
          <w:sz w:val="26"/>
          <w:szCs w:val="26"/>
          <w:rtl/>
          <w:lang w:eastAsia="en-US"/>
        </w:rPr>
      </w:pPr>
      <w:r w:rsidRPr="00C8684B">
        <w:rPr>
          <w:rFonts w:asciiTheme="minorHAnsi" w:eastAsiaTheme="minorHAnsi" w:hAnsiTheme="minorHAnsi" w:cs="David" w:hint="cs"/>
          <w:color w:val="auto"/>
          <w:spacing w:val="0"/>
          <w:sz w:val="26"/>
          <w:szCs w:val="26"/>
          <w:rtl/>
          <w:lang w:eastAsia="en-US"/>
        </w:rPr>
        <w:t xml:space="preserve">תיקון חוק איסור הלבנת הון, התש"ס 2000. </w:t>
      </w:r>
    </w:p>
    <w:p w:rsidR="00FB22DB" w:rsidRPr="00C8684B" w:rsidRDefault="00FB22DB" w:rsidP="00FB22DB">
      <w:pPr>
        <w:widowControl/>
        <w:autoSpaceDE/>
        <w:autoSpaceDN/>
        <w:adjustRightInd/>
        <w:spacing w:before="0" w:after="200" w:line="360" w:lineRule="auto"/>
        <w:ind w:firstLine="0"/>
        <w:textAlignment w:val="auto"/>
        <w:rPr>
          <w:rFonts w:asciiTheme="minorHAnsi" w:eastAsiaTheme="minorHAnsi" w:hAnsiTheme="minorHAnsi" w:cs="David"/>
          <w:color w:val="auto"/>
          <w:spacing w:val="0"/>
          <w:sz w:val="26"/>
          <w:szCs w:val="26"/>
          <w:lang w:eastAsia="en-US"/>
        </w:rPr>
      </w:pPr>
      <w:r w:rsidRPr="00C8684B">
        <w:rPr>
          <w:rFonts w:asciiTheme="minorHAnsi" w:eastAsiaTheme="minorHAnsi" w:hAnsiTheme="minorHAnsi" w:cs="David" w:hint="cs"/>
          <w:color w:val="auto"/>
          <w:spacing w:val="0"/>
          <w:sz w:val="26"/>
          <w:szCs w:val="26"/>
          <w:rtl/>
          <w:lang w:eastAsia="en-US"/>
        </w:rPr>
        <w:t xml:space="preserve"> </w:t>
      </w:r>
    </w:p>
    <w:p w:rsidR="00FB22DB" w:rsidRPr="00A214A4" w:rsidRDefault="00FB22DB" w:rsidP="00FB22DB">
      <w:pPr>
        <w:pStyle w:val="HeadMitparsemetBaze"/>
        <w:keepNext w:val="0"/>
        <w:keepLines w:val="0"/>
        <w:pageBreakBefore w:val="0"/>
        <w:numPr>
          <w:ilvl w:val="0"/>
          <w:numId w:val="36"/>
        </w:numPr>
        <w:ind w:left="283" w:hanging="283"/>
        <w:rPr>
          <w:sz w:val="26"/>
          <w:u w:val="single"/>
          <w:rtl/>
        </w:rPr>
      </w:pPr>
      <w:r w:rsidRPr="00A214A4">
        <w:rPr>
          <w:rFonts w:hint="cs"/>
          <w:sz w:val="26"/>
          <w:u w:val="single"/>
          <w:rtl/>
        </w:rPr>
        <w:t>להלן החוק המוצע:</w:t>
      </w:r>
    </w:p>
    <w:p w:rsidR="00FB22DB" w:rsidRPr="00C8684B" w:rsidRDefault="00FB22DB" w:rsidP="00FB22DB">
      <w:pPr>
        <w:pStyle w:val="HeadHatzaotHok"/>
        <w:keepNext w:val="0"/>
        <w:keepLines w:val="0"/>
        <w:rPr>
          <w:sz w:val="26"/>
          <w:rtl/>
        </w:rPr>
      </w:pPr>
      <w:r w:rsidRPr="00C8684B">
        <w:rPr>
          <w:sz w:val="26"/>
          <w:rtl/>
        </w:rPr>
        <w:t>הצעת חו</w:t>
      </w:r>
      <w:r w:rsidRPr="00C8684B">
        <w:rPr>
          <w:rFonts w:hint="cs"/>
          <w:sz w:val="26"/>
          <w:rtl/>
        </w:rPr>
        <w:t>ק לתיקון פקודת מס הכנסה (תיקון מס'...)התשע"ה-2015</w:t>
      </w:r>
    </w:p>
    <w:tbl>
      <w:tblPr>
        <w:bidiVisual/>
        <w:tblW w:w="9641" w:type="dxa"/>
        <w:tblLayout w:type="fixed"/>
        <w:tblCellMar>
          <w:top w:w="57" w:type="dxa"/>
          <w:left w:w="0" w:type="dxa"/>
          <w:bottom w:w="57" w:type="dxa"/>
          <w:right w:w="0" w:type="dxa"/>
        </w:tblCellMar>
        <w:tblLook w:val="01E0"/>
      </w:tblPr>
      <w:tblGrid>
        <w:gridCol w:w="1871"/>
        <w:gridCol w:w="624"/>
        <w:gridCol w:w="1048"/>
        <w:gridCol w:w="200"/>
        <w:gridCol w:w="226"/>
        <w:gridCol w:w="283"/>
        <w:gridCol w:w="29"/>
        <w:gridCol w:w="255"/>
        <w:gridCol w:w="141"/>
        <w:gridCol w:w="142"/>
        <w:gridCol w:w="284"/>
        <w:gridCol w:w="283"/>
        <w:gridCol w:w="4255"/>
      </w:tblGrid>
      <w:tr w:rsidR="00FB22DB" w:rsidRPr="00C8684B" w:rsidTr="00C118D0">
        <w:trPr>
          <w:cantSplit/>
          <w:trHeight w:val="60"/>
        </w:trPr>
        <w:tc>
          <w:tcPr>
            <w:tcW w:w="1871" w:type="dxa"/>
            <w:shd w:val="clear" w:color="auto" w:fill="auto"/>
          </w:tcPr>
          <w:p w:rsidR="00FB22DB" w:rsidRPr="00C8684B" w:rsidRDefault="00FB22DB" w:rsidP="00DD0B44">
            <w:pPr>
              <w:pStyle w:val="TableSideHeading"/>
              <w:keepLines w:val="0"/>
              <w:rPr>
                <w:sz w:val="26"/>
              </w:rPr>
            </w:pPr>
            <w:r w:rsidRPr="00C8684B">
              <w:rPr>
                <w:rFonts w:hint="cs"/>
                <w:sz w:val="26"/>
                <w:rtl/>
              </w:rPr>
              <w:t>הוספת סעיף 135ב</w:t>
            </w:r>
          </w:p>
        </w:tc>
        <w:tc>
          <w:tcPr>
            <w:tcW w:w="624" w:type="dxa"/>
            <w:shd w:val="clear" w:color="auto" w:fill="auto"/>
          </w:tcPr>
          <w:p w:rsidR="00FB22DB" w:rsidRPr="00C8684B" w:rsidRDefault="00FB22DB" w:rsidP="00DD0B44">
            <w:pPr>
              <w:pStyle w:val="TableText"/>
              <w:keepLines w:val="0"/>
              <w:numPr>
                <w:ilvl w:val="0"/>
                <w:numId w:val="1"/>
              </w:numPr>
              <w:rPr>
                <w:sz w:val="26"/>
              </w:rPr>
            </w:pPr>
          </w:p>
        </w:tc>
        <w:tc>
          <w:tcPr>
            <w:tcW w:w="7146" w:type="dxa"/>
            <w:gridSpan w:val="11"/>
            <w:shd w:val="clear" w:color="auto" w:fill="auto"/>
          </w:tcPr>
          <w:p w:rsidR="00FB22DB" w:rsidRPr="00C8684B" w:rsidRDefault="00FB22DB" w:rsidP="00DD0B44">
            <w:pPr>
              <w:pStyle w:val="TableBlock"/>
              <w:keepLines w:val="0"/>
              <w:rPr>
                <w:sz w:val="26"/>
              </w:rPr>
            </w:pPr>
            <w:r w:rsidRPr="00C8684B">
              <w:rPr>
                <w:rFonts w:hint="cs"/>
                <w:sz w:val="26"/>
                <w:rtl/>
              </w:rPr>
              <w:t>אחרי סעיף 135א לפקודה יבוא:</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keepLines w:val="0"/>
              <w:rPr>
                <w:sz w:val="26"/>
                <w:rtl/>
              </w:rPr>
            </w:pPr>
          </w:p>
        </w:tc>
        <w:tc>
          <w:tcPr>
            <w:tcW w:w="624" w:type="dxa"/>
            <w:shd w:val="clear" w:color="auto" w:fill="auto"/>
          </w:tcPr>
          <w:p w:rsidR="00FB22DB" w:rsidRPr="00C8684B" w:rsidRDefault="00FB22DB" w:rsidP="00DD0B44">
            <w:pPr>
              <w:pStyle w:val="TableText"/>
              <w:rPr>
                <w:sz w:val="26"/>
              </w:rPr>
            </w:pPr>
          </w:p>
        </w:tc>
        <w:tc>
          <w:tcPr>
            <w:tcW w:w="1757" w:type="dxa"/>
            <w:gridSpan w:val="4"/>
            <w:shd w:val="clear" w:color="auto" w:fill="auto"/>
          </w:tcPr>
          <w:p w:rsidR="00FB22DB" w:rsidRPr="00C8684B" w:rsidRDefault="00FB22DB" w:rsidP="00DD0B44">
            <w:pPr>
              <w:pStyle w:val="TableBlock"/>
              <w:keepLines w:val="0"/>
              <w:jc w:val="left"/>
              <w:rPr>
                <w:sz w:val="26"/>
                <w:rtl/>
              </w:rPr>
            </w:pPr>
            <w:r w:rsidRPr="00C8684B">
              <w:rPr>
                <w:rFonts w:hint="cs"/>
                <w:sz w:val="26"/>
                <w:rtl/>
              </w:rPr>
              <w:t xml:space="preserve">"דרישת מידע </w:t>
            </w:r>
          </w:p>
          <w:p w:rsidR="00FB22DB" w:rsidRPr="00C8684B" w:rsidRDefault="00FB22DB" w:rsidP="00DD0B44">
            <w:pPr>
              <w:pStyle w:val="TableBlock"/>
              <w:keepLines w:val="0"/>
              <w:jc w:val="left"/>
              <w:rPr>
                <w:sz w:val="26"/>
                <w:rtl/>
              </w:rPr>
            </w:pPr>
            <w:r w:rsidRPr="00C8684B">
              <w:rPr>
                <w:rFonts w:hint="cs"/>
                <w:sz w:val="26"/>
                <w:rtl/>
              </w:rPr>
              <w:t>ממוסד פיננסי</w:t>
            </w:r>
          </w:p>
        </w:tc>
        <w:tc>
          <w:tcPr>
            <w:tcW w:w="567" w:type="dxa"/>
            <w:gridSpan w:val="4"/>
            <w:shd w:val="clear" w:color="auto" w:fill="auto"/>
          </w:tcPr>
          <w:p w:rsidR="00FB22DB" w:rsidRPr="00C8684B" w:rsidRDefault="00FB22DB" w:rsidP="00DD0B44">
            <w:pPr>
              <w:pStyle w:val="TableBlock"/>
              <w:keepLines w:val="0"/>
              <w:rPr>
                <w:sz w:val="26"/>
                <w:rtl/>
              </w:rPr>
            </w:pPr>
            <w:r w:rsidRPr="00C8684B">
              <w:rPr>
                <w:rFonts w:hint="cs"/>
                <w:sz w:val="26"/>
                <w:rtl/>
              </w:rPr>
              <w:t>135ב.</w:t>
            </w:r>
          </w:p>
        </w:tc>
        <w:tc>
          <w:tcPr>
            <w:tcW w:w="4822" w:type="dxa"/>
            <w:gridSpan w:val="3"/>
            <w:shd w:val="clear" w:color="auto" w:fill="auto"/>
          </w:tcPr>
          <w:p w:rsidR="00FB22DB" w:rsidRPr="00C8684B" w:rsidRDefault="00FB22DB" w:rsidP="00DD0B44">
            <w:pPr>
              <w:pStyle w:val="TableBlock"/>
              <w:numPr>
                <w:ilvl w:val="0"/>
                <w:numId w:val="2"/>
              </w:numPr>
              <w:tabs>
                <w:tab w:val="left" w:pos="624"/>
              </w:tabs>
              <w:rPr>
                <w:sz w:val="26"/>
                <w:rtl/>
              </w:rPr>
            </w:pPr>
            <w:r w:rsidRPr="00C8684B">
              <w:rPr>
                <w:rFonts w:hint="cs"/>
                <w:sz w:val="26"/>
                <w:rtl/>
              </w:rPr>
              <w:t>בסעיף זה -</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keepLines w:val="0"/>
              <w:rPr>
                <w:sz w:val="26"/>
                <w:rtl/>
              </w:rPr>
            </w:pPr>
          </w:p>
        </w:tc>
        <w:tc>
          <w:tcPr>
            <w:tcW w:w="624" w:type="dxa"/>
            <w:shd w:val="clear" w:color="auto" w:fill="auto"/>
          </w:tcPr>
          <w:p w:rsidR="00FB22DB" w:rsidRPr="00C8684B" w:rsidRDefault="00FB22DB" w:rsidP="00DD0B44">
            <w:pPr>
              <w:pStyle w:val="TableText"/>
              <w:rPr>
                <w:sz w:val="26"/>
              </w:rPr>
            </w:pPr>
          </w:p>
        </w:tc>
        <w:tc>
          <w:tcPr>
            <w:tcW w:w="1757" w:type="dxa"/>
            <w:gridSpan w:val="4"/>
            <w:shd w:val="clear" w:color="auto" w:fill="auto"/>
          </w:tcPr>
          <w:p w:rsidR="00FB22DB" w:rsidRPr="00C8684B" w:rsidRDefault="00FB22DB" w:rsidP="00DD0B44">
            <w:pPr>
              <w:pStyle w:val="TableBlock"/>
              <w:keepLines w:val="0"/>
              <w:jc w:val="left"/>
              <w:rPr>
                <w:sz w:val="26"/>
                <w:rtl/>
              </w:rPr>
            </w:pPr>
          </w:p>
        </w:tc>
        <w:tc>
          <w:tcPr>
            <w:tcW w:w="567" w:type="dxa"/>
            <w:gridSpan w:val="4"/>
            <w:shd w:val="clear" w:color="auto" w:fill="auto"/>
          </w:tcPr>
          <w:p w:rsidR="00FB22DB" w:rsidRPr="00C8684B" w:rsidRDefault="00FB22DB" w:rsidP="00DD0B44">
            <w:pPr>
              <w:pStyle w:val="TableBlock"/>
              <w:keepLines w:val="0"/>
              <w:rPr>
                <w:sz w:val="26"/>
                <w:rtl/>
              </w:rPr>
            </w:pPr>
          </w:p>
        </w:tc>
        <w:tc>
          <w:tcPr>
            <w:tcW w:w="4822" w:type="dxa"/>
            <w:gridSpan w:val="3"/>
            <w:shd w:val="clear" w:color="auto" w:fill="auto"/>
          </w:tcPr>
          <w:p w:rsidR="00FB22DB" w:rsidRPr="00C8684B" w:rsidRDefault="00FB22DB" w:rsidP="00DD0B44">
            <w:pPr>
              <w:pStyle w:val="TableBlock"/>
              <w:tabs>
                <w:tab w:val="clear" w:pos="624"/>
              </w:tabs>
              <w:rPr>
                <w:sz w:val="26"/>
                <w:rtl/>
              </w:rPr>
            </w:pPr>
            <w:r w:rsidRPr="00C8684B">
              <w:rPr>
                <w:rFonts w:hint="cs"/>
                <w:b/>
                <w:bCs/>
                <w:sz w:val="26"/>
                <w:rtl/>
              </w:rPr>
              <w:t xml:space="preserve">"בעל חשבון" – </w:t>
            </w:r>
            <w:r w:rsidRPr="00C8684B">
              <w:rPr>
                <w:rFonts w:hint="cs"/>
                <w:sz w:val="26"/>
                <w:rtl/>
              </w:rPr>
              <w:t>אדם הרשום במוסד פיננסי ישראלי  אשר בו מוחזק חשבון כבעל החשבון או אדם המזוהה על ידי המוסד הפיננסי הישראלי כבעל החשבון. לעניין זה לא יראו כבעל החשבון אדם, שאינו מוסד פיננסי, המחזיק בחשבון פיננסי של אדם אחר או לטובתו של אדם אחר, ויראו את האדם האחר כבעל החשבון האמור;</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keepLines w:val="0"/>
              <w:rPr>
                <w:sz w:val="26"/>
                <w:rtl/>
              </w:rPr>
            </w:pPr>
          </w:p>
        </w:tc>
        <w:tc>
          <w:tcPr>
            <w:tcW w:w="624" w:type="dxa"/>
            <w:shd w:val="clear" w:color="auto" w:fill="auto"/>
          </w:tcPr>
          <w:p w:rsidR="00FB22DB" w:rsidRPr="00C8684B" w:rsidRDefault="00FB22DB" w:rsidP="00DD0B44">
            <w:pPr>
              <w:pStyle w:val="TableText"/>
              <w:rPr>
                <w:sz w:val="26"/>
              </w:rPr>
            </w:pPr>
          </w:p>
        </w:tc>
        <w:tc>
          <w:tcPr>
            <w:tcW w:w="1757" w:type="dxa"/>
            <w:gridSpan w:val="4"/>
            <w:shd w:val="clear" w:color="auto" w:fill="auto"/>
          </w:tcPr>
          <w:p w:rsidR="00FB22DB" w:rsidRPr="00C8684B" w:rsidRDefault="00FB22DB" w:rsidP="00DD0B44">
            <w:pPr>
              <w:pStyle w:val="TableBlock"/>
              <w:keepLines w:val="0"/>
              <w:jc w:val="left"/>
              <w:rPr>
                <w:sz w:val="26"/>
                <w:rtl/>
              </w:rPr>
            </w:pPr>
          </w:p>
        </w:tc>
        <w:tc>
          <w:tcPr>
            <w:tcW w:w="567" w:type="dxa"/>
            <w:gridSpan w:val="4"/>
            <w:shd w:val="clear" w:color="auto" w:fill="auto"/>
          </w:tcPr>
          <w:p w:rsidR="00FB22DB" w:rsidRPr="00C8684B" w:rsidRDefault="00FB22DB" w:rsidP="00DD0B44">
            <w:pPr>
              <w:pStyle w:val="TableBlock"/>
              <w:keepLines w:val="0"/>
              <w:rPr>
                <w:sz w:val="26"/>
                <w:rtl/>
              </w:rPr>
            </w:pPr>
          </w:p>
        </w:tc>
        <w:tc>
          <w:tcPr>
            <w:tcW w:w="4822" w:type="dxa"/>
            <w:gridSpan w:val="3"/>
            <w:shd w:val="clear" w:color="auto" w:fill="auto"/>
          </w:tcPr>
          <w:p w:rsidR="00FB22DB" w:rsidRPr="00C8684B" w:rsidRDefault="00FB22DB" w:rsidP="00DD0B44">
            <w:pPr>
              <w:pStyle w:val="TableBlock"/>
              <w:tabs>
                <w:tab w:val="clear" w:pos="624"/>
              </w:tabs>
              <w:rPr>
                <w:b/>
                <w:bCs/>
                <w:sz w:val="26"/>
                <w:rtl/>
              </w:rPr>
            </w:pPr>
            <w:r w:rsidRPr="00C8684B">
              <w:rPr>
                <w:rFonts w:hint="cs"/>
                <w:sz w:val="26"/>
                <w:rtl/>
              </w:rPr>
              <w:t>במקרה של חוזה ביטוח בעל ערך  פדיון או חוזה קצבה או אנונה, בעל החשבון במוסד הפיננסי הישראלי יהיה כל אחד מאלה:</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keepLines w:val="0"/>
              <w:rPr>
                <w:sz w:val="26"/>
                <w:rtl/>
              </w:rPr>
            </w:pPr>
          </w:p>
        </w:tc>
        <w:tc>
          <w:tcPr>
            <w:tcW w:w="624" w:type="dxa"/>
            <w:shd w:val="clear" w:color="auto" w:fill="auto"/>
          </w:tcPr>
          <w:p w:rsidR="00FB22DB" w:rsidRPr="00C8684B" w:rsidRDefault="00FB22DB" w:rsidP="00DD0B44">
            <w:pPr>
              <w:pStyle w:val="TableText"/>
              <w:rPr>
                <w:sz w:val="26"/>
              </w:rPr>
            </w:pPr>
          </w:p>
        </w:tc>
        <w:tc>
          <w:tcPr>
            <w:tcW w:w="1757" w:type="dxa"/>
            <w:gridSpan w:val="4"/>
            <w:shd w:val="clear" w:color="auto" w:fill="auto"/>
          </w:tcPr>
          <w:p w:rsidR="00FB22DB" w:rsidRPr="00C8684B" w:rsidRDefault="00FB22DB" w:rsidP="00DD0B44">
            <w:pPr>
              <w:pStyle w:val="TableBlock"/>
              <w:keepLines w:val="0"/>
              <w:jc w:val="left"/>
              <w:rPr>
                <w:sz w:val="26"/>
                <w:rtl/>
              </w:rPr>
            </w:pPr>
          </w:p>
        </w:tc>
        <w:tc>
          <w:tcPr>
            <w:tcW w:w="567" w:type="dxa"/>
            <w:gridSpan w:val="4"/>
            <w:shd w:val="clear" w:color="auto" w:fill="auto"/>
          </w:tcPr>
          <w:p w:rsidR="00FB22DB" w:rsidRPr="00C8684B" w:rsidRDefault="00FB22DB" w:rsidP="00DD0B44">
            <w:pPr>
              <w:pStyle w:val="TableBlock"/>
              <w:keepLines w:val="0"/>
              <w:rPr>
                <w:sz w:val="26"/>
                <w:rtl/>
              </w:rPr>
            </w:pPr>
          </w:p>
        </w:tc>
        <w:tc>
          <w:tcPr>
            <w:tcW w:w="4822" w:type="dxa"/>
            <w:gridSpan w:val="3"/>
            <w:shd w:val="clear" w:color="auto" w:fill="auto"/>
          </w:tcPr>
          <w:p w:rsidR="00FB22DB" w:rsidRPr="00C8684B" w:rsidRDefault="00FB22DB" w:rsidP="00DD0B44">
            <w:pPr>
              <w:pStyle w:val="TableBlock"/>
              <w:numPr>
                <w:ilvl w:val="0"/>
                <w:numId w:val="3"/>
              </w:numPr>
              <w:tabs>
                <w:tab w:val="left" w:pos="624"/>
              </w:tabs>
              <w:rPr>
                <w:sz w:val="26"/>
                <w:rtl/>
              </w:rPr>
            </w:pPr>
            <w:r w:rsidRPr="00C8684B">
              <w:rPr>
                <w:rFonts w:hint="cs"/>
                <w:sz w:val="26"/>
                <w:rtl/>
              </w:rPr>
              <w:t>אדם אשר רשאי למשוך את ערך הפדיון  או לשנות את המוטב, ואם אף אדם אינו רשאי למשוך את ערך  הפדיון או לשנות את המוטב, בעל החשבון יהיה כל אחד מאלה:</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567" w:type="dxa"/>
            <w:gridSpan w:val="2"/>
            <w:shd w:val="clear" w:color="auto" w:fill="auto"/>
          </w:tcPr>
          <w:p w:rsidR="00FB22DB" w:rsidRPr="00C8684B" w:rsidRDefault="00FB22DB" w:rsidP="00DD0B44">
            <w:pPr>
              <w:pStyle w:val="TableBlock"/>
              <w:tabs>
                <w:tab w:val="clear" w:pos="624"/>
                <w:tab w:val="clear" w:pos="1247"/>
              </w:tabs>
              <w:rPr>
                <w:sz w:val="26"/>
              </w:rPr>
            </w:pPr>
          </w:p>
        </w:tc>
        <w:tc>
          <w:tcPr>
            <w:tcW w:w="4255" w:type="dxa"/>
            <w:shd w:val="clear" w:color="auto" w:fill="auto"/>
          </w:tcPr>
          <w:p w:rsidR="00FB22DB" w:rsidRPr="00C8684B" w:rsidRDefault="00FB22DB" w:rsidP="00DD0B44">
            <w:pPr>
              <w:pStyle w:val="TableBlock"/>
              <w:numPr>
                <w:ilvl w:val="0"/>
                <w:numId w:val="4"/>
              </w:numPr>
              <w:tabs>
                <w:tab w:val="left" w:pos="624"/>
              </w:tabs>
              <w:rPr>
                <w:sz w:val="26"/>
              </w:rPr>
            </w:pPr>
            <w:r w:rsidRPr="00C8684B">
              <w:rPr>
                <w:rFonts w:hint="cs"/>
                <w:sz w:val="26"/>
                <w:rtl/>
              </w:rPr>
              <w:t>מבוטח או אדם המצוין כבעלים של חוזה הביטוח או חוזה הקצבה או האנונה;</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567" w:type="dxa"/>
            <w:gridSpan w:val="2"/>
            <w:shd w:val="clear" w:color="auto" w:fill="auto"/>
          </w:tcPr>
          <w:p w:rsidR="00FB22DB" w:rsidRPr="00C8684B" w:rsidRDefault="00FB22DB" w:rsidP="00DD0B44">
            <w:pPr>
              <w:pStyle w:val="TableBlock"/>
              <w:tabs>
                <w:tab w:val="clear" w:pos="624"/>
                <w:tab w:val="clear" w:pos="1247"/>
              </w:tabs>
              <w:rPr>
                <w:sz w:val="26"/>
              </w:rPr>
            </w:pPr>
          </w:p>
        </w:tc>
        <w:tc>
          <w:tcPr>
            <w:tcW w:w="4255" w:type="dxa"/>
            <w:shd w:val="clear" w:color="auto" w:fill="auto"/>
          </w:tcPr>
          <w:p w:rsidR="00FB22DB" w:rsidRPr="00C8684B" w:rsidRDefault="00FB22DB" w:rsidP="00DD0B44">
            <w:pPr>
              <w:pStyle w:val="TableBlock"/>
              <w:numPr>
                <w:ilvl w:val="0"/>
                <w:numId w:val="4"/>
              </w:numPr>
              <w:tabs>
                <w:tab w:val="left" w:pos="624"/>
              </w:tabs>
              <w:rPr>
                <w:sz w:val="26"/>
                <w:rtl/>
              </w:rPr>
            </w:pPr>
            <w:r w:rsidRPr="00C8684B">
              <w:rPr>
                <w:rFonts w:hint="cs"/>
                <w:sz w:val="26"/>
                <w:rtl/>
              </w:rPr>
              <w:t>בעל זכות בלתי חוזרת לתשלום לפי חוזה הביטוח או חוזה הקצבה או האנונה;</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keepLines w:val="0"/>
              <w:rPr>
                <w:sz w:val="26"/>
                <w:rtl/>
              </w:rPr>
            </w:pPr>
          </w:p>
        </w:tc>
        <w:tc>
          <w:tcPr>
            <w:tcW w:w="624" w:type="dxa"/>
            <w:shd w:val="clear" w:color="auto" w:fill="auto"/>
          </w:tcPr>
          <w:p w:rsidR="00FB22DB" w:rsidRPr="00C8684B" w:rsidRDefault="00FB22DB" w:rsidP="00DD0B44">
            <w:pPr>
              <w:pStyle w:val="TableText"/>
              <w:rPr>
                <w:sz w:val="26"/>
              </w:rPr>
            </w:pPr>
          </w:p>
        </w:tc>
        <w:tc>
          <w:tcPr>
            <w:tcW w:w="1757" w:type="dxa"/>
            <w:gridSpan w:val="4"/>
            <w:shd w:val="clear" w:color="auto" w:fill="auto"/>
          </w:tcPr>
          <w:p w:rsidR="00FB22DB" w:rsidRPr="00C8684B" w:rsidRDefault="00FB22DB" w:rsidP="00DD0B44">
            <w:pPr>
              <w:pStyle w:val="TableBlock"/>
              <w:keepLines w:val="0"/>
              <w:jc w:val="left"/>
              <w:rPr>
                <w:sz w:val="26"/>
                <w:rtl/>
              </w:rPr>
            </w:pPr>
          </w:p>
        </w:tc>
        <w:tc>
          <w:tcPr>
            <w:tcW w:w="567" w:type="dxa"/>
            <w:gridSpan w:val="4"/>
            <w:shd w:val="clear" w:color="auto" w:fill="auto"/>
          </w:tcPr>
          <w:p w:rsidR="00FB22DB" w:rsidRPr="00C8684B" w:rsidRDefault="00FB22DB" w:rsidP="00DD0B44">
            <w:pPr>
              <w:pStyle w:val="TableBlock"/>
              <w:keepLines w:val="0"/>
              <w:rPr>
                <w:sz w:val="26"/>
                <w:rtl/>
              </w:rPr>
            </w:pPr>
          </w:p>
        </w:tc>
        <w:tc>
          <w:tcPr>
            <w:tcW w:w="4822" w:type="dxa"/>
            <w:gridSpan w:val="3"/>
            <w:shd w:val="clear" w:color="auto" w:fill="auto"/>
          </w:tcPr>
          <w:p w:rsidR="00FB22DB" w:rsidRPr="00C8684B" w:rsidRDefault="00FB22DB" w:rsidP="00DD0B44">
            <w:pPr>
              <w:pStyle w:val="TableBlock"/>
              <w:numPr>
                <w:ilvl w:val="0"/>
                <w:numId w:val="3"/>
              </w:numPr>
              <w:tabs>
                <w:tab w:val="left" w:pos="624"/>
              </w:tabs>
              <w:textAlignment w:val="auto"/>
              <w:rPr>
                <w:sz w:val="26"/>
                <w:rtl/>
              </w:rPr>
            </w:pPr>
            <w:r w:rsidRPr="00C8684B">
              <w:rPr>
                <w:rFonts w:hint="cs"/>
                <w:sz w:val="26"/>
                <w:rtl/>
              </w:rPr>
              <w:t>עם התגבשות הזכות לתשלום על פי חוזה הביטוח או חוזה הקצבה או האנונה, כל אדם הזכאי לתשלום על פי חוזה הביטוח או חוזה הקצבה או האנונה;</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1276" w:type="dxa"/>
            <w:gridSpan w:val="7"/>
            <w:shd w:val="clear" w:color="auto" w:fill="auto"/>
          </w:tcPr>
          <w:p w:rsidR="00FB22DB" w:rsidRPr="00C8684B" w:rsidRDefault="00FB22DB" w:rsidP="00DD0B44">
            <w:pPr>
              <w:pStyle w:val="TableBlock"/>
              <w:rPr>
                <w:sz w:val="26"/>
              </w:rPr>
            </w:pPr>
          </w:p>
        </w:tc>
        <w:tc>
          <w:tcPr>
            <w:tcW w:w="4822" w:type="dxa"/>
            <w:gridSpan w:val="3"/>
            <w:shd w:val="clear" w:color="auto" w:fill="auto"/>
          </w:tcPr>
          <w:p w:rsidR="00FB22DB" w:rsidRPr="00C8684B" w:rsidRDefault="00FB22DB" w:rsidP="00DD0B44">
            <w:pPr>
              <w:pStyle w:val="TableBlock"/>
              <w:rPr>
                <w:sz w:val="26"/>
              </w:rPr>
            </w:pPr>
            <w:r w:rsidRPr="00C8684B">
              <w:rPr>
                <w:sz w:val="26"/>
                <w:rtl/>
              </w:rPr>
              <w:t>"</w:t>
            </w:r>
            <w:r w:rsidRPr="00C8684B">
              <w:rPr>
                <w:rFonts w:hint="eastAsia"/>
                <w:b/>
                <w:bCs/>
                <w:sz w:val="26"/>
                <w:rtl/>
              </w:rPr>
              <w:t>בעל</w:t>
            </w:r>
            <w:r w:rsidRPr="00C8684B">
              <w:rPr>
                <w:b/>
                <w:bCs/>
                <w:sz w:val="26"/>
                <w:rtl/>
              </w:rPr>
              <w:t xml:space="preserve"> </w:t>
            </w:r>
            <w:r w:rsidRPr="00C8684B">
              <w:rPr>
                <w:rFonts w:hint="eastAsia"/>
                <w:b/>
                <w:bCs/>
                <w:sz w:val="26"/>
                <w:rtl/>
              </w:rPr>
              <w:t>שליטה</w:t>
            </w:r>
            <w:r w:rsidRPr="00C8684B">
              <w:rPr>
                <w:sz w:val="26"/>
                <w:rtl/>
              </w:rPr>
              <w:t xml:space="preserve">" </w:t>
            </w:r>
            <w:r w:rsidRPr="00C8684B">
              <w:rPr>
                <w:rFonts w:hint="eastAsia"/>
                <w:sz w:val="26"/>
                <w:rtl/>
              </w:rPr>
              <w:t>–</w:t>
            </w:r>
            <w:r w:rsidRPr="00C8684B">
              <w:rPr>
                <w:sz w:val="26"/>
                <w:rtl/>
              </w:rPr>
              <w:t xml:space="preserve"> </w:t>
            </w:r>
            <w:r w:rsidRPr="00C8684B">
              <w:rPr>
                <w:rFonts w:hint="eastAsia"/>
                <w:sz w:val="26"/>
                <w:rtl/>
              </w:rPr>
              <w:t>כל</w:t>
            </w:r>
            <w:r w:rsidRPr="00C8684B">
              <w:rPr>
                <w:sz w:val="26"/>
                <w:rtl/>
              </w:rPr>
              <w:t xml:space="preserve"> </w:t>
            </w:r>
            <w:r w:rsidRPr="00C8684B">
              <w:rPr>
                <w:rFonts w:hint="eastAsia"/>
                <w:sz w:val="26"/>
                <w:rtl/>
              </w:rPr>
              <w:t>אחד</w:t>
            </w:r>
            <w:r w:rsidRPr="00C8684B">
              <w:rPr>
                <w:sz w:val="26"/>
                <w:rtl/>
              </w:rPr>
              <w:t xml:space="preserve"> </w:t>
            </w:r>
            <w:r w:rsidRPr="00C8684B">
              <w:rPr>
                <w:rFonts w:hint="eastAsia"/>
                <w:sz w:val="26"/>
                <w:rtl/>
              </w:rPr>
              <w:t>מאלה</w:t>
            </w:r>
            <w:r w:rsidRPr="00C8684B">
              <w:rPr>
                <w:rFonts w:hint="cs"/>
                <w:sz w:val="26"/>
                <w:rtl/>
              </w:rPr>
              <w:t>:</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1276" w:type="dxa"/>
            <w:gridSpan w:val="7"/>
            <w:shd w:val="clear" w:color="auto" w:fill="auto"/>
          </w:tcPr>
          <w:p w:rsidR="00FB22DB" w:rsidRPr="00C8684B" w:rsidRDefault="00FB22DB" w:rsidP="00DD0B44">
            <w:pPr>
              <w:pStyle w:val="TableBlock"/>
              <w:rPr>
                <w:sz w:val="26"/>
              </w:rPr>
            </w:pPr>
          </w:p>
        </w:tc>
        <w:tc>
          <w:tcPr>
            <w:tcW w:w="4822" w:type="dxa"/>
            <w:gridSpan w:val="3"/>
            <w:shd w:val="clear" w:color="auto" w:fill="auto"/>
          </w:tcPr>
          <w:p w:rsidR="00FB22DB" w:rsidRPr="00C8684B" w:rsidRDefault="00FB22DB" w:rsidP="00DD0B44">
            <w:pPr>
              <w:pStyle w:val="TableBlock"/>
              <w:numPr>
                <w:ilvl w:val="0"/>
                <w:numId w:val="5"/>
              </w:numPr>
              <w:tabs>
                <w:tab w:val="left" w:pos="624"/>
              </w:tabs>
              <w:rPr>
                <w:sz w:val="26"/>
                <w:rtl/>
              </w:rPr>
            </w:pPr>
            <w:r w:rsidRPr="00C8684B">
              <w:rPr>
                <w:rFonts w:hint="eastAsia"/>
                <w:sz w:val="26"/>
                <w:rtl/>
              </w:rPr>
              <w:t>בחבר</w:t>
            </w:r>
            <w:r w:rsidRPr="00C8684B">
              <w:rPr>
                <w:sz w:val="26"/>
                <w:rtl/>
              </w:rPr>
              <w:t xml:space="preserve">-בני-אדם – </w:t>
            </w:r>
            <w:r w:rsidRPr="00C8684B">
              <w:rPr>
                <w:rFonts w:hint="cs"/>
                <w:sz w:val="26"/>
                <w:rtl/>
              </w:rPr>
              <w:t>יחיד שהנו בעל היכולת לכוון את פעילותו של חבר בני האדם;</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1276" w:type="dxa"/>
            <w:gridSpan w:val="7"/>
            <w:shd w:val="clear" w:color="auto" w:fill="auto"/>
          </w:tcPr>
          <w:p w:rsidR="00FB22DB" w:rsidRPr="00C8684B" w:rsidRDefault="00FB22DB" w:rsidP="00DD0B44">
            <w:pPr>
              <w:pStyle w:val="TableBlock"/>
              <w:rPr>
                <w:sz w:val="26"/>
              </w:rPr>
            </w:pPr>
          </w:p>
        </w:tc>
        <w:tc>
          <w:tcPr>
            <w:tcW w:w="4822" w:type="dxa"/>
            <w:gridSpan w:val="3"/>
            <w:shd w:val="clear" w:color="auto" w:fill="auto"/>
          </w:tcPr>
          <w:p w:rsidR="00FB22DB" w:rsidRPr="00C8684B" w:rsidRDefault="00FB22DB" w:rsidP="00DD0B44">
            <w:pPr>
              <w:pStyle w:val="TableBlock"/>
              <w:numPr>
                <w:ilvl w:val="0"/>
                <w:numId w:val="5"/>
              </w:numPr>
              <w:tabs>
                <w:tab w:val="left" w:pos="624"/>
              </w:tabs>
              <w:rPr>
                <w:sz w:val="26"/>
                <w:rtl/>
              </w:rPr>
            </w:pPr>
            <w:r w:rsidRPr="00C8684B">
              <w:rPr>
                <w:rFonts w:hint="cs"/>
                <w:sz w:val="26"/>
                <w:rtl/>
              </w:rPr>
              <w:t>בנאמנות כהגדרתה בסעיף 75ג - יחיד שהוא היוצר, הנאמן, מגן הנאמנות או הנהנה כהגדרתם בסעיף האמור (להלן - בעל השפעה);</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1276" w:type="dxa"/>
            <w:gridSpan w:val="7"/>
            <w:shd w:val="clear" w:color="auto" w:fill="auto"/>
          </w:tcPr>
          <w:p w:rsidR="00FB22DB" w:rsidRPr="00C8684B" w:rsidRDefault="00FB22DB" w:rsidP="00DD0B44">
            <w:pPr>
              <w:pStyle w:val="TableBlock"/>
              <w:rPr>
                <w:sz w:val="26"/>
              </w:rPr>
            </w:pPr>
          </w:p>
        </w:tc>
        <w:tc>
          <w:tcPr>
            <w:tcW w:w="4822" w:type="dxa"/>
            <w:gridSpan w:val="3"/>
            <w:shd w:val="clear" w:color="auto" w:fill="auto"/>
          </w:tcPr>
          <w:p w:rsidR="00FB22DB" w:rsidRPr="00C8684B" w:rsidRDefault="00FB22DB" w:rsidP="00DD0B44">
            <w:pPr>
              <w:pStyle w:val="TableBlock"/>
              <w:numPr>
                <w:ilvl w:val="0"/>
                <w:numId w:val="5"/>
              </w:numPr>
              <w:tabs>
                <w:tab w:val="left" w:pos="624"/>
              </w:tabs>
              <w:textAlignment w:val="auto"/>
              <w:rPr>
                <w:sz w:val="26"/>
                <w:rtl/>
              </w:rPr>
            </w:pPr>
            <w:r w:rsidRPr="00C8684B">
              <w:rPr>
                <w:rFonts w:hint="cs"/>
                <w:sz w:val="26"/>
                <w:rtl/>
              </w:rPr>
              <w:t>בהסדר משפטי, שאינו נאמנות כאמור בפסקת משנה (2) - יחיד שמעמדו בהסדר המשפטי דומה למעמד של בעל השפעה בנאמנות;</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1276" w:type="dxa"/>
            <w:gridSpan w:val="7"/>
            <w:shd w:val="clear" w:color="auto" w:fill="auto"/>
          </w:tcPr>
          <w:p w:rsidR="00FB22DB" w:rsidRPr="00C8684B" w:rsidRDefault="00FB22DB" w:rsidP="00DD0B44">
            <w:pPr>
              <w:pStyle w:val="TableBlock"/>
              <w:rPr>
                <w:sz w:val="26"/>
              </w:rPr>
            </w:pPr>
          </w:p>
        </w:tc>
        <w:tc>
          <w:tcPr>
            <w:tcW w:w="4822" w:type="dxa"/>
            <w:gridSpan w:val="3"/>
            <w:shd w:val="clear" w:color="auto" w:fill="auto"/>
          </w:tcPr>
          <w:p w:rsidR="00FB22DB" w:rsidRPr="00C8684B" w:rsidRDefault="00FB22DB" w:rsidP="00DD0B44">
            <w:pPr>
              <w:pStyle w:val="TableBlock"/>
              <w:ind w:left="141"/>
              <w:rPr>
                <w:sz w:val="26"/>
                <w:rtl/>
              </w:rPr>
            </w:pPr>
            <w:r w:rsidRPr="00C8684B">
              <w:rPr>
                <w:rFonts w:hint="cs"/>
                <w:b/>
                <w:bCs/>
                <w:sz w:val="26"/>
                <w:rtl/>
              </w:rPr>
              <w:t>"הסכם בינלאומי"- "הסכם לחילופי מידע</w:t>
            </w:r>
            <w:r w:rsidRPr="00C8684B">
              <w:rPr>
                <w:rFonts w:hint="cs"/>
                <w:sz w:val="26"/>
                <w:rtl/>
              </w:rPr>
              <w:t xml:space="preserve">" </w:t>
            </w:r>
            <w:r w:rsidRPr="00C8684B">
              <w:rPr>
                <w:sz w:val="26"/>
                <w:rtl/>
              </w:rPr>
              <w:t>–</w:t>
            </w:r>
            <w:r w:rsidRPr="00C8684B">
              <w:rPr>
                <w:rFonts w:hint="cs"/>
                <w:sz w:val="26"/>
                <w:rtl/>
              </w:rPr>
              <w:t xml:space="preserve"> כהגדרתם בסעיף </w:t>
            </w:r>
            <w:r w:rsidRPr="00C8684B">
              <w:rPr>
                <w:sz w:val="26"/>
                <w:rtl/>
              </w:rPr>
              <w:t>214א</w:t>
            </w:r>
            <w:r w:rsidRPr="00C8684B">
              <w:rPr>
                <w:rFonts w:hint="cs"/>
                <w:sz w:val="26"/>
                <w:rtl/>
              </w:rPr>
              <w:t>;</w:t>
            </w:r>
          </w:p>
          <w:p w:rsidR="00FB22DB" w:rsidRPr="00C8684B" w:rsidRDefault="00FB22DB" w:rsidP="00DD0B44">
            <w:pPr>
              <w:pStyle w:val="TableBlock"/>
              <w:tabs>
                <w:tab w:val="clear" w:pos="624"/>
              </w:tabs>
              <w:textAlignment w:val="auto"/>
              <w:rPr>
                <w:sz w:val="26"/>
                <w:rtl/>
              </w:rPr>
            </w:pP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1276" w:type="dxa"/>
            <w:gridSpan w:val="7"/>
            <w:shd w:val="clear" w:color="auto" w:fill="auto"/>
          </w:tcPr>
          <w:p w:rsidR="00FB22DB" w:rsidRPr="00C8684B" w:rsidRDefault="00FB22DB" w:rsidP="00DD0B44">
            <w:pPr>
              <w:pStyle w:val="TableBlock"/>
              <w:rPr>
                <w:sz w:val="26"/>
              </w:rPr>
            </w:pPr>
          </w:p>
        </w:tc>
        <w:tc>
          <w:tcPr>
            <w:tcW w:w="4822" w:type="dxa"/>
            <w:gridSpan w:val="3"/>
            <w:shd w:val="clear" w:color="auto" w:fill="auto"/>
          </w:tcPr>
          <w:p w:rsidR="00FB22DB" w:rsidRPr="00C8684B" w:rsidRDefault="00FB22DB" w:rsidP="00DD0B44">
            <w:pPr>
              <w:pStyle w:val="TableBlock"/>
              <w:ind w:left="141"/>
              <w:rPr>
                <w:b/>
                <w:bCs/>
                <w:sz w:val="26"/>
                <w:rtl/>
                <w:lang w:bidi="ar-SA"/>
              </w:rPr>
            </w:pPr>
            <w:r w:rsidRPr="00C8684B">
              <w:rPr>
                <w:rFonts w:hint="cs"/>
                <w:b/>
                <w:bCs/>
                <w:sz w:val="26"/>
                <w:rtl/>
              </w:rPr>
              <w:t xml:space="preserve">"הסכם פטקא"- </w:t>
            </w:r>
            <w:r w:rsidRPr="00C8684B">
              <w:rPr>
                <w:rFonts w:hint="cs"/>
                <w:sz w:val="26"/>
                <w:rtl/>
              </w:rPr>
              <w:t xml:space="preserve">הסכם בין ממשלת מדינת ישראל לבין ממשלת ארצות הברית של אמריקה בדבר שיפור ציות מס בינלאומי ויישום </w:t>
            </w:r>
            <w:r w:rsidRPr="00C8684B">
              <w:rPr>
                <w:sz w:val="26"/>
              </w:rPr>
              <w:t>FATCA</w:t>
            </w:r>
            <w:r w:rsidRPr="00C8684B">
              <w:rPr>
                <w:rFonts w:hint="cs"/>
                <w:sz w:val="26"/>
                <w:rtl/>
              </w:rPr>
              <w:t>, שנחתם ביום ב' בתמוז התשע"ד (30 ביוני 2014);</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1276" w:type="dxa"/>
            <w:gridSpan w:val="7"/>
            <w:shd w:val="clear" w:color="auto" w:fill="auto"/>
          </w:tcPr>
          <w:p w:rsidR="00FB22DB" w:rsidRPr="00C8684B" w:rsidRDefault="00FB22DB" w:rsidP="00DD0B44">
            <w:pPr>
              <w:pStyle w:val="TableBlock"/>
              <w:rPr>
                <w:sz w:val="26"/>
              </w:rPr>
            </w:pPr>
          </w:p>
        </w:tc>
        <w:tc>
          <w:tcPr>
            <w:tcW w:w="4822" w:type="dxa"/>
            <w:gridSpan w:val="3"/>
            <w:shd w:val="clear" w:color="auto" w:fill="auto"/>
          </w:tcPr>
          <w:p w:rsidR="00FB22DB" w:rsidRPr="00C8684B" w:rsidRDefault="00FB22DB" w:rsidP="00DD0B44">
            <w:pPr>
              <w:pStyle w:val="TableBlock"/>
              <w:ind w:left="141"/>
              <w:rPr>
                <w:b/>
                <w:bCs/>
                <w:sz w:val="26"/>
                <w:rtl/>
              </w:rPr>
            </w:pPr>
            <w:r w:rsidRPr="00C8684B">
              <w:rPr>
                <w:rFonts w:hint="cs"/>
                <w:b/>
                <w:bCs/>
                <w:sz w:val="26"/>
                <w:rtl/>
              </w:rPr>
              <w:t xml:space="preserve">"השער היציג", </w:t>
            </w:r>
            <w:r w:rsidRPr="00C8684B">
              <w:rPr>
                <w:rFonts w:hint="eastAsia"/>
                <w:sz w:val="26"/>
                <w:rtl/>
              </w:rPr>
              <w:t>של</w:t>
            </w:r>
            <w:r w:rsidRPr="00C8684B">
              <w:rPr>
                <w:sz w:val="26"/>
                <w:rtl/>
              </w:rPr>
              <w:t xml:space="preserve"> מטבע חוץ פלוני- </w:t>
            </w:r>
            <w:r w:rsidRPr="00C8684B">
              <w:rPr>
                <w:rFonts w:hint="eastAsia"/>
                <w:sz w:val="26"/>
                <w:rtl/>
              </w:rPr>
              <w:t>השער</w:t>
            </w:r>
            <w:r w:rsidRPr="00C8684B">
              <w:rPr>
                <w:sz w:val="26"/>
                <w:rtl/>
              </w:rPr>
              <w:t xml:space="preserve"> </w:t>
            </w:r>
            <w:r w:rsidRPr="00C8684B">
              <w:rPr>
                <w:rFonts w:hint="eastAsia"/>
                <w:sz w:val="26"/>
                <w:rtl/>
              </w:rPr>
              <w:t>היציג</w:t>
            </w:r>
            <w:r w:rsidRPr="00C8684B">
              <w:rPr>
                <w:rFonts w:hint="cs"/>
                <w:sz w:val="26"/>
                <w:rtl/>
              </w:rPr>
              <w:t xml:space="preserve"> שמפרסם בנק ישראל לאותו מטבע חוץ;</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1276" w:type="dxa"/>
            <w:gridSpan w:val="7"/>
            <w:shd w:val="clear" w:color="auto" w:fill="auto"/>
          </w:tcPr>
          <w:p w:rsidR="00FB22DB" w:rsidRPr="00C8684B" w:rsidRDefault="00FB22DB" w:rsidP="00DD0B44">
            <w:pPr>
              <w:pStyle w:val="TableBlock"/>
              <w:rPr>
                <w:sz w:val="26"/>
              </w:rPr>
            </w:pPr>
          </w:p>
        </w:tc>
        <w:tc>
          <w:tcPr>
            <w:tcW w:w="4822" w:type="dxa"/>
            <w:gridSpan w:val="3"/>
            <w:shd w:val="clear" w:color="auto" w:fill="auto"/>
          </w:tcPr>
          <w:p w:rsidR="00FB22DB" w:rsidRPr="00C8684B" w:rsidRDefault="00FB22DB" w:rsidP="00DD0B44">
            <w:pPr>
              <w:pStyle w:val="TableBlock"/>
              <w:ind w:left="141"/>
              <w:rPr>
                <w:b/>
                <w:bCs/>
                <w:sz w:val="26"/>
                <w:rtl/>
              </w:rPr>
            </w:pPr>
            <w:r w:rsidRPr="00C8684B">
              <w:rPr>
                <w:rFonts w:hint="cs"/>
                <w:b/>
                <w:bCs/>
                <w:sz w:val="26"/>
                <w:rtl/>
              </w:rPr>
              <w:t>"זכות בהון"</w:t>
            </w:r>
            <w:r w:rsidRPr="00C8684B">
              <w:rPr>
                <w:rFonts w:hint="cs"/>
                <w:sz w:val="26"/>
                <w:rtl/>
              </w:rPr>
              <w:t xml:space="preserve"> – לרבות כל אחת מאלה:</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1276" w:type="dxa"/>
            <w:gridSpan w:val="7"/>
            <w:shd w:val="clear" w:color="auto" w:fill="auto"/>
          </w:tcPr>
          <w:p w:rsidR="00FB22DB" w:rsidRPr="00C8684B" w:rsidRDefault="00FB22DB" w:rsidP="00DD0B44">
            <w:pPr>
              <w:pStyle w:val="TableBlock"/>
              <w:rPr>
                <w:sz w:val="26"/>
              </w:rPr>
            </w:pPr>
          </w:p>
        </w:tc>
        <w:tc>
          <w:tcPr>
            <w:tcW w:w="4822" w:type="dxa"/>
            <w:gridSpan w:val="3"/>
            <w:shd w:val="clear" w:color="auto" w:fill="auto"/>
          </w:tcPr>
          <w:p w:rsidR="00FB22DB" w:rsidRPr="00C8684B" w:rsidRDefault="00FB22DB" w:rsidP="00DD0B44">
            <w:pPr>
              <w:pStyle w:val="TableBlock"/>
              <w:numPr>
                <w:ilvl w:val="0"/>
                <w:numId w:val="6"/>
              </w:numPr>
              <w:tabs>
                <w:tab w:val="clear" w:pos="765"/>
              </w:tabs>
              <w:ind w:left="0"/>
              <w:rPr>
                <w:b/>
                <w:bCs/>
                <w:sz w:val="26"/>
                <w:rtl/>
              </w:rPr>
            </w:pPr>
            <w:r w:rsidRPr="00C8684B">
              <w:rPr>
                <w:rFonts w:hint="cs"/>
                <w:sz w:val="26"/>
                <w:rtl/>
              </w:rPr>
              <w:t>לענין שותפות שהיא מוסד פיננסי – זכות בהון או זכות ברווחים בשותפות;</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1276" w:type="dxa"/>
            <w:gridSpan w:val="7"/>
            <w:shd w:val="clear" w:color="auto" w:fill="auto"/>
          </w:tcPr>
          <w:p w:rsidR="00FB22DB" w:rsidRPr="00C8684B" w:rsidRDefault="00FB22DB" w:rsidP="00DD0B44">
            <w:pPr>
              <w:pStyle w:val="TableBlock"/>
              <w:rPr>
                <w:sz w:val="26"/>
              </w:rPr>
            </w:pPr>
          </w:p>
        </w:tc>
        <w:tc>
          <w:tcPr>
            <w:tcW w:w="4822" w:type="dxa"/>
            <w:gridSpan w:val="3"/>
            <w:shd w:val="clear" w:color="auto" w:fill="auto"/>
          </w:tcPr>
          <w:p w:rsidR="00FB22DB" w:rsidRPr="00C8684B" w:rsidRDefault="00FB22DB" w:rsidP="00DD0B44">
            <w:pPr>
              <w:pStyle w:val="TableBlock"/>
              <w:numPr>
                <w:ilvl w:val="0"/>
                <w:numId w:val="6"/>
              </w:numPr>
              <w:textAlignment w:val="auto"/>
              <w:rPr>
                <w:sz w:val="26"/>
                <w:rtl/>
              </w:rPr>
            </w:pPr>
            <w:r w:rsidRPr="00C8684B">
              <w:rPr>
                <w:rFonts w:hint="cs"/>
                <w:color w:val="auto"/>
                <w:sz w:val="26"/>
                <w:rtl/>
              </w:rPr>
              <w:t>לענין נאמנות שהיא מוסד פיננסי – זכות המוחזקת בידי מי שרואים אותו כיוצר של הנאמנות, כולה או חלקה, או כנהנה בה או בידי יחיד אחר שיש לו שליטה מלאה בפועל בנאמנות;</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1276" w:type="dxa"/>
            <w:gridSpan w:val="7"/>
            <w:shd w:val="clear" w:color="auto" w:fill="auto"/>
          </w:tcPr>
          <w:p w:rsidR="00FB22DB" w:rsidRPr="00C8684B" w:rsidRDefault="00FB22DB" w:rsidP="00DD0B44">
            <w:pPr>
              <w:pStyle w:val="TableBlock"/>
              <w:rPr>
                <w:sz w:val="26"/>
              </w:rPr>
            </w:pPr>
          </w:p>
        </w:tc>
        <w:tc>
          <w:tcPr>
            <w:tcW w:w="4822" w:type="dxa"/>
            <w:gridSpan w:val="3"/>
            <w:shd w:val="clear" w:color="auto" w:fill="auto"/>
          </w:tcPr>
          <w:p w:rsidR="00FB22DB" w:rsidRPr="00C8684B" w:rsidRDefault="00FB22DB" w:rsidP="00DD0B44">
            <w:pPr>
              <w:pStyle w:val="TableBlock"/>
              <w:ind w:left="141"/>
              <w:textAlignment w:val="auto"/>
              <w:rPr>
                <w:color w:val="auto"/>
                <w:sz w:val="26"/>
                <w:rtl/>
              </w:rPr>
            </w:pPr>
            <w:r w:rsidRPr="00C8684B">
              <w:rPr>
                <w:rFonts w:hint="cs"/>
                <w:b/>
                <w:bCs/>
                <w:sz w:val="26"/>
                <w:rtl/>
              </w:rPr>
              <w:t>"חברת ביטוח מסוימת"</w:t>
            </w:r>
            <w:r w:rsidRPr="00C8684B">
              <w:rPr>
                <w:rFonts w:hint="cs"/>
                <w:color w:val="auto"/>
                <w:sz w:val="26"/>
                <w:rtl/>
              </w:rPr>
              <w:t xml:space="preserve">- </w:t>
            </w:r>
            <w:r w:rsidRPr="00C8684B">
              <w:rPr>
                <w:rFonts w:hint="cs"/>
                <w:sz w:val="26"/>
                <w:rtl/>
              </w:rPr>
              <w:t xml:space="preserve">כל אחת מהבאות ובלבד שהיא מנפיקה חוזה ביטוח בעל ערך פדיון או חוזה קצבה או אנונה או מחויבת לשלם כסף בקשר לחוזים כאמור:                         </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1276" w:type="dxa"/>
            <w:gridSpan w:val="7"/>
            <w:shd w:val="clear" w:color="auto" w:fill="auto"/>
          </w:tcPr>
          <w:p w:rsidR="00FB22DB" w:rsidRPr="00C8684B" w:rsidRDefault="00FB22DB" w:rsidP="00DD0B44">
            <w:pPr>
              <w:pStyle w:val="TableBlock"/>
              <w:rPr>
                <w:sz w:val="26"/>
              </w:rPr>
            </w:pPr>
          </w:p>
        </w:tc>
        <w:tc>
          <w:tcPr>
            <w:tcW w:w="4822" w:type="dxa"/>
            <w:gridSpan w:val="3"/>
            <w:shd w:val="clear" w:color="auto" w:fill="auto"/>
          </w:tcPr>
          <w:p w:rsidR="00FB22DB" w:rsidRPr="00C8684B" w:rsidRDefault="00FB22DB" w:rsidP="00DD0B44">
            <w:pPr>
              <w:pStyle w:val="TableBlock"/>
              <w:numPr>
                <w:ilvl w:val="0"/>
                <w:numId w:val="7"/>
              </w:numPr>
              <w:tabs>
                <w:tab w:val="clear" w:pos="765"/>
              </w:tabs>
              <w:ind w:left="0"/>
              <w:textAlignment w:val="auto"/>
              <w:rPr>
                <w:sz w:val="26"/>
                <w:rtl/>
              </w:rPr>
            </w:pPr>
            <w:r w:rsidRPr="00C8684B">
              <w:rPr>
                <w:rFonts w:hint="cs"/>
                <w:sz w:val="26"/>
                <w:rtl/>
              </w:rPr>
              <w:t>ישות שהיא חברת ביטוח, לרבות מי שקיבל רישיון מבטח ישראלי לפי סעיף 15(א)(1) לחוק הפיקוח על שירותים פיננסיים (ביטוח), התשמ"א- 1981</w:t>
            </w:r>
            <w:r w:rsidRPr="00C8684B">
              <w:rPr>
                <w:rStyle w:val="a6"/>
                <w:sz w:val="26"/>
                <w:rtl/>
              </w:rPr>
              <w:footnoteReference w:id="2"/>
            </w:r>
            <w:r w:rsidRPr="00C8684B">
              <w:rPr>
                <w:rFonts w:hint="cs"/>
                <w:sz w:val="26"/>
                <w:rtl/>
              </w:rPr>
              <w:t>.</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1276" w:type="dxa"/>
            <w:gridSpan w:val="7"/>
            <w:shd w:val="clear" w:color="auto" w:fill="auto"/>
          </w:tcPr>
          <w:p w:rsidR="00FB22DB" w:rsidRPr="00C8684B" w:rsidRDefault="00FB22DB" w:rsidP="00DD0B44">
            <w:pPr>
              <w:pStyle w:val="TableBlock"/>
              <w:rPr>
                <w:sz w:val="26"/>
              </w:rPr>
            </w:pPr>
          </w:p>
        </w:tc>
        <w:tc>
          <w:tcPr>
            <w:tcW w:w="4822" w:type="dxa"/>
            <w:gridSpan w:val="3"/>
            <w:shd w:val="clear" w:color="auto" w:fill="auto"/>
          </w:tcPr>
          <w:p w:rsidR="00FB22DB" w:rsidRPr="00C8684B" w:rsidRDefault="00FB22DB" w:rsidP="00DD0B44">
            <w:pPr>
              <w:pStyle w:val="TableBlock"/>
              <w:numPr>
                <w:ilvl w:val="0"/>
                <w:numId w:val="7"/>
              </w:numPr>
              <w:textAlignment w:val="auto"/>
              <w:rPr>
                <w:sz w:val="26"/>
                <w:rtl/>
              </w:rPr>
            </w:pPr>
            <w:r w:rsidRPr="00C8684B">
              <w:rPr>
                <w:rFonts w:hint="cs"/>
                <w:sz w:val="26"/>
                <w:rtl/>
              </w:rPr>
              <w:t xml:space="preserve">חברה המחזיקה בחברת ביטוח; </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1276" w:type="dxa"/>
            <w:gridSpan w:val="7"/>
            <w:shd w:val="clear" w:color="auto" w:fill="auto"/>
          </w:tcPr>
          <w:p w:rsidR="00FB22DB" w:rsidRPr="00C8684B" w:rsidRDefault="00FB22DB" w:rsidP="00DD0B44">
            <w:pPr>
              <w:pStyle w:val="TableBlock"/>
              <w:rPr>
                <w:sz w:val="26"/>
              </w:rPr>
            </w:pPr>
          </w:p>
        </w:tc>
        <w:tc>
          <w:tcPr>
            <w:tcW w:w="4822" w:type="dxa"/>
            <w:gridSpan w:val="3"/>
            <w:shd w:val="clear" w:color="auto" w:fill="auto"/>
          </w:tcPr>
          <w:p w:rsidR="00FB22DB" w:rsidRPr="00C8684B" w:rsidRDefault="00FB22DB" w:rsidP="00DD0B44">
            <w:pPr>
              <w:pStyle w:val="TableBlock"/>
              <w:ind w:left="141"/>
              <w:rPr>
                <w:sz w:val="26"/>
                <w:rtl/>
              </w:rPr>
            </w:pPr>
            <w:r w:rsidRPr="00C8684B">
              <w:rPr>
                <w:rFonts w:hint="cs"/>
                <w:b/>
                <w:bCs/>
                <w:sz w:val="26"/>
                <w:rtl/>
              </w:rPr>
              <w:t>"</w:t>
            </w:r>
            <w:r w:rsidRPr="00C8684B">
              <w:rPr>
                <w:rFonts w:hint="eastAsia"/>
                <w:b/>
                <w:bCs/>
                <w:sz w:val="26"/>
                <w:rtl/>
              </w:rPr>
              <w:t>חוזה</w:t>
            </w:r>
            <w:r w:rsidRPr="00C8684B">
              <w:rPr>
                <w:rFonts w:hint="cs"/>
                <w:b/>
                <w:bCs/>
                <w:sz w:val="26"/>
                <w:rtl/>
              </w:rPr>
              <w:t xml:space="preserve"> קצבה או אנונה"</w:t>
            </w:r>
            <w:r w:rsidRPr="00C8684B">
              <w:rPr>
                <w:rFonts w:hint="cs"/>
                <w:sz w:val="26"/>
                <w:rtl/>
              </w:rPr>
              <w:t xml:space="preserve"> - חוזה לפיו המנפיק מסכים לבצע תשלומים לתקופת הזמן שנקבעה, במלואה או בחלקה, ביחס לתוחלת החיים של יחיד, אחד או יותר, לרבות חוזה הנחשב לחוזה קצבה או  אנונה בהתאם לדין או לנוהג בישראל,  לפיו המנפיק מסכים לבצע תשלומים לשיעורים לתקופה קצובה;</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1276" w:type="dxa"/>
            <w:gridSpan w:val="7"/>
            <w:shd w:val="clear" w:color="auto" w:fill="auto"/>
          </w:tcPr>
          <w:p w:rsidR="00FB22DB" w:rsidRPr="00C8684B" w:rsidRDefault="00FB22DB" w:rsidP="00DD0B44">
            <w:pPr>
              <w:pStyle w:val="TableBlock"/>
              <w:rPr>
                <w:sz w:val="26"/>
              </w:rPr>
            </w:pPr>
          </w:p>
        </w:tc>
        <w:tc>
          <w:tcPr>
            <w:tcW w:w="4822" w:type="dxa"/>
            <w:gridSpan w:val="3"/>
            <w:shd w:val="clear" w:color="auto" w:fill="auto"/>
          </w:tcPr>
          <w:p w:rsidR="00FB22DB" w:rsidRPr="00C8684B" w:rsidRDefault="00FB22DB" w:rsidP="00DD0B44">
            <w:pPr>
              <w:pStyle w:val="TableBlock"/>
              <w:ind w:left="141"/>
              <w:rPr>
                <w:b/>
                <w:bCs/>
                <w:sz w:val="26"/>
                <w:rtl/>
              </w:rPr>
            </w:pPr>
            <w:r w:rsidRPr="00C8684B">
              <w:rPr>
                <w:rFonts w:hint="cs"/>
                <w:b/>
                <w:bCs/>
                <w:sz w:val="26"/>
                <w:rtl/>
              </w:rPr>
              <w:t>"</w:t>
            </w:r>
            <w:r w:rsidRPr="00C8684B">
              <w:rPr>
                <w:rFonts w:hint="eastAsia"/>
                <w:b/>
                <w:bCs/>
                <w:sz w:val="26"/>
                <w:rtl/>
              </w:rPr>
              <w:t>חוזה</w:t>
            </w:r>
            <w:r w:rsidRPr="00C8684B">
              <w:rPr>
                <w:rFonts w:hint="cs"/>
                <w:b/>
                <w:bCs/>
                <w:sz w:val="26"/>
                <w:rtl/>
              </w:rPr>
              <w:t xml:space="preserve"> ביטוח"</w:t>
            </w:r>
            <w:r w:rsidRPr="00C8684B">
              <w:rPr>
                <w:rFonts w:hint="cs"/>
                <w:sz w:val="26"/>
                <w:rtl/>
              </w:rPr>
              <w:t xml:space="preserve"> – חוזה, למעט חוזה קצבה או אנונה, לפיו המנפיק מסכים לשלם סכום כסף בהתקיים אירוע מסוים הכרוך בתמותה, בתחלואה, בתאונה, באחריות</w:t>
            </w:r>
            <w:r w:rsidRPr="00C8684B">
              <w:rPr>
                <w:rFonts w:hint="cs"/>
                <w:sz w:val="26"/>
              </w:rPr>
              <w:t xml:space="preserve"> </w:t>
            </w:r>
            <w:r w:rsidRPr="00C8684B">
              <w:rPr>
                <w:rFonts w:hint="cs"/>
                <w:sz w:val="26"/>
                <w:rtl/>
              </w:rPr>
              <w:t>או בסיכון לרכוש;</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1276" w:type="dxa"/>
            <w:gridSpan w:val="7"/>
            <w:shd w:val="clear" w:color="auto" w:fill="auto"/>
          </w:tcPr>
          <w:p w:rsidR="00FB22DB" w:rsidRPr="00C8684B" w:rsidRDefault="00FB22DB" w:rsidP="00DD0B44">
            <w:pPr>
              <w:pStyle w:val="TableBlock"/>
              <w:rPr>
                <w:sz w:val="26"/>
              </w:rPr>
            </w:pPr>
          </w:p>
        </w:tc>
        <w:tc>
          <w:tcPr>
            <w:tcW w:w="4822" w:type="dxa"/>
            <w:gridSpan w:val="3"/>
            <w:shd w:val="clear" w:color="auto" w:fill="auto"/>
          </w:tcPr>
          <w:p w:rsidR="00FB22DB" w:rsidRPr="00C8684B" w:rsidRDefault="00FB22DB" w:rsidP="00DD0B44">
            <w:pPr>
              <w:pStyle w:val="TableBlock"/>
              <w:ind w:left="141"/>
              <w:rPr>
                <w:b/>
                <w:bCs/>
                <w:sz w:val="26"/>
                <w:rtl/>
              </w:rPr>
            </w:pPr>
            <w:r w:rsidRPr="00C8684B">
              <w:rPr>
                <w:rFonts w:hint="cs"/>
                <w:b/>
                <w:bCs/>
                <w:sz w:val="26"/>
                <w:rtl/>
              </w:rPr>
              <w:t>"חוזה ביטוח בעל ערך פדיון"-</w:t>
            </w:r>
            <w:r w:rsidRPr="00C8684B">
              <w:rPr>
                <w:rFonts w:hint="cs"/>
                <w:sz w:val="26"/>
                <w:rtl/>
              </w:rPr>
              <w:t xml:space="preserve"> חוזה ביטוח המקנה ערך פדיון, שאינו חוזה שיפוי בין שתי חברות ביטוח ולענין הסכם פטקא, חוזה ביטוח כאמור המקנה ערך פדיון מעל סכום שקלי שווה ערך ל-50,000 דולר של ארצות הברית, לפי השער היציג של הדולר של ארצות הברית;</w:t>
            </w:r>
          </w:p>
        </w:tc>
      </w:tr>
      <w:tr w:rsidR="00734C92" w:rsidRPr="00C8684B" w:rsidTr="00C118D0">
        <w:trPr>
          <w:cantSplit/>
          <w:trHeight w:val="60"/>
        </w:trPr>
        <w:tc>
          <w:tcPr>
            <w:tcW w:w="1871" w:type="dxa"/>
            <w:shd w:val="clear" w:color="auto" w:fill="auto"/>
          </w:tcPr>
          <w:p w:rsidR="00734C92" w:rsidRPr="00C8684B" w:rsidRDefault="00734C92" w:rsidP="00DD0B44">
            <w:pPr>
              <w:pStyle w:val="TableSideHeading"/>
              <w:rPr>
                <w:sz w:val="26"/>
              </w:rPr>
            </w:pPr>
          </w:p>
        </w:tc>
        <w:tc>
          <w:tcPr>
            <w:tcW w:w="624" w:type="dxa"/>
            <w:shd w:val="clear" w:color="auto" w:fill="auto"/>
          </w:tcPr>
          <w:p w:rsidR="00734C92" w:rsidRPr="00C8684B" w:rsidRDefault="00734C92" w:rsidP="00734C92">
            <w:pPr>
              <w:pStyle w:val="TableText"/>
            </w:pPr>
          </w:p>
        </w:tc>
        <w:tc>
          <w:tcPr>
            <w:tcW w:w="1048" w:type="dxa"/>
            <w:shd w:val="clear" w:color="auto" w:fill="auto"/>
          </w:tcPr>
          <w:p w:rsidR="00734C92" w:rsidRPr="00C8684B" w:rsidRDefault="00734C92" w:rsidP="00DD0B44">
            <w:pPr>
              <w:pStyle w:val="TableText"/>
              <w:rPr>
                <w:sz w:val="26"/>
              </w:rPr>
            </w:pPr>
          </w:p>
        </w:tc>
        <w:tc>
          <w:tcPr>
            <w:tcW w:w="1276" w:type="dxa"/>
            <w:gridSpan w:val="7"/>
            <w:shd w:val="clear" w:color="auto" w:fill="auto"/>
          </w:tcPr>
          <w:p w:rsidR="00734C92" w:rsidRPr="00C8684B" w:rsidRDefault="00734C92" w:rsidP="00DD0B44">
            <w:pPr>
              <w:pStyle w:val="TableBlock"/>
              <w:rPr>
                <w:sz w:val="26"/>
              </w:rPr>
            </w:pPr>
          </w:p>
        </w:tc>
        <w:tc>
          <w:tcPr>
            <w:tcW w:w="4822" w:type="dxa"/>
            <w:gridSpan w:val="3"/>
            <w:shd w:val="clear" w:color="auto" w:fill="auto"/>
          </w:tcPr>
          <w:p w:rsidR="00734C92" w:rsidRPr="00C8684B" w:rsidRDefault="00734C92" w:rsidP="00DD0B44">
            <w:pPr>
              <w:pStyle w:val="TableBlock"/>
              <w:ind w:left="141"/>
              <w:rPr>
                <w:b/>
                <w:bCs/>
                <w:sz w:val="26"/>
                <w:rtl/>
              </w:rPr>
            </w:pPr>
            <w:r w:rsidRPr="00734C92">
              <w:rPr>
                <w:b/>
                <w:bCs/>
                <w:sz w:val="26"/>
                <w:rtl/>
              </w:rPr>
              <w:t>"חוק פטקא</w:t>
            </w:r>
            <w:r w:rsidRPr="00734C92">
              <w:rPr>
                <w:sz w:val="26"/>
                <w:rtl/>
              </w:rPr>
              <w:t xml:space="preserve">"- חוק הציות האמריקאי לצרכי מס לענין חשבונות זרים    - </w:t>
            </w:r>
            <w:r w:rsidRPr="00734C92">
              <w:rPr>
                <w:sz w:val="26"/>
              </w:rPr>
              <w:t>The Foreign Account Tax Compliance Act  - FATCA</w:t>
            </w:r>
            <w:r w:rsidRPr="00734C92">
              <w:rPr>
                <w:sz w:val="26"/>
                <w:rtl/>
              </w:rPr>
              <w:t xml:space="preserve"> )       סעיפים 1471-1474 ל- </w:t>
            </w:r>
            <w:r w:rsidRPr="00734C92">
              <w:rPr>
                <w:sz w:val="26"/>
              </w:rPr>
              <w:t>Internal Revenue code</w:t>
            </w:r>
            <w:r w:rsidRPr="00734C92">
              <w:rPr>
                <w:sz w:val="26"/>
                <w:rtl/>
              </w:rPr>
              <w:t xml:space="preserve"> );</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1276" w:type="dxa"/>
            <w:gridSpan w:val="7"/>
            <w:shd w:val="clear" w:color="auto" w:fill="auto"/>
          </w:tcPr>
          <w:p w:rsidR="00FB22DB" w:rsidRPr="00C8684B" w:rsidRDefault="00FB22DB" w:rsidP="00DD0B44">
            <w:pPr>
              <w:pStyle w:val="TableBlock"/>
              <w:rPr>
                <w:sz w:val="26"/>
              </w:rPr>
            </w:pPr>
          </w:p>
        </w:tc>
        <w:tc>
          <w:tcPr>
            <w:tcW w:w="4822" w:type="dxa"/>
            <w:gridSpan w:val="3"/>
            <w:shd w:val="clear" w:color="auto" w:fill="auto"/>
          </w:tcPr>
          <w:p w:rsidR="00FB22DB" w:rsidRPr="00C8684B" w:rsidRDefault="00FB22DB" w:rsidP="00DD0B44">
            <w:pPr>
              <w:pStyle w:val="TableBlock"/>
              <w:ind w:left="141"/>
              <w:rPr>
                <w:b/>
                <w:bCs/>
                <w:sz w:val="26"/>
                <w:rtl/>
              </w:rPr>
            </w:pPr>
            <w:r w:rsidRPr="00C8684B">
              <w:rPr>
                <w:rFonts w:ascii="Times New Roman" w:eastAsia="Times New Roman" w:hAnsi="Times New Roman" w:hint="cs"/>
                <w:b/>
                <w:bCs/>
                <w:color w:val="auto"/>
                <w:sz w:val="26"/>
                <w:rtl/>
                <w:lang w:eastAsia="he-IL"/>
              </w:rPr>
              <w:t>"</w:t>
            </w:r>
            <w:r w:rsidRPr="00C8684B">
              <w:rPr>
                <w:rFonts w:hint="eastAsia"/>
                <w:b/>
                <w:bCs/>
                <w:sz w:val="26"/>
                <w:rtl/>
              </w:rPr>
              <w:t>חשבון</w:t>
            </w:r>
            <w:r w:rsidRPr="00C8684B">
              <w:rPr>
                <w:rFonts w:ascii="Times New Roman" w:eastAsia="Times New Roman" w:hAnsi="Times New Roman" w:hint="cs"/>
                <w:b/>
                <w:bCs/>
                <w:color w:val="auto"/>
                <w:sz w:val="26"/>
                <w:rtl/>
                <w:lang w:eastAsia="he-IL"/>
              </w:rPr>
              <w:t xml:space="preserve"> למשמורת"</w:t>
            </w:r>
            <w:r w:rsidRPr="00C8684B">
              <w:rPr>
                <w:rFonts w:ascii="Times New Roman" w:eastAsia="Times New Roman" w:hAnsi="Times New Roman" w:hint="cs"/>
                <w:color w:val="auto"/>
                <w:sz w:val="26"/>
                <w:rtl/>
                <w:lang w:eastAsia="he-IL"/>
              </w:rPr>
              <w:t xml:space="preserve"> – חשבון, שאינו חוזה ביטוח או חוזה קצבה או אנונה, לטובת אדם אחר, שבו מוחזק נכס פיננסי  לצורך השקעה;</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1276" w:type="dxa"/>
            <w:gridSpan w:val="7"/>
            <w:shd w:val="clear" w:color="auto" w:fill="auto"/>
          </w:tcPr>
          <w:p w:rsidR="00FB22DB" w:rsidRPr="00C8684B" w:rsidRDefault="00FB22DB" w:rsidP="00DD0B44">
            <w:pPr>
              <w:pStyle w:val="TableBlock"/>
              <w:rPr>
                <w:sz w:val="26"/>
              </w:rPr>
            </w:pPr>
          </w:p>
        </w:tc>
        <w:tc>
          <w:tcPr>
            <w:tcW w:w="4822" w:type="dxa"/>
            <w:gridSpan w:val="3"/>
            <w:shd w:val="clear" w:color="auto" w:fill="auto"/>
          </w:tcPr>
          <w:p w:rsidR="00FB22DB" w:rsidRPr="00C8684B" w:rsidRDefault="00FB22DB" w:rsidP="00DD0B44">
            <w:pPr>
              <w:pStyle w:val="TableBlock"/>
              <w:ind w:left="141"/>
              <w:rPr>
                <w:rFonts w:ascii="Times New Roman" w:eastAsia="Times New Roman" w:hAnsi="Times New Roman"/>
                <w:b/>
                <w:bCs/>
                <w:color w:val="auto"/>
                <w:sz w:val="26"/>
                <w:rtl/>
                <w:lang w:eastAsia="he-IL"/>
              </w:rPr>
            </w:pPr>
            <w:r w:rsidRPr="00C8684B">
              <w:rPr>
                <w:rFonts w:hint="cs"/>
                <w:b/>
                <w:bCs/>
                <w:sz w:val="26"/>
                <w:rtl/>
              </w:rPr>
              <w:t>"חשבון</w:t>
            </w:r>
            <w:r w:rsidRPr="00C8684B">
              <w:rPr>
                <w:rStyle w:val="ab"/>
                <w:rFonts w:hint="cs"/>
                <w:b/>
                <w:bCs/>
                <w:sz w:val="26"/>
                <w:szCs w:val="26"/>
                <w:rtl/>
              </w:rPr>
              <w:t xml:space="preserve"> פיננסי</w:t>
            </w:r>
            <w:r w:rsidRPr="00C8684B">
              <w:rPr>
                <w:rFonts w:hint="cs"/>
                <w:sz w:val="26"/>
                <w:rtl/>
              </w:rPr>
              <w:t>" - חשבון המוחזק  במוסד פיננסי, לרבות כל אחד מאלה:</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1276" w:type="dxa"/>
            <w:gridSpan w:val="7"/>
            <w:shd w:val="clear" w:color="auto" w:fill="auto"/>
          </w:tcPr>
          <w:p w:rsidR="00FB22DB" w:rsidRPr="00C8684B" w:rsidRDefault="00FB22DB" w:rsidP="00DD0B44">
            <w:pPr>
              <w:pStyle w:val="TableBlock"/>
              <w:rPr>
                <w:sz w:val="26"/>
              </w:rPr>
            </w:pPr>
          </w:p>
        </w:tc>
        <w:tc>
          <w:tcPr>
            <w:tcW w:w="4822" w:type="dxa"/>
            <w:gridSpan w:val="3"/>
            <w:shd w:val="clear" w:color="auto" w:fill="auto"/>
          </w:tcPr>
          <w:p w:rsidR="00FB22DB" w:rsidRPr="00C8684B" w:rsidRDefault="00FB22DB" w:rsidP="00DD0B44">
            <w:pPr>
              <w:pStyle w:val="TableBlock"/>
              <w:numPr>
                <w:ilvl w:val="0"/>
                <w:numId w:val="8"/>
              </w:numPr>
              <w:tabs>
                <w:tab w:val="clear" w:pos="765"/>
              </w:tabs>
              <w:ind w:left="0"/>
              <w:rPr>
                <w:sz w:val="26"/>
                <w:rtl/>
              </w:rPr>
            </w:pPr>
            <w:r w:rsidRPr="00C8684B">
              <w:rPr>
                <w:rFonts w:hint="cs"/>
                <w:sz w:val="26"/>
                <w:rtl/>
              </w:rPr>
              <w:t>חשבון פקדון;</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1276" w:type="dxa"/>
            <w:gridSpan w:val="7"/>
            <w:shd w:val="clear" w:color="auto" w:fill="auto"/>
          </w:tcPr>
          <w:p w:rsidR="00FB22DB" w:rsidRPr="00C8684B" w:rsidRDefault="00FB22DB" w:rsidP="00DD0B44">
            <w:pPr>
              <w:pStyle w:val="TableBlock"/>
              <w:rPr>
                <w:sz w:val="26"/>
              </w:rPr>
            </w:pPr>
          </w:p>
        </w:tc>
        <w:tc>
          <w:tcPr>
            <w:tcW w:w="4822" w:type="dxa"/>
            <w:gridSpan w:val="3"/>
            <w:shd w:val="clear" w:color="auto" w:fill="auto"/>
          </w:tcPr>
          <w:p w:rsidR="00FB22DB" w:rsidRPr="00C8684B" w:rsidRDefault="00FB22DB" w:rsidP="00DD0B44">
            <w:pPr>
              <w:pStyle w:val="TableBlock"/>
              <w:numPr>
                <w:ilvl w:val="0"/>
                <w:numId w:val="8"/>
              </w:numPr>
              <w:tabs>
                <w:tab w:val="clear" w:pos="765"/>
              </w:tabs>
              <w:ind w:left="0"/>
              <w:rPr>
                <w:sz w:val="26"/>
                <w:rtl/>
              </w:rPr>
            </w:pPr>
            <w:r w:rsidRPr="00C8684B">
              <w:rPr>
                <w:rFonts w:hint="cs"/>
                <w:sz w:val="26"/>
                <w:rtl/>
              </w:rPr>
              <w:t>חשבון למשמורת;</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1276" w:type="dxa"/>
            <w:gridSpan w:val="7"/>
            <w:shd w:val="clear" w:color="auto" w:fill="auto"/>
          </w:tcPr>
          <w:p w:rsidR="00FB22DB" w:rsidRPr="00C8684B" w:rsidRDefault="00FB22DB" w:rsidP="00DD0B44">
            <w:pPr>
              <w:pStyle w:val="TableBlock"/>
              <w:rPr>
                <w:sz w:val="26"/>
              </w:rPr>
            </w:pPr>
          </w:p>
        </w:tc>
        <w:tc>
          <w:tcPr>
            <w:tcW w:w="4822" w:type="dxa"/>
            <w:gridSpan w:val="3"/>
            <w:shd w:val="clear" w:color="auto" w:fill="auto"/>
          </w:tcPr>
          <w:p w:rsidR="00FB22DB" w:rsidRPr="00C8684B" w:rsidRDefault="00FB22DB" w:rsidP="00DD0B44">
            <w:pPr>
              <w:pStyle w:val="TableBlock"/>
              <w:numPr>
                <w:ilvl w:val="0"/>
                <w:numId w:val="8"/>
              </w:numPr>
              <w:tabs>
                <w:tab w:val="clear" w:pos="765"/>
              </w:tabs>
              <w:ind w:left="0"/>
              <w:rPr>
                <w:sz w:val="26"/>
                <w:rtl/>
              </w:rPr>
            </w:pPr>
            <w:r w:rsidRPr="00C8684B">
              <w:rPr>
                <w:rFonts w:hint="cs"/>
                <w:sz w:val="26"/>
                <w:rtl/>
              </w:rPr>
              <w:t>לענין ישות השקעות שהיא מוסד פיננסי רק בשל היותה ישות השקעות - כל זכות בהון או זכות בחוב באותה ישות השקעות, ובלבד שאינה זכות הנסחרת באופן קבוע בשוק ניירות ערך</w:t>
            </w:r>
            <w:r w:rsidRPr="00C8684B">
              <w:rPr>
                <w:sz w:val="26"/>
                <w:rtl/>
              </w:rPr>
              <w:t xml:space="preserve"> מוסדר;</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1276" w:type="dxa"/>
            <w:gridSpan w:val="7"/>
            <w:shd w:val="clear" w:color="auto" w:fill="auto"/>
          </w:tcPr>
          <w:p w:rsidR="00FB22DB" w:rsidRPr="00C8684B" w:rsidRDefault="00FB22DB" w:rsidP="00DD0B44">
            <w:pPr>
              <w:pStyle w:val="TableBlock"/>
              <w:rPr>
                <w:sz w:val="26"/>
              </w:rPr>
            </w:pPr>
          </w:p>
        </w:tc>
        <w:tc>
          <w:tcPr>
            <w:tcW w:w="4822" w:type="dxa"/>
            <w:gridSpan w:val="3"/>
            <w:shd w:val="clear" w:color="auto" w:fill="auto"/>
          </w:tcPr>
          <w:p w:rsidR="00FB22DB" w:rsidRPr="00C8684B" w:rsidRDefault="00FB22DB" w:rsidP="00DD0B44">
            <w:pPr>
              <w:pStyle w:val="TableBlock"/>
              <w:numPr>
                <w:ilvl w:val="0"/>
                <w:numId w:val="8"/>
              </w:numPr>
              <w:tabs>
                <w:tab w:val="clear" w:pos="765"/>
              </w:tabs>
              <w:ind w:left="0"/>
              <w:rPr>
                <w:sz w:val="26"/>
                <w:rtl/>
              </w:rPr>
            </w:pPr>
            <w:r w:rsidRPr="00C8684B">
              <w:rPr>
                <w:rFonts w:hint="cs"/>
                <w:sz w:val="26"/>
                <w:rtl/>
              </w:rPr>
              <w:t xml:space="preserve">לענין מוסד פיננסי שאינו ישות השקעות כאמור בפסקת משנה (3) - כל זכות בהון </w:t>
            </w:r>
            <w:r w:rsidRPr="00C8684B">
              <w:rPr>
                <w:rFonts w:hint="eastAsia"/>
                <w:sz w:val="26"/>
                <w:rtl/>
              </w:rPr>
              <w:t>או</w:t>
            </w:r>
            <w:r w:rsidRPr="00C8684B">
              <w:rPr>
                <w:sz w:val="26"/>
                <w:rtl/>
              </w:rPr>
              <w:t xml:space="preserve"> </w:t>
            </w:r>
            <w:r w:rsidRPr="00C8684B">
              <w:rPr>
                <w:rFonts w:hint="eastAsia"/>
                <w:sz w:val="26"/>
                <w:rtl/>
              </w:rPr>
              <w:t>זכות</w:t>
            </w:r>
            <w:r w:rsidRPr="00C8684B">
              <w:rPr>
                <w:sz w:val="26"/>
                <w:rtl/>
              </w:rPr>
              <w:t xml:space="preserve"> </w:t>
            </w:r>
            <w:r w:rsidRPr="00C8684B">
              <w:rPr>
                <w:rFonts w:hint="eastAsia"/>
                <w:sz w:val="26"/>
                <w:rtl/>
              </w:rPr>
              <w:t>בחוב</w:t>
            </w:r>
            <w:r w:rsidRPr="00C8684B">
              <w:rPr>
                <w:sz w:val="26"/>
                <w:rtl/>
              </w:rPr>
              <w:t xml:space="preserve"> שאינה </w:t>
            </w:r>
            <w:r w:rsidRPr="00C8684B">
              <w:rPr>
                <w:rFonts w:hint="cs"/>
                <w:sz w:val="26"/>
                <w:rtl/>
              </w:rPr>
              <w:t>זכות הנסחרת באופן קבוע בשוק ניירות ערך מוסדר, שמתקיימים לגביה:</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284" w:type="dxa"/>
            <w:shd w:val="clear" w:color="auto" w:fill="auto"/>
          </w:tcPr>
          <w:p w:rsidR="00FB22DB" w:rsidRPr="00C8684B" w:rsidRDefault="00FB22DB" w:rsidP="00DD0B44">
            <w:pPr>
              <w:pStyle w:val="TableText"/>
              <w:rPr>
                <w:sz w:val="26"/>
              </w:rPr>
            </w:pPr>
          </w:p>
        </w:tc>
        <w:tc>
          <w:tcPr>
            <w:tcW w:w="4538" w:type="dxa"/>
            <w:gridSpan w:val="2"/>
            <w:shd w:val="clear" w:color="auto" w:fill="auto"/>
          </w:tcPr>
          <w:p w:rsidR="00FB22DB" w:rsidRPr="00C8684B" w:rsidRDefault="00FB22DB" w:rsidP="00DD0B44">
            <w:pPr>
              <w:pStyle w:val="TableBlock"/>
              <w:numPr>
                <w:ilvl w:val="0"/>
                <w:numId w:val="9"/>
              </w:numPr>
              <w:tabs>
                <w:tab w:val="left" w:pos="624"/>
              </w:tabs>
              <w:rPr>
                <w:sz w:val="26"/>
              </w:rPr>
            </w:pPr>
            <w:r w:rsidRPr="00C8684B">
              <w:rPr>
                <w:rFonts w:hint="cs"/>
                <w:sz w:val="26"/>
                <w:rtl/>
              </w:rPr>
              <w:t xml:space="preserve">ערך הזכות בהון או בחוב נקבע, במישרין או בעקיפין, בעיקר בהתייחס לנכסים שמהכנסות שמקורן באותם הנכסים </w:t>
            </w:r>
            <w:r w:rsidRPr="00C8684B">
              <w:rPr>
                <w:rFonts w:hint="cs"/>
                <w:color w:val="auto"/>
                <w:sz w:val="26"/>
                <w:rtl/>
              </w:rPr>
              <w:t>יש לנכות מס במקור בארצות הברית של אמריקה.</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284" w:type="dxa"/>
            <w:shd w:val="clear" w:color="auto" w:fill="auto"/>
          </w:tcPr>
          <w:p w:rsidR="00FB22DB" w:rsidRPr="00C8684B" w:rsidRDefault="00FB22DB" w:rsidP="00DD0B44">
            <w:pPr>
              <w:pStyle w:val="TableText"/>
              <w:rPr>
                <w:sz w:val="26"/>
              </w:rPr>
            </w:pPr>
          </w:p>
        </w:tc>
        <w:tc>
          <w:tcPr>
            <w:tcW w:w="4538" w:type="dxa"/>
            <w:gridSpan w:val="2"/>
            <w:shd w:val="clear" w:color="auto" w:fill="auto"/>
          </w:tcPr>
          <w:p w:rsidR="00FB22DB" w:rsidRPr="00C8684B" w:rsidRDefault="00FB22DB" w:rsidP="00DD0B44">
            <w:pPr>
              <w:pStyle w:val="TableBlock"/>
              <w:numPr>
                <w:ilvl w:val="0"/>
                <w:numId w:val="9"/>
              </w:numPr>
              <w:tabs>
                <w:tab w:val="left" w:pos="624"/>
              </w:tabs>
              <w:rPr>
                <w:sz w:val="26"/>
                <w:rtl/>
              </w:rPr>
            </w:pPr>
            <w:r w:rsidRPr="00C8684B">
              <w:rPr>
                <w:rFonts w:hint="cs"/>
                <w:sz w:val="26"/>
                <w:rtl/>
              </w:rPr>
              <w:t>סוג הזכויות נקבע במטרה להימנע מדיווח לפי ההסכם עם המדינה הזרה;</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numPr>
                <w:ilvl w:val="0"/>
                <w:numId w:val="8"/>
              </w:numPr>
              <w:rPr>
                <w:sz w:val="26"/>
              </w:rPr>
            </w:pPr>
            <w:r w:rsidRPr="00C8684B">
              <w:rPr>
                <w:rFonts w:hint="cs"/>
                <w:sz w:val="26"/>
                <w:rtl/>
              </w:rPr>
              <w:t>חוזה ביטוח בעל ערך פדיון או חוזה קצבה או אנונה המונפק על ידי מוסד פיננסי או מוחזק בו, למעט חוזה המממן הטבה פנסיונית או הטבת נכות שניתנה ליחיד מחשבון שהוחרג מהגדרת חשבון פיננסי בהסכם עם המדינה הזרה, ושמתקיימים בו כל אלה:</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numPr>
                <w:ilvl w:val="0"/>
                <w:numId w:val="10"/>
              </w:numPr>
              <w:tabs>
                <w:tab w:val="clear" w:pos="765"/>
              </w:tabs>
              <w:ind w:left="0"/>
              <w:rPr>
                <w:sz w:val="26"/>
                <w:rtl/>
              </w:rPr>
            </w:pPr>
            <w:r w:rsidRPr="00C8684B">
              <w:rPr>
                <w:rFonts w:hint="eastAsia"/>
                <w:sz w:val="26"/>
                <w:rtl/>
              </w:rPr>
              <w:t>הוא</w:t>
            </w:r>
            <w:r w:rsidRPr="00C8684B">
              <w:rPr>
                <w:sz w:val="26"/>
                <w:rtl/>
              </w:rPr>
              <w:t xml:space="preserve"> </w:t>
            </w:r>
            <w:r w:rsidRPr="00C8684B">
              <w:rPr>
                <w:rFonts w:hint="eastAsia"/>
                <w:sz w:val="26"/>
                <w:rtl/>
              </w:rPr>
              <w:t>לא</w:t>
            </w:r>
            <w:r w:rsidRPr="00C8684B">
              <w:rPr>
                <w:sz w:val="26"/>
                <w:rtl/>
              </w:rPr>
              <w:t xml:space="preserve"> </w:t>
            </w:r>
            <w:r w:rsidRPr="00C8684B">
              <w:rPr>
                <w:rFonts w:hint="eastAsia"/>
                <w:sz w:val="26"/>
                <w:rtl/>
              </w:rPr>
              <w:t>ניתן</w:t>
            </w:r>
            <w:r w:rsidRPr="00C8684B">
              <w:rPr>
                <w:sz w:val="26"/>
                <w:rtl/>
              </w:rPr>
              <w:t xml:space="preserve"> </w:t>
            </w:r>
            <w:r w:rsidRPr="00C8684B">
              <w:rPr>
                <w:rFonts w:hint="eastAsia"/>
                <w:sz w:val="26"/>
                <w:rtl/>
              </w:rPr>
              <w:t>להעברה</w:t>
            </w:r>
            <w:r w:rsidRPr="00C8684B">
              <w:rPr>
                <w:sz w:val="26"/>
                <w:rtl/>
              </w:rPr>
              <w:t>;</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numPr>
                <w:ilvl w:val="0"/>
                <w:numId w:val="10"/>
              </w:numPr>
              <w:tabs>
                <w:tab w:val="clear" w:pos="765"/>
              </w:tabs>
              <w:ind w:left="0"/>
              <w:rPr>
                <w:sz w:val="26"/>
                <w:rtl/>
              </w:rPr>
            </w:pPr>
            <w:r w:rsidRPr="00C8684B">
              <w:rPr>
                <w:rFonts w:hint="eastAsia"/>
                <w:sz w:val="26"/>
                <w:rtl/>
              </w:rPr>
              <w:t>הוא</w:t>
            </w:r>
            <w:r w:rsidRPr="00C8684B">
              <w:rPr>
                <w:sz w:val="26"/>
                <w:rtl/>
              </w:rPr>
              <w:t xml:space="preserve"> </w:t>
            </w:r>
            <w:r w:rsidRPr="00C8684B">
              <w:rPr>
                <w:rFonts w:hint="eastAsia"/>
                <w:sz w:val="26"/>
                <w:rtl/>
              </w:rPr>
              <w:t>אינו</w:t>
            </w:r>
            <w:r w:rsidRPr="00C8684B">
              <w:rPr>
                <w:sz w:val="26"/>
                <w:rtl/>
              </w:rPr>
              <w:t xml:space="preserve"> </w:t>
            </w:r>
            <w:r w:rsidRPr="00C8684B">
              <w:rPr>
                <w:rFonts w:hint="eastAsia"/>
                <w:sz w:val="26"/>
                <w:rtl/>
              </w:rPr>
              <w:t>תלוי</w:t>
            </w:r>
            <w:r w:rsidRPr="00C8684B">
              <w:rPr>
                <w:sz w:val="26"/>
                <w:rtl/>
              </w:rPr>
              <w:t xml:space="preserve"> </w:t>
            </w:r>
            <w:r w:rsidRPr="00C8684B">
              <w:rPr>
                <w:rFonts w:hint="eastAsia"/>
                <w:sz w:val="26"/>
                <w:rtl/>
              </w:rPr>
              <w:t>תשואה</w:t>
            </w:r>
            <w:r w:rsidRPr="00C8684B">
              <w:rPr>
                <w:sz w:val="26"/>
                <w:rtl/>
              </w:rPr>
              <w:t>;</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numPr>
                <w:ilvl w:val="0"/>
                <w:numId w:val="10"/>
              </w:numPr>
              <w:tabs>
                <w:tab w:val="clear" w:pos="765"/>
              </w:tabs>
              <w:ind w:left="0"/>
              <w:rPr>
                <w:sz w:val="26"/>
                <w:rtl/>
              </w:rPr>
            </w:pPr>
            <w:r w:rsidRPr="00C8684B">
              <w:rPr>
                <w:rFonts w:hint="eastAsia"/>
                <w:sz w:val="26"/>
                <w:rtl/>
              </w:rPr>
              <w:t>הוא</w:t>
            </w:r>
            <w:r w:rsidRPr="00C8684B">
              <w:rPr>
                <w:sz w:val="26"/>
                <w:rtl/>
              </w:rPr>
              <w:t xml:space="preserve"> </w:t>
            </w:r>
            <w:r w:rsidRPr="00C8684B">
              <w:rPr>
                <w:rFonts w:hint="eastAsia"/>
                <w:sz w:val="26"/>
                <w:rtl/>
              </w:rPr>
              <w:t>לקצבת</w:t>
            </w:r>
            <w:r w:rsidRPr="00C8684B">
              <w:rPr>
                <w:sz w:val="26"/>
                <w:rtl/>
              </w:rPr>
              <w:t xml:space="preserve"> </w:t>
            </w:r>
            <w:r w:rsidRPr="00C8684B">
              <w:rPr>
                <w:rFonts w:hint="eastAsia"/>
                <w:sz w:val="26"/>
                <w:rtl/>
              </w:rPr>
              <w:t>חיים</w:t>
            </w:r>
            <w:r w:rsidRPr="00C8684B">
              <w:rPr>
                <w:sz w:val="26"/>
                <w:rtl/>
              </w:rPr>
              <w:t xml:space="preserve"> </w:t>
            </w:r>
            <w:r w:rsidRPr="00C8684B">
              <w:rPr>
                <w:rFonts w:hint="eastAsia"/>
                <w:sz w:val="26"/>
                <w:rtl/>
              </w:rPr>
              <w:t>מידית</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ind w:left="141"/>
              <w:rPr>
                <w:b/>
                <w:bCs/>
                <w:spacing w:val="60"/>
                <w:sz w:val="26"/>
              </w:rPr>
            </w:pPr>
            <w:r w:rsidRPr="00C8684B">
              <w:rPr>
                <w:rFonts w:hint="cs"/>
                <w:sz w:val="26"/>
                <w:rtl/>
              </w:rPr>
              <w:t>לעניין</w:t>
            </w:r>
            <w:r w:rsidRPr="00C8684B">
              <w:rPr>
                <w:sz w:val="26"/>
                <w:rtl/>
              </w:rPr>
              <w:t xml:space="preserve"> </w:t>
            </w:r>
            <w:r w:rsidRPr="00C8684B">
              <w:rPr>
                <w:rFonts w:hint="cs"/>
                <w:sz w:val="26"/>
                <w:rtl/>
              </w:rPr>
              <w:t>זה</w:t>
            </w:r>
            <w:r w:rsidRPr="00C8684B">
              <w:rPr>
                <w:sz w:val="26"/>
                <w:rtl/>
              </w:rPr>
              <w:t>:</w:t>
            </w:r>
          </w:p>
          <w:p w:rsidR="00FB22DB" w:rsidRPr="00C8684B" w:rsidRDefault="00FB22DB" w:rsidP="00DD0B44">
            <w:pPr>
              <w:pStyle w:val="TableBlock"/>
              <w:rPr>
                <w:sz w:val="26"/>
              </w:rPr>
            </w:pPr>
            <w:r w:rsidRPr="00C8684B">
              <w:rPr>
                <w:sz w:val="26"/>
                <w:rtl/>
              </w:rPr>
              <w:t xml:space="preserve"> "</w:t>
            </w:r>
            <w:r w:rsidRPr="00C8684B">
              <w:rPr>
                <w:rFonts w:hint="cs"/>
                <w:b/>
                <w:bCs/>
                <w:sz w:val="26"/>
                <w:rtl/>
              </w:rPr>
              <w:t>קצבת</w:t>
            </w:r>
            <w:r w:rsidRPr="00C8684B">
              <w:rPr>
                <w:b/>
                <w:bCs/>
                <w:sz w:val="26"/>
                <w:rtl/>
              </w:rPr>
              <w:t xml:space="preserve"> </w:t>
            </w:r>
            <w:r w:rsidRPr="00C8684B">
              <w:rPr>
                <w:rFonts w:hint="cs"/>
                <w:b/>
                <w:bCs/>
                <w:sz w:val="26"/>
                <w:rtl/>
              </w:rPr>
              <w:t>חיים</w:t>
            </w:r>
            <w:r w:rsidRPr="00C8684B">
              <w:rPr>
                <w:b/>
                <w:bCs/>
                <w:sz w:val="26"/>
                <w:rtl/>
              </w:rPr>
              <w:t xml:space="preserve"> </w:t>
            </w:r>
            <w:r w:rsidRPr="00C8684B">
              <w:rPr>
                <w:rFonts w:hint="cs"/>
                <w:b/>
                <w:bCs/>
                <w:sz w:val="26"/>
                <w:rtl/>
              </w:rPr>
              <w:t>מידית</w:t>
            </w:r>
            <w:r w:rsidRPr="00C8684B">
              <w:rPr>
                <w:sz w:val="26"/>
                <w:rtl/>
              </w:rPr>
              <w:t xml:space="preserve">" - קצבה למשך חיי אדם אחד או יותר, ובלבד שתשלומי הקצבה משולמים </w:t>
            </w:r>
            <w:r w:rsidRPr="00C8684B">
              <w:rPr>
                <w:rFonts w:hint="cs"/>
                <w:sz w:val="26"/>
                <w:rtl/>
              </w:rPr>
              <w:t>לא</w:t>
            </w:r>
            <w:r w:rsidRPr="00C8684B">
              <w:rPr>
                <w:sz w:val="26"/>
                <w:rtl/>
              </w:rPr>
              <w:t xml:space="preserve"> </w:t>
            </w:r>
            <w:r w:rsidRPr="00C8684B">
              <w:rPr>
                <w:rFonts w:hint="cs"/>
                <w:sz w:val="26"/>
                <w:rtl/>
              </w:rPr>
              <w:t>יאוחר</w:t>
            </w:r>
            <w:r w:rsidRPr="00C8684B">
              <w:rPr>
                <w:sz w:val="26"/>
                <w:rtl/>
              </w:rPr>
              <w:t xml:space="preserve">  </w:t>
            </w:r>
            <w:r w:rsidRPr="00C8684B">
              <w:rPr>
                <w:rFonts w:hint="cs"/>
                <w:sz w:val="26"/>
                <w:rtl/>
              </w:rPr>
              <w:t>משנה</w:t>
            </w:r>
            <w:r w:rsidRPr="00C8684B">
              <w:rPr>
                <w:sz w:val="26"/>
                <w:rtl/>
              </w:rPr>
              <w:t xml:space="preserve"> </w:t>
            </w:r>
            <w:r w:rsidRPr="00C8684B">
              <w:rPr>
                <w:rFonts w:hint="cs"/>
                <w:sz w:val="26"/>
                <w:rtl/>
              </w:rPr>
              <w:t>לאחר</w:t>
            </w:r>
            <w:r w:rsidRPr="00C8684B">
              <w:rPr>
                <w:sz w:val="26"/>
                <w:rtl/>
              </w:rPr>
              <w:t xml:space="preserve"> </w:t>
            </w:r>
            <w:r w:rsidRPr="00C8684B">
              <w:rPr>
                <w:rFonts w:hint="cs"/>
                <w:sz w:val="26"/>
                <w:rtl/>
              </w:rPr>
              <w:t>מועד</w:t>
            </w:r>
            <w:r w:rsidRPr="00C8684B">
              <w:rPr>
                <w:sz w:val="26"/>
                <w:rtl/>
              </w:rPr>
              <w:t xml:space="preserve"> </w:t>
            </w:r>
            <w:r w:rsidRPr="00C8684B">
              <w:rPr>
                <w:rFonts w:hint="cs"/>
                <w:sz w:val="26"/>
                <w:rtl/>
              </w:rPr>
              <w:t>ההפקדה</w:t>
            </w:r>
            <w:r w:rsidRPr="00C8684B">
              <w:rPr>
                <w:sz w:val="26"/>
                <w:rtl/>
              </w:rPr>
              <w:t xml:space="preserve"> ותשלומי הקצבה שווים ומשולמים אחת לשנה או בתדירות גבוהה יותר.</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ind w:left="141"/>
              <w:rPr>
                <w:sz w:val="26"/>
                <w:rtl/>
              </w:rPr>
            </w:pPr>
            <w:r w:rsidRPr="00C8684B">
              <w:rPr>
                <w:rFonts w:hint="eastAsia"/>
                <w:sz w:val="26"/>
                <w:rtl/>
              </w:rPr>
              <w:t>והכל</w:t>
            </w:r>
            <w:r w:rsidRPr="00C8684B">
              <w:rPr>
                <w:sz w:val="26"/>
                <w:rtl/>
              </w:rPr>
              <w:t xml:space="preserve"> </w:t>
            </w:r>
            <w:r w:rsidRPr="00C8684B">
              <w:rPr>
                <w:rFonts w:hint="eastAsia"/>
                <w:sz w:val="26"/>
                <w:rtl/>
              </w:rPr>
              <w:t>למעט</w:t>
            </w:r>
            <w:r w:rsidRPr="00C8684B">
              <w:rPr>
                <w:sz w:val="26"/>
                <w:rtl/>
              </w:rPr>
              <w:t xml:space="preserve"> </w:t>
            </w:r>
            <w:r w:rsidRPr="00C8684B">
              <w:rPr>
                <w:rFonts w:hint="eastAsia"/>
                <w:sz w:val="26"/>
                <w:rtl/>
              </w:rPr>
              <w:t>חשבון</w:t>
            </w:r>
            <w:r w:rsidRPr="00C8684B">
              <w:rPr>
                <w:sz w:val="26"/>
                <w:rtl/>
              </w:rPr>
              <w:t xml:space="preserve"> </w:t>
            </w:r>
            <w:r w:rsidRPr="00C8684B">
              <w:rPr>
                <w:rFonts w:hint="eastAsia"/>
                <w:sz w:val="26"/>
                <w:rtl/>
              </w:rPr>
              <w:t>כאמור</w:t>
            </w:r>
            <w:r w:rsidRPr="00C8684B">
              <w:rPr>
                <w:sz w:val="26"/>
                <w:rtl/>
              </w:rPr>
              <w:t xml:space="preserve"> </w:t>
            </w:r>
            <w:r w:rsidRPr="00C8684B">
              <w:rPr>
                <w:rFonts w:hint="eastAsia"/>
                <w:sz w:val="26"/>
                <w:rtl/>
              </w:rPr>
              <w:t>שהוחרג</w:t>
            </w:r>
            <w:r w:rsidRPr="00C8684B">
              <w:rPr>
                <w:sz w:val="26"/>
                <w:rtl/>
              </w:rPr>
              <w:t xml:space="preserve"> </w:t>
            </w:r>
            <w:r w:rsidRPr="00C8684B">
              <w:rPr>
                <w:rFonts w:hint="cs"/>
                <w:sz w:val="26"/>
                <w:rtl/>
              </w:rPr>
              <w:t>מהגדרת</w:t>
            </w:r>
            <w:r w:rsidRPr="00C8684B">
              <w:rPr>
                <w:sz w:val="26"/>
                <w:rtl/>
              </w:rPr>
              <w:t xml:space="preserve"> </w:t>
            </w:r>
            <w:r w:rsidRPr="00C8684B">
              <w:rPr>
                <w:rFonts w:hint="cs"/>
                <w:sz w:val="26"/>
                <w:rtl/>
              </w:rPr>
              <w:t>חשבון</w:t>
            </w:r>
            <w:r w:rsidRPr="00C8684B">
              <w:rPr>
                <w:sz w:val="26"/>
                <w:rtl/>
              </w:rPr>
              <w:t xml:space="preserve"> </w:t>
            </w:r>
            <w:r w:rsidRPr="00C8684B">
              <w:rPr>
                <w:rFonts w:hint="cs"/>
                <w:sz w:val="26"/>
                <w:rtl/>
              </w:rPr>
              <w:t>פיננסי</w:t>
            </w:r>
            <w:r w:rsidRPr="00C8684B">
              <w:rPr>
                <w:sz w:val="26"/>
                <w:rtl/>
              </w:rPr>
              <w:t xml:space="preserve"> </w:t>
            </w:r>
            <w:r w:rsidRPr="00C8684B">
              <w:rPr>
                <w:rFonts w:hint="cs"/>
                <w:sz w:val="26"/>
                <w:rtl/>
              </w:rPr>
              <w:t>בהסכם</w:t>
            </w:r>
            <w:r w:rsidRPr="00C8684B">
              <w:rPr>
                <w:sz w:val="26"/>
                <w:rtl/>
              </w:rPr>
              <w:t xml:space="preserve"> </w:t>
            </w:r>
            <w:r w:rsidRPr="00C8684B">
              <w:rPr>
                <w:rFonts w:hint="cs"/>
                <w:sz w:val="26"/>
                <w:rtl/>
              </w:rPr>
              <w:t>עם</w:t>
            </w:r>
            <w:r w:rsidRPr="00C8684B">
              <w:rPr>
                <w:sz w:val="26"/>
                <w:rtl/>
              </w:rPr>
              <w:t xml:space="preserve"> </w:t>
            </w:r>
            <w:r w:rsidRPr="00C8684B">
              <w:rPr>
                <w:rFonts w:hint="cs"/>
                <w:sz w:val="26"/>
                <w:rtl/>
              </w:rPr>
              <w:t>המדינה</w:t>
            </w:r>
            <w:r w:rsidRPr="00C8684B">
              <w:rPr>
                <w:sz w:val="26"/>
                <w:rtl/>
              </w:rPr>
              <w:t xml:space="preserve"> </w:t>
            </w:r>
            <w:r w:rsidRPr="00C8684B">
              <w:rPr>
                <w:rFonts w:hint="cs"/>
                <w:sz w:val="26"/>
                <w:rtl/>
              </w:rPr>
              <w:t>הזרה</w:t>
            </w:r>
            <w:r w:rsidRPr="00C8684B">
              <w:rPr>
                <w:sz w:val="26"/>
                <w:rtl/>
              </w:rPr>
              <w:t>;</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ind w:left="141"/>
              <w:rPr>
                <w:sz w:val="26"/>
                <w:rtl/>
              </w:rPr>
            </w:pPr>
            <w:r w:rsidRPr="00C8684B">
              <w:rPr>
                <w:rFonts w:hint="eastAsia"/>
                <w:sz w:val="26"/>
                <w:rtl/>
              </w:rPr>
              <w:t>לענין</w:t>
            </w:r>
            <w:r w:rsidRPr="00C8684B">
              <w:rPr>
                <w:sz w:val="26"/>
                <w:rtl/>
              </w:rPr>
              <w:t xml:space="preserve"> הגדרה זו יראו זכויות כנסחרות באופן קבוע, אם קיים היקף משמעותי של מסחר בזכויות באופן שוטף בשוק ניירות ערך מוסדר, שהוא בורסה המוכרת רשמית ומפוקחת על ידי רשות ממשלתית שבה השוק נמצא, וערך שנתי משמעותי של מניות נסחר בה. זכות במוסד פיננסי אינה נסחרת באופן קבוע ויראו אותה כחשבון פיננסי, אם המחזיק בה, שאינו מוסד פיננסי המשמש כמתווך, רשום בספרי מוסד פיננסי כאמור;</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ind w:left="141"/>
              <w:rPr>
                <w:sz w:val="26"/>
                <w:rtl/>
              </w:rPr>
            </w:pPr>
            <w:r w:rsidRPr="00C8684B">
              <w:rPr>
                <w:rFonts w:ascii="Times New Roman" w:eastAsia="Times New Roman" w:hAnsi="Times New Roman" w:hint="cs"/>
                <w:b/>
                <w:bCs/>
                <w:color w:val="auto"/>
                <w:sz w:val="26"/>
                <w:rtl/>
                <w:lang w:eastAsia="he-IL"/>
              </w:rPr>
              <w:t>חשבון פקדון"</w:t>
            </w:r>
            <w:r w:rsidRPr="00C8684B">
              <w:rPr>
                <w:rFonts w:ascii="Times New Roman" w:eastAsia="Times New Roman" w:hAnsi="Times New Roman" w:hint="cs"/>
                <w:color w:val="auto"/>
                <w:sz w:val="26"/>
                <w:rtl/>
                <w:lang w:eastAsia="he-IL"/>
              </w:rPr>
              <w:t xml:space="preserve"> - חשבון </w:t>
            </w:r>
            <w:r w:rsidRPr="00C8684B">
              <w:rPr>
                <w:rFonts w:hint="eastAsia"/>
                <w:sz w:val="26"/>
                <w:rtl/>
              </w:rPr>
              <w:t>מסחרי</w:t>
            </w:r>
            <w:r w:rsidRPr="00C8684B">
              <w:rPr>
                <w:rFonts w:ascii="Times New Roman" w:eastAsia="Times New Roman" w:hAnsi="Times New Roman" w:hint="cs"/>
                <w:color w:val="auto"/>
                <w:sz w:val="26"/>
                <w:rtl/>
                <w:lang w:eastAsia="he-IL"/>
              </w:rPr>
              <w:t>, עו"ש, חיסכון, פקדון לזמן קצוב או חשבון שהעדות לו היא תעודת פיקדון, תעודת חיסכון, תעודת השקעה, תעודת חוב, או מכשיר דומה אחר המוחזק במוסד פיננסי במהלך הרגיל של עסקים בנקאיים או עסקים דומים, לרבות  חוזה השקעה המוחזק בחברת ביטוח המבטיח תשואה או חוזה דומה אחר לתשלום ריבית;</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ind w:left="141"/>
              <w:rPr>
                <w:rFonts w:ascii="Times New Roman" w:eastAsia="Times New Roman" w:hAnsi="Times New Roman"/>
                <w:b/>
                <w:bCs/>
                <w:color w:val="auto"/>
                <w:sz w:val="26"/>
                <w:rtl/>
                <w:lang w:eastAsia="he-IL"/>
              </w:rPr>
            </w:pPr>
            <w:r w:rsidRPr="00C8684B">
              <w:rPr>
                <w:rFonts w:ascii="Times New Roman" w:eastAsia="Times New Roman" w:hAnsi="Times New Roman" w:hint="cs"/>
                <w:b/>
                <w:bCs/>
                <w:color w:val="auto"/>
                <w:sz w:val="26"/>
                <w:rtl/>
                <w:lang w:eastAsia="he-IL"/>
              </w:rPr>
              <w:t>"חשבון פיננסי חדש שנפתח לפני יום התחילה"-</w:t>
            </w:r>
            <w:r w:rsidRPr="00FE769F">
              <w:rPr>
                <w:rFonts w:ascii="Times New Roman" w:eastAsia="Times New Roman" w:hAnsi="Times New Roman" w:hint="cs"/>
                <w:color w:val="auto"/>
                <w:sz w:val="26"/>
                <w:rtl/>
                <w:lang w:eastAsia="he-IL"/>
              </w:rPr>
              <w:t>ח</w:t>
            </w:r>
            <w:r w:rsidRPr="00C8684B">
              <w:rPr>
                <w:rFonts w:ascii="Times New Roman" w:eastAsia="Times New Roman" w:hAnsi="Times New Roman" w:hint="cs"/>
                <w:color w:val="auto"/>
                <w:sz w:val="26"/>
                <w:rtl/>
                <w:lang w:eastAsia="he-IL"/>
              </w:rPr>
              <w:t>שבון פיננסי שנפתח בתקופה שמיום ג' בתמוז התשע"ד (1 ביולי 2014) ועד יום תחילתן של התקנות לפי סעיף זה;</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rPr>
                <w:rFonts w:ascii="Times New Roman" w:eastAsia="Times New Roman" w:hAnsi="Times New Roman"/>
                <w:b/>
                <w:bCs/>
                <w:color w:val="auto"/>
                <w:sz w:val="26"/>
                <w:rtl/>
                <w:lang w:eastAsia="he-IL"/>
              </w:rPr>
            </w:pPr>
            <w:r w:rsidRPr="00C8684B">
              <w:rPr>
                <w:rFonts w:hint="cs"/>
                <w:b/>
                <w:bCs/>
                <w:sz w:val="26"/>
                <w:rtl/>
              </w:rPr>
              <w:t>"ישות"</w:t>
            </w:r>
            <w:r w:rsidRPr="00C8684B">
              <w:rPr>
                <w:rFonts w:hint="cs"/>
                <w:sz w:val="26"/>
                <w:rtl/>
              </w:rPr>
              <w:t xml:space="preserve"> – חבר בני-אדם או הסדר משפטי;</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rPr>
                <w:b/>
                <w:bCs/>
                <w:sz w:val="26"/>
                <w:rtl/>
              </w:rPr>
            </w:pPr>
            <w:r w:rsidRPr="00C8684B">
              <w:rPr>
                <w:rFonts w:hint="cs"/>
                <w:b/>
                <w:bCs/>
                <w:sz w:val="26"/>
                <w:rtl/>
              </w:rPr>
              <w:t>"ישות השקעות"</w:t>
            </w:r>
            <w:r w:rsidRPr="00C8684B">
              <w:rPr>
                <w:rFonts w:hint="cs"/>
                <w:sz w:val="26"/>
                <w:rtl/>
              </w:rPr>
              <w:t xml:space="preserve"> –ישות המנהלת כעסק למען לקוח, או ישות המנוהלת על ידי ישות המנהלת כעסק למען לקוח, אחת או יותר מהפעולות הבאות:</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numPr>
                <w:ilvl w:val="0"/>
                <w:numId w:val="11"/>
              </w:numPr>
              <w:tabs>
                <w:tab w:val="left" w:pos="624"/>
              </w:tabs>
              <w:rPr>
                <w:sz w:val="26"/>
                <w:rtl/>
              </w:rPr>
            </w:pPr>
            <w:r w:rsidRPr="00C8684B">
              <w:rPr>
                <w:rFonts w:hint="cs"/>
                <w:sz w:val="26"/>
                <w:rtl/>
              </w:rPr>
              <w:t>מסחר במכשירים בשוק ההון, לרבות בהמחאות, בשטרות, בתעודות פיקדון, בנגזרים, במטבע חוץ, במכשירי חליפין, במכשירי שיעור ריבית ובמכשירי מדד, בניירות ערך הניתנים להעברה או סחר בחוזים עתידיים לגבי סחורות</w:t>
            </w:r>
            <w:r w:rsidRPr="00C8684B">
              <w:rPr>
                <w:rFonts w:hint="cs"/>
                <w:b/>
                <w:bCs/>
                <w:sz w:val="26"/>
                <w:rtl/>
              </w:rPr>
              <w:t>;</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numPr>
                <w:ilvl w:val="0"/>
                <w:numId w:val="11"/>
              </w:numPr>
              <w:tabs>
                <w:tab w:val="left" w:pos="624"/>
              </w:tabs>
              <w:rPr>
                <w:sz w:val="26"/>
                <w:rtl/>
              </w:rPr>
            </w:pPr>
            <w:r w:rsidRPr="00C8684B">
              <w:rPr>
                <w:rFonts w:hint="cs"/>
                <w:sz w:val="26"/>
                <w:rtl/>
              </w:rPr>
              <w:t>ניהול תיק השקעות אישי וניהול תיק השקעות קבוצתי;</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numPr>
                <w:ilvl w:val="0"/>
                <w:numId w:val="11"/>
              </w:numPr>
              <w:tabs>
                <w:tab w:val="left" w:pos="624"/>
              </w:tabs>
              <w:rPr>
                <w:sz w:val="26"/>
                <w:rtl/>
              </w:rPr>
            </w:pPr>
            <w:r w:rsidRPr="00C8684B">
              <w:rPr>
                <w:rFonts w:hint="cs"/>
                <w:sz w:val="26"/>
                <w:rtl/>
              </w:rPr>
              <w:t>כל השקעה או ניהול של כסף בדרך אחרת עבור אחר;</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tabs>
                <w:tab w:val="clear" w:pos="624"/>
              </w:tabs>
              <w:rPr>
                <w:sz w:val="26"/>
                <w:rtl/>
              </w:rPr>
            </w:pPr>
            <w:r w:rsidRPr="00C8684B">
              <w:rPr>
                <w:rFonts w:hint="cs"/>
                <w:sz w:val="26"/>
                <w:rtl/>
              </w:rPr>
              <w:t>לרבות כל אחד מאלה:</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numPr>
                <w:ilvl w:val="0"/>
                <w:numId w:val="12"/>
              </w:numPr>
              <w:tabs>
                <w:tab w:val="left" w:pos="624"/>
              </w:tabs>
              <w:rPr>
                <w:sz w:val="26"/>
                <w:rtl/>
              </w:rPr>
            </w:pPr>
            <w:r w:rsidRPr="00C8684B">
              <w:rPr>
                <w:rFonts w:hint="cs"/>
                <w:sz w:val="26"/>
                <w:rtl/>
              </w:rPr>
              <w:t xml:space="preserve">"תאגיד מורשה" כהגדרתו בסעיף 1 לחוק הסדרת העיסוק בייעוץ השקעות ובניהול תיקי השקעות, התשנ"ה-1995 </w:t>
            </w:r>
            <w:r w:rsidRPr="00C8684B">
              <w:rPr>
                <w:rStyle w:val="a6"/>
                <w:sz w:val="26"/>
                <w:rtl/>
              </w:rPr>
              <w:footnoteReference w:id="3"/>
            </w:r>
            <w:r w:rsidRPr="00C8684B">
              <w:rPr>
                <w:rFonts w:hint="cs"/>
                <w:sz w:val="26"/>
                <w:rtl/>
              </w:rPr>
              <w:t>.</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numPr>
                <w:ilvl w:val="0"/>
                <w:numId w:val="12"/>
              </w:numPr>
              <w:tabs>
                <w:tab w:val="left" w:pos="624"/>
              </w:tabs>
              <w:rPr>
                <w:sz w:val="26"/>
                <w:rtl/>
              </w:rPr>
            </w:pPr>
            <w:r w:rsidRPr="00C8684B">
              <w:rPr>
                <w:rFonts w:hint="cs"/>
                <w:sz w:val="26"/>
                <w:rtl/>
              </w:rPr>
              <w:t xml:space="preserve">"קופת גמל"  ו"חברה מנהלת" כהגדרתן בחוק הפיקוח על שירותים פיננסיים (קופות גמל), התשס"ה-2005 </w:t>
            </w:r>
            <w:r w:rsidRPr="00C8684B">
              <w:rPr>
                <w:rStyle w:val="a6"/>
                <w:sz w:val="26"/>
                <w:rtl/>
              </w:rPr>
              <w:footnoteReference w:id="4"/>
            </w:r>
            <w:r w:rsidRPr="00C8684B">
              <w:rPr>
                <w:rFonts w:hint="cs"/>
                <w:sz w:val="26"/>
                <w:rtl/>
              </w:rPr>
              <w:t>.</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numPr>
                <w:ilvl w:val="0"/>
                <w:numId w:val="12"/>
              </w:numPr>
              <w:tabs>
                <w:tab w:val="left" w:pos="624"/>
              </w:tabs>
              <w:rPr>
                <w:sz w:val="26"/>
                <w:rtl/>
              </w:rPr>
            </w:pPr>
            <w:r w:rsidRPr="00C8684B">
              <w:rPr>
                <w:rFonts w:hint="cs"/>
                <w:sz w:val="26"/>
                <w:rtl/>
              </w:rPr>
              <w:t xml:space="preserve">"מנהל קרן" או "קרן להשקעות משותפות בנאמנות", כמשמעותם בסעיף 3 לחוק השקעות משותפות בנאמנות, התשנ"ד-1994 </w:t>
            </w:r>
            <w:r w:rsidRPr="00C8684B">
              <w:rPr>
                <w:rStyle w:val="a6"/>
                <w:sz w:val="26"/>
                <w:rtl/>
              </w:rPr>
              <w:footnoteReference w:id="5"/>
            </w:r>
            <w:r w:rsidRPr="00C8684B">
              <w:rPr>
                <w:rFonts w:hint="cs"/>
                <w:sz w:val="26"/>
                <w:rtl/>
              </w:rPr>
              <w:t>.</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numPr>
                <w:ilvl w:val="0"/>
                <w:numId w:val="12"/>
              </w:numPr>
              <w:tabs>
                <w:tab w:val="left" w:pos="624"/>
              </w:tabs>
              <w:textAlignment w:val="auto"/>
              <w:rPr>
                <w:spacing w:val="1"/>
                <w:sz w:val="26"/>
                <w:rtl/>
              </w:rPr>
            </w:pPr>
            <w:r w:rsidRPr="00C8684B">
              <w:rPr>
                <w:rFonts w:hint="cs"/>
                <w:sz w:val="26"/>
                <w:rtl/>
              </w:rPr>
              <w:t>"זירת סוחר"</w:t>
            </w:r>
            <w:r w:rsidRPr="00C8684B">
              <w:rPr>
                <w:rFonts w:hint="cs"/>
                <w:spacing w:val="1"/>
                <w:sz w:val="26"/>
                <w:rtl/>
              </w:rPr>
              <w:t xml:space="preserve"> כהגדרתה בחוק ניירות ערך;</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tabs>
                <w:tab w:val="clear" w:pos="624"/>
              </w:tabs>
              <w:textAlignment w:val="auto"/>
              <w:rPr>
                <w:sz w:val="26"/>
                <w:rtl/>
              </w:rPr>
            </w:pPr>
            <w:r w:rsidRPr="00C8684B">
              <w:rPr>
                <w:rFonts w:hint="cs"/>
                <w:b/>
                <w:bCs/>
                <w:sz w:val="26"/>
                <w:rtl/>
              </w:rPr>
              <w:t>"מוסד למשמורת"</w:t>
            </w:r>
            <w:r w:rsidRPr="00C8684B">
              <w:rPr>
                <w:rFonts w:hint="cs"/>
                <w:sz w:val="26"/>
                <w:rtl/>
              </w:rPr>
              <w:t xml:space="preserve"> –ישות המחזיקה כחלק מהותי מעסקיה נכסים פיננסים בשביל אחר. ישות תחשב כמחזיקה כחלק מהותי מעסקיה נכסים פיננסים בשביל אחר אם הכנסתה מהחזקת נכסים פיננסים כאמור ושירותים פיננסיים קשורים  היא 20% או יותר מכלל הכנסתה במהלך התקופה הקצרה מבין אלה:</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numPr>
                <w:ilvl w:val="0"/>
                <w:numId w:val="13"/>
              </w:numPr>
              <w:tabs>
                <w:tab w:val="left" w:pos="624"/>
              </w:tabs>
              <w:textAlignment w:val="auto"/>
              <w:rPr>
                <w:sz w:val="26"/>
                <w:rtl/>
              </w:rPr>
            </w:pPr>
            <w:r w:rsidRPr="00C8684B">
              <w:rPr>
                <w:rFonts w:hint="cs"/>
                <w:sz w:val="26"/>
                <w:rtl/>
              </w:rPr>
              <w:t>תקופה של שלוש שנים המסתיימת ב-31 בדצמבר, או ביום האחרון של תקופה חשבונאית המסתיימת במועד אחר, לפי הענין, הקודמת לשנה שבה נבדק האם הישות נותנת שירותי משמורת;</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numPr>
                <w:ilvl w:val="0"/>
                <w:numId w:val="13"/>
              </w:numPr>
              <w:tabs>
                <w:tab w:val="left" w:pos="624"/>
              </w:tabs>
              <w:textAlignment w:val="auto"/>
              <w:rPr>
                <w:sz w:val="26"/>
                <w:rtl/>
              </w:rPr>
            </w:pPr>
            <w:r w:rsidRPr="00C8684B">
              <w:rPr>
                <w:rFonts w:hint="cs"/>
                <w:sz w:val="26"/>
                <w:rtl/>
              </w:rPr>
              <w:t>התקופה שמיום הקמת הישות;</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tabs>
                <w:tab w:val="clear" w:pos="624"/>
              </w:tabs>
              <w:textAlignment w:val="auto"/>
              <w:rPr>
                <w:sz w:val="26"/>
                <w:rtl/>
              </w:rPr>
            </w:pPr>
            <w:r w:rsidRPr="00C8684B">
              <w:rPr>
                <w:rFonts w:hint="cs"/>
                <w:b/>
                <w:bCs/>
                <w:sz w:val="26"/>
                <w:rtl/>
              </w:rPr>
              <w:t>"מוסד לפיקדונות"</w:t>
            </w:r>
            <w:r w:rsidRPr="00C8684B">
              <w:rPr>
                <w:rFonts w:hint="cs"/>
                <w:sz w:val="26"/>
                <w:rtl/>
              </w:rPr>
              <w:t xml:space="preserve"> –ישות המקבלת פיקדונות מאחר, במהלך עסקי הבנקאות שלה או במהלך עסקים דומים, לרבות כל אחד מאלה:</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numPr>
                <w:ilvl w:val="0"/>
                <w:numId w:val="14"/>
              </w:numPr>
              <w:tabs>
                <w:tab w:val="left" w:pos="624"/>
              </w:tabs>
              <w:textAlignment w:val="auto"/>
              <w:rPr>
                <w:b/>
                <w:bCs/>
                <w:sz w:val="26"/>
                <w:rtl/>
              </w:rPr>
            </w:pPr>
            <w:r w:rsidRPr="00C8684B">
              <w:rPr>
                <w:rFonts w:hint="cs"/>
                <w:sz w:val="26"/>
                <w:rtl/>
              </w:rPr>
              <w:t>"תאגיד בנקאי" כהגדרתו בחוק הבנקאות (רישוי), תשמ"א-1981</w:t>
            </w:r>
            <w:r w:rsidRPr="00C8684B">
              <w:rPr>
                <w:rStyle w:val="a6"/>
                <w:b/>
                <w:bCs/>
                <w:sz w:val="26"/>
                <w:rtl/>
              </w:rPr>
              <w:footnoteReference w:id="6"/>
            </w:r>
            <w:r w:rsidRPr="00C8684B">
              <w:rPr>
                <w:rFonts w:hint="cs"/>
                <w:b/>
                <w:bCs/>
                <w:sz w:val="26"/>
                <w:rtl/>
              </w:rPr>
              <w:t>.</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numPr>
                <w:ilvl w:val="0"/>
                <w:numId w:val="14"/>
              </w:numPr>
              <w:tabs>
                <w:tab w:val="left" w:pos="624"/>
              </w:tabs>
              <w:textAlignment w:val="auto"/>
              <w:rPr>
                <w:sz w:val="26"/>
                <w:rtl/>
              </w:rPr>
            </w:pPr>
            <w:r w:rsidRPr="00C8684B">
              <w:rPr>
                <w:rFonts w:hint="cs"/>
                <w:sz w:val="26"/>
                <w:rtl/>
              </w:rPr>
              <w:t>"בנק הדואר" – החברה כהגדרתה בחוק הדואר, התשמ"ו-1986</w:t>
            </w:r>
            <w:r w:rsidRPr="00C8684B">
              <w:rPr>
                <w:rStyle w:val="a6"/>
                <w:sz w:val="26"/>
                <w:rtl/>
              </w:rPr>
              <w:footnoteReference w:id="7"/>
            </w:r>
            <w:r w:rsidRPr="00C8684B">
              <w:rPr>
                <w:rFonts w:hint="cs"/>
                <w:sz w:val="26"/>
                <w:rtl/>
              </w:rPr>
              <w:t>, בנותנה את השירותים הכספיים כהגדרתם באותו חוק מטעם החברה הבת, כמשמעותה בסעיף 88יא לאותו חוק;</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ind w:left="141"/>
              <w:rPr>
                <w:sz w:val="26"/>
                <w:rtl/>
              </w:rPr>
            </w:pPr>
            <w:r w:rsidRPr="00C8684B">
              <w:rPr>
                <w:rFonts w:hint="cs"/>
                <w:b/>
                <w:bCs/>
                <w:sz w:val="26"/>
                <w:rtl/>
              </w:rPr>
              <w:t>"מוסד פיננסי"-</w:t>
            </w:r>
            <w:r w:rsidRPr="00C8684B">
              <w:rPr>
                <w:rFonts w:hint="cs"/>
                <w:sz w:val="26"/>
                <w:rtl/>
              </w:rPr>
              <w:t xml:space="preserve"> מוסד למשמורת, מוסד לפיקדונות,  ישות השקעות או חברת ביטוח מסוימת, למעט ישות ששר האוצר קבע בתקנות שהיא אינה מוסד פיננסי, ורשאי הוא לקבוע כי ישות אינה מוסד פיננסי לצורך קיום הסכם בינלאומי מסוים;</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ind w:left="141"/>
              <w:rPr>
                <w:b/>
                <w:bCs/>
                <w:sz w:val="26"/>
                <w:rtl/>
              </w:rPr>
            </w:pPr>
            <w:r w:rsidRPr="00C8684B">
              <w:rPr>
                <w:rFonts w:hint="cs"/>
                <w:b/>
                <w:bCs/>
                <w:sz w:val="26"/>
                <w:rtl/>
              </w:rPr>
              <w:t>"מוסד פיננסי ישראלי" -</w:t>
            </w:r>
            <w:r w:rsidRPr="00C8684B">
              <w:rPr>
                <w:rFonts w:hint="cs"/>
                <w:sz w:val="26"/>
                <w:rtl/>
              </w:rPr>
              <w:t xml:space="preserve"> כל אחד מאלה:</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numPr>
                <w:ilvl w:val="0"/>
                <w:numId w:val="15"/>
              </w:numPr>
              <w:tabs>
                <w:tab w:val="clear" w:pos="765"/>
              </w:tabs>
              <w:ind w:left="0"/>
              <w:rPr>
                <w:sz w:val="26"/>
                <w:rtl/>
              </w:rPr>
            </w:pPr>
            <w:r w:rsidRPr="00C8684B">
              <w:rPr>
                <w:rFonts w:hint="cs"/>
                <w:sz w:val="26"/>
                <w:rtl/>
              </w:rPr>
              <w:t>מוסד פיננסי שהוא תושב ישראל למעט סניף של מוסד פיננסי כאמור מחוץ לישראל</w:t>
            </w:r>
            <w:r w:rsidRPr="00C8684B">
              <w:rPr>
                <w:rFonts w:hint="cs"/>
                <w:b/>
                <w:bCs/>
                <w:sz w:val="26"/>
                <w:rtl/>
              </w:rPr>
              <w:t xml:space="preserve"> </w:t>
            </w:r>
            <w:r w:rsidRPr="00C8684B">
              <w:rPr>
                <w:rFonts w:hint="cs"/>
                <w:sz w:val="26"/>
                <w:rtl/>
              </w:rPr>
              <w:t>ומחוץ לאזור כהגדרתו בסעיף 3א</w:t>
            </w:r>
            <w:r w:rsidRPr="00C8684B">
              <w:rPr>
                <w:rFonts w:hint="cs"/>
                <w:b/>
                <w:bCs/>
                <w:sz w:val="26"/>
                <w:rtl/>
              </w:rPr>
              <w:t>;</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numPr>
                <w:ilvl w:val="0"/>
                <w:numId w:val="15"/>
              </w:numPr>
              <w:textAlignment w:val="auto"/>
              <w:rPr>
                <w:sz w:val="26"/>
                <w:rtl/>
              </w:rPr>
            </w:pPr>
            <w:r w:rsidRPr="00C8684B">
              <w:rPr>
                <w:rFonts w:hint="cs"/>
                <w:sz w:val="26"/>
                <w:rtl/>
              </w:rPr>
              <w:t>סניף של מוסד פיננסי שהוא תושב חוץ הנמצא בישראל ;</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ind w:left="141"/>
              <w:textAlignment w:val="auto"/>
              <w:rPr>
                <w:sz w:val="26"/>
                <w:rtl/>
              </w:rPr>
            </w:pPr>
            <w:r w:rsidRPr="00C8684B">
              <w:rPr>
                <w:rFonts w:hint="cs"/>
                <w:b/>
                <w:bCs/>
                <w:sz w:val="26"/>
                <w:rtl/>
              </w:rPr>
              <w:t>"מוסד פיננסי ישראלי החייב בדיווח"</w:t>
            </w:r>
            <w:r w:rsidRPr="00C8684B">
              <w:rPr>
                <w:rFonts w:hint="cs"/>
                <w:sz w:val="26"/>
                <w:rtl/>
              </w:rPr>
              <w:t xml:space="preserve"> - מוסד פיננסי ישראלי, למעט מוסד שלצורך קיום הסכם לחילופי מידע המפורט בתוספת השלישית אינו חייב בדיווח על חשבונות פיננסיים </w:t>
            </w:r>
            <w:r w:rsidRPr="00F2233F">
              <w:rPr>
                <w:rFonts w:hint="cs"/>
                <w:sz w:val="26"/>
                <w:rtl/>
              </w:rPr>
              <w:t>המתנהלים</w:t>
            </w:r>
            <w:r w:rsidRPr="00C8684B">
              <w:rPr>
                <w:rFonts w:hint="cs"/>
                <w:sz w:val="26"/>
                <w:rtl/>
              </w:rPr>
              <w:t xml:space="preserve"> אצלו לצרכי אותו הסכם;</w:t>
            </w:r>
          </w:p>
        </w:tc>
      </w:tr>
      <w:tr w:rsidR="00734C92" w:rsidRPr="00C8684B" w:rsidTr="00C118D0">
        <w:trPr>
          <w:cantSplit/>
          <w:trHeight w:val="60"/>
        </w:trPr>
        <w:tc>
          <w:tcPr>
            <w:tcW w:w="1871" w:type="dxa"/>
            <w:shd w:val="clear" w:color="auto" w:fill="auto"/>
          </w:tcPr>
          <w:p w:rsidR="00734C92" w:rsidRPr="00C8684B" w:rsidRDefault="00734C92" w:rsidP="00DD0B44">
            <w:pPr>
              <w:pStyle w:val="TableSideHeading"/>
              <w:rPr>
                <w:sz w:val="26"/>
              </w:rPr>
            </w:pPr>
          </w:p>
        </w:tc>
        <w:tc>
          <w:tcPr>
            <w:tcW w:w="624" w:type="dxa"/>
            <w:shd w:val="clear" w:color="auto" w:fill="auto"/>
          </w:tcPr>
          <w:p w:rsidR="00734C92" w:rsidRPr="00C8684B" w:rsidRDefault="00734C92" w:rsidP="00734C92">
            <w:pPr>
              <w:pStyle w:val="TableText"/>
            </w:pPr>
          </w:p>
        </w:tc>
        <w:tc>
          <w:tcPr>
            <w:tcW w:w="1048" w:type="dxa"/>
            <w:shd w:val="clear" w:color="auto" w:fill="auto"/>
          </w:tcPr>
          <w:p w:rsidR="00734C92" w:rsidRPr="00C8684B" w:rsidRDefault="00734C92" w:rsidP="00DD0B44">
            <w:pPr>
              <w:pStyle w:val="TableText"/>
              <w:rPr>
                <w:sz w:val="26"/>
              </w:rPr>
            </w:pPr>
          </w:p>
        </w:tc>
        <w:tc>
          <w:tcPr>
            <w:tcW w:w="200" w:type="dxa"/>
            <w:shd w:val="clear" w:color="auto" w:fill="auto"/>
          </w:tcPr>
          <w:p w:rsidR="00734C92" w:rsidRPr="00C8684B" w:rsidRDefault="00734C92" w:rsidP="00DD0B44">
            <w:pPr>
              <w:pStyle w:val="TableText"/>
              <w:rPr>
                <w:sz w:val="26"/>
              </w:rPr>
            </w:pPr>
          </w:p>
        </w:tc>
        <w:tc>
          <w:tcPr>
            <w:tcW w:w="1076" w:type="dxa"/>
            <w:gridSpan w:val="6"/>
            <w:shd w:val="clear" w:color="auto" w:fill="auto"/>
          </w:tcPr>
          <w:p w:rsidR="00734C92" w:rsidRPr="00C8684B" w:rsidRDefault="00734C92" w:rsidP="00DD0B44">
            <w:pPr>
              <w:pStyle w:val="TableText"/>
              <w:rPr>
                <w:sz w:val="26"/>
              </w:rPr>
            </w:pPr>
          </w:p>
        </w:tc>
        <w:tc>
          <w:tcPr>
            <w:tcW w:w="4822" w:type="dxa"/>
            <w:gridSpan w:val="3"/>
            <w:shd w:val="clear" w:color="auto" w:fill="auto"/>
          </w:tcPr>
          <w:p w:rsidR="00734C92" w:rsidRPr="00C8684B" w:rsidRDefault="00734C92" w:rsidP="00734C92">
            <w:pPr>
              <w:pStyle w:val="TableBlock"/>
              <w:ind w:left="141"/>
              <w:textAlignment w:val="auto"/>
              <w:rPr>
                <w:b/>
                <w:bCs/>
                <w:sz w:val="26"/>
                <w:rtl/>
              </w:rPr>
            </w:pPr>
            <w:r w:rsidRPr="00734C92">
              <w:rPr>
                <w:rFonts w:hint="cs"/>
                <w:b/>
                <w:bCs/>
                <w:sz w:val="26"/>
                <w:rtl/>
              </w:rPr>
              <w:t>"מוסד פיננסי לא משתתף</w:t>
            </w:r>
            <w:r w:rsidRPr="00734C92">
              <w:rPr>
                <w:rFonts w:hint="cs"/>
                <w:sz w:val="26"/>
                <w:rtl/>
              </w:rPr>
              <w:t>"- מוסד פיננסי שאינו מציית להוראות חוק פטקא ואינו תושב במדינה אשר התקשרה בהסכם עם ארצות הברית לצורך יישום חוק פטקא, או שהנו תושב במדינה שהתקשרה בהסכם ליישום חוק פטקא, אך הוכרז על ידי רשויות המס בארצות הברית כמוסד פיננסי לא משתתף;</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ind w:left="141"/>
              <w:rPr>
                <w:b/>
                <w:bCs/>
                <w:sz w:val="26"/>
                <w:rtl/>
              </w:rPr>
            </w:pPr>
            <w:r w:rsidRPr="00C8684B">
              <w:rPr>
                <w:rFonts w:hint="cs"/>
                <w:b/>
                <w:bCs/>
                <w:sz w:val="26"/>
                <w:rtl/>
              </w:rPr>
              <w:t>"</w:t>
            </w:r>
            <w:r w:rsidRPr="00C8684B">
              <w:rPr>
                <w:rFonts w:hint="eastAsia"/>
                <w:b/>
                <w:bCs/>
                <w:sz w:val="26"/>
                <w:rtl/>
              </w:rPr>
              <w:t>נכס</w:t>
            </w:r>
            <w:r w:rsidRPr="00C8684B">
              <w:rPr>
                <w:b/>
                <w:bCs/>
                <w:sz w:val="26"/>
                <w:rtl/>
              </w:rPr>
              <w:t xml:space="preserve"> </w:t>
            </w:r>
            <w:r w:rsidRPr="00C8684B">
              <w:rPr>
                <w:rFonts w:hint="eastAsia"/>
                <w:b/>
                <w:bCs/>
                <w:sz w:val="26"/>
                <w:rtl/>
              </w:rPr>
              <w:t>פיננסי</w:t>
            </w:r>
            <w:r w:rsidRPr="00C8684B">
              <w:rPr>
                <w:rFonts w:hint="cs"/>
                <w:sz w:val="26"/>
                <w:rtl/>
              </w:rPr>
              <w:t>"-לרבות נייר ערך, כהגדרתו  בסעיף 88, זכות בשותפות, עסקת החלף, חוזה ביטוח או חוזה קצבה או אנונה, לרבות זכות בכל אחד מהם;</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ind w:left="141"/>
              <w:rPr>
                <w:b/>
                <w:bCs/>
                <w:sz w:val="26"/>
                <w:rtl/>
              </w:rPr>
            </w:pPr>
            <w:r w:rsidRPr="00C8684B">
              <w:rPr>
                <w:rFonts w:hint="cs"/>
                <w:b/>
                <w:bCs/>
                <w:sz w:val="26"/>
                <w:rtl/>
              </w:rPr>
              <w:t>"ערך פדיון"</w:t>
            </w:r>
            <w:r w:rsidRPr="00C8684B">
              <w:rPr>
                <w:rFonts w:hint="cs"/>
                <w:sz w:val="26"/>
                <w:rtl/>
              </w:rPr>
              <w:t xml:space="preserve"> - הגדול מבין אלה:</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numPr>
                <w:ilvl w:val="0"/>
                <w:numId w:val="16"/>
              </w:numPr>
              <w:tabs>
                <w:tab w:val="clear" w:pos="765"/>
              </w:tabs>
              <w:ind w:left="0"/>
              <w:rPr>
                <w:sz w:val="26"/>
                <w:rtl/>
              </w:rPr>
            </w:pPr>
            <w:r w:rsidRPr="00C8684B">
              <w:rPr>
                <w:rFonts w:hint="cs"/>
                <w:sz w:val="26"/>
                <w:rtl/>
              </w:rPr>
              <w:t>הסכום שהמבוטח יכול לקבל בעת ביטול חוזה הביטוח  או עם סיומו אשר</w:t>
            </w:r>
            <w:r w:rsidRPr="00C8684B">
              <w:rPr>
                <w:sz w:val="26"/>
                <w:rtl/>
              </w:rPr>
              <w:t xml:space="preserve"> </w:t>
            </w:r>
            <w:r w:rsidRPr="00C8684B">
              <w:rPr>
                <w:rFonts w:hint="cs"/>
                <w:sz w:val="26"/>
                <w:rtl/>
              </w:rPr>
              <w:t>יחושב</w:t>
            </w:r>
            <w:r w:rsidRPr="00C8684B">
              <w:rPr>
                <w:sz w:val="26"/>
                <w:rtl/>
              </w:rPr>
              <w:t xml:space="preserve"> </w:t>
            </w:r>
            <w:r w:rsidRPr="00C8684B">
              <w:rPr>
                <w:rFonts w:hint="cs"/>
                <w:sz w:val="26"/>
                <w:rtl/>
              </w:rPr>
              <w:t>מבלי</w:t>
            </w:r>
            <w:r w:rsidRPr="00C8684B">
              <w:rPr>
                <w:sz w:val="26"/>
                <w:rtl/>
              </w:rPr>
              <w:t xml:space="preserve"> </w:t>
            </w:r>
            <w:r w:rsidRPr="00C8684B">
              <w:rPr>
                <w:rFonts w:hint="cs"/>
                <w:sz w:val="26"/>
                <w:rtl/>
              </w:rPr>
              <w:t>להביא</w:t>
            </w:r>
            <w:r w:rsidRPr="00C8684B">
              <w:rPr>
                <w:sz w:val="26"/>
                <w:rtl/>
              </w:rPr>
              <w:t xml:space="preserve"> </w:t>
            </w:r>
            <w:r w:rsidRPr="00C8684B">
              <w:rPr>
                <w:rFonts w:hint="cs"/>
                <w:sz w:val="26"/>
                <w:rtl/>
              </w:rPr>
              <w:t>בחשבון</w:t>
            </w:r>
            <w:r w:rsidRPr="00C8684B">
              <w:rPr>
                <w:sz w:val="26"/>
                <w:rtl/>
              </w:rPr>
              <w:t xml:space="preserve"> </w:t>
            </w:r>
            <w:r w:rsidRPr="00C8684B">
              <w:rPr>
                <w:rFonts w:hint="cs"/>
                <w:sz w:val="26"/>
                <w:rtl/>
              </w:rPr>
              <w:t>עמלות</w:t>
            </w:r>
            <w:r w:rsidRPr="00C8684B">
              <w:rPr>
                <w:sz w:val="26"/>
                <w:rtl/>
              </w:rPr>
              <w:t xml:space="preserve"> </w:t>
            </w:r>
            <w:r w:rsidRPr="00C8684B">
              <w:rPr>
                <w:rFonts w:hint="cs"/>
                <w:sz w:val="26"/>
                <w:rtl/>
              </w:rPr>
              <w:t>פירעון</w:t>
            </w:r>
            <w:r w:rsidRPr="00C8684B">
              <w:rPr>
                <w:sz w:val="26"/>
                <w:rtl/>
              </w:rPr>
              <w:t xml:space="preserve"> </w:t>
            </w:r>
            <w:r w:rsidRPr="00C8684B">
              <w:rPr>
                <w:rFonts w:hint="cs"/>
                <w:sz w:val="26"/>
                <w:rtl/>
              </w:rPr>
              <w:t>מוקדם</w:t>
            </w:r>
            <w:r w:rsidRPr="00C8684B">
              <w:rPr>
                <w:sz w:val="26"/>
                <w:rtl/>
              </w:rPr>
              <w:t xml:space="preserve"> </w:t>
            </w:r>
            <w:r w:rsidRPr="00C8684B">
              <w:rPr>
                <w:rFonts w:hint="cs"/>
                <w:sz w:val="26"/>
                <w:rtl/>
              </w:rPr>
              <w:t>או</w:t>
            </w:r>
            <w:r w:rsidRPr="00C8684B">
              <w:rPr>
                <w:sz w:val="26"/>
                <w:rtl/>
              </w:rPr>
              <w:t xml:space="preserve"> </w:t>
            </w:r>
            <w:r w:rsidRPr="00C8684B">
              <w:rPr>
                <w:rFonts w:hint="cs"/>
                <w:sz w:val="26"/>
                <w:rtl/>
              </w:rPr>
              <w:t>הלוואות</w:t>
            </w:r>
            <w:r w:rsidRPr="00C8684B">
              <w:rPr>
                <w:sz w:val="26"/>
                <w:rtl/>
              </w:rPr>
              <w:t>;</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numPr>
                <w:ilvl w:val="0"/>
                <w:numId w:val="16"/>
              </w:numPr>
              <w:tabs>
                <w:tab w:val="clear" w:pos="765"/>
              </w:tabs>
              <w:ind w:left="0"/>
              <w:rPr>
                <w:sz w:val="26"/>
                <w:rtl/>
              </w:rPr>
            </w:pPr>
            <w:r w:rsidRPr="00C8684B">
              <w:rPr>
                <w:rFonts w:hint="cs"/>
                <w:sz w:val="26"/>
                <w:rtl/>
              </w:rPr>
              <w:t>הסכום שהמבוטח יכול ללוות לפי חוזה הביטוח או בהתייחס אליו ממי שהנפיק את החוזה;</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rPr>
                <w:sz w:val="26"/>
                <w:rtl/>
              </w:rPr>
            </w:pPr>
            <w:r w:rsidRPr="00C8684B">
              <w:rPr>
                <w:rFonts w:hint="cs"/>
                <w:sz w:val="26"/>
                <w:rtl/>
              </w:rPr>
              <w:t>למעט סכום שניתן לשלם לפי חוזה הביטוח על:</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numPr>
                <w:ilvl w:val="0"/>
                <w:numId w:val="17"/>
              </w:numPr>
              <w:tabs>
                <w:tab w:val="left" w:pos="624"/>
              </w:tabs>
              <w:rPr>
                <w:sz w:val="26"/>
                <w:rtl/>
              </w:rPr>
            </w:pPr>
            <w:r w:rsidRPr="00C8684B">
              <w:rPr>
                <w:rFonts w:hint="cs"/>
                <w:sz w:val="26"/>
                <w:rtl/>
              </w:rPr>
              <w:t>פיצוי בגין נזק שנגרם לאדם כתוצאה ממחלה או תאונה, או תשלום אחר לשיפוי או פיצוי בגין נזק כלכלי כתוצאה מקרות אירוע המכוסה בכיסוי מקרה  ביטוחי;</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numPr>
                <w:ilvl w:val="0"/>
                <w:numId w:val="17"/>
              </w:numPr>
              <w:tabs>
                <w:tab w:val="left" w:pos="624"/>
              </w:tabs>
              <w:rPr>
                <w:sz w:val="26"/>
                <w:rtl/>
              </w:rPr>
            </w:pPr>
            <w:r w:rsidRPr="00C8684B">
              <w:rPr>
                <w:rFonts w:hint="cs"/>
                <w:sz w:val="26"/>
                <w:rtl/>
              </w:rPr>
              <w:t>החזר פרמיה ששולמה לפי חוזה ביטוח, שאינו חוזה לביטוח חיים,  כתוצאה מסיום חוזה הביטוח או ביטולו, ירידה בחשיפה לסיכון בתקופה אליה מתייחס חוזה הביטוח או חישוב מחדש של פרמיה לאור תיקון שגיאת פרסום תעריף המוצג, טעות בסיווג או טעות דומ</w:t>
            </w:r>
            <w:r w:rsidRPr="00320646">
              <w:rPr>
                <w:rFonts w:hint="cs"/>
                <w:sz w:val="26"/>
                <w:rtl/>
              </w:rPr>
              <w:t>ה;</w:t>
            </w:r>
            <w:r w:rsidRPr="00C8684B">
              <w:rPr>
                <w:rFonts w:hint="cs"/>
                <w:sz w:val="26"/>
                <w:rtl/>
              </w:rPr>
              <w:t xml:space="preserve"> לענין זה- "ביטוח חיים"- כמשמעותו בסעיף 41 לחוק חוזה ביטוח התשמ"א- 1981;</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1076" w:type="dxa"/>
            <w:gridSpan w:val="6"/>
            <w:shd w:val="clear" w:color="auto" w:fill="auto"/>
          </w:tcPr>
          <w:p w:rsidR="00FB22DB" w:rsidRPr="00C8684B" w:rsidRDefault="00FB22DB" w:rsidP="00DD0B44">
            <w:pPr>
              <w:pStyle w:val="TableText"/>
              <w:rPr>
                <w:sz w:val="26"/>
              </w:rPr>
            </w:pPr>
          </w:p>
        </w:tc>
        <w:tc>
          <w:tcPr>
            <w:tcW w:w="4822" w:type="dxa"/>
            <w:gridSpan w:val="3"/>
            <w:shd w:val="clear" w:color="auto" w:fill="auto"/>
          </w:tcPr>
          <w:p w:rsidR="00FB22DB" w:rsidRPr="00C8684B" w:rsidRDefault="00FB22DB" w:rsidP="00DD0B44">
            <w:pPr>
              <w:pStyle w:val="TableBlock"/>
              <w:numPr>
                <w:ilvl w:val="0"/>
                <w:numId w:val="17"/>
              </w:numPr>
              <w:tabs>
                <w:tab w:val="left" w:pos="624"/>
              </w:tabs>
              <w:textAlignment w:val="auto"/>
              <w:rPr>
                <w:sz w:val="26"/>
                <w:rtl/>
              </w:rPr>
            </w:pPr>
            <w:r w:rsidRPr="00C8684B">
              <w:rPr>
                <w:rFonts w:hint="cs"/>
                <w:sz w:val="26"/>
                <w:rtl/>
              </w:rPr>
              <w:t>תשלום השתתפות ברווחים בהתבסס על הניסיון בחיתום בקשר עם חוזה הביטוח או עם הקבוצה המבוטחת.</w:t>
            </w:r>
          </w:p>
        </w:tc>
      </w:tr>
      <w:tr w:rsidR="00281029" w:rsidRPr="00C8684B" w:rsidTr="00C118D0">
        <w:trPr>
          <w:cantSplit/>
          <w:trHeight w:val="60"/>
        </w:trPr>
        <w:tc>
          <w:tcPr>
            <w:tcW w:w="1871" w:type="dxa"/>
            <w:shd w:val="clear" w:color="auto" w:fill="auto"/>
          </w:tcPr>
          <w:p w:rsidR="00281029" w:rsidRPr="00C8684B" w:rsidRDefault="00281029" w:rsidP="00DD0B44">
            <w:pPr>
              <w:pStyle w:val="TableSideHeading"/>
              <w:rPr>
                <w:sz w:val="26"/>
              </w:rPr>
            </w:pPr>
          </w:p>
        </w:tc>
        <w:tc>
          <w:tcPr>
            <w:tcW w:w="624" w:type="dxa"/>
            <w:shd w:val="clear" w:color="auto" w:fill="auto"/>
          </w:tcPr>
          <w:p w:rsidR="00281029" w:rsidRPr="00C8684B" w:rsidRDefault="00281029" w:rsidP="00281029">
            <w:pPr>
              <w:pStyle w:val="TableText"/>
            </w:pPr>
          </w:p>
        </w:tc>
        <w:tc>
          <w:tcPr>
            <w:tcW w:w="1048" w:type="dxa"/>
            <w:shd w:val="clear" w:color="auto" w:fill="auto"/>
          </w:tcPr>
          <w:p w:rsidR="00281029" w:rsidRPr="00C8684B" w:rsidRDefault="00281029" w:rsidP="00DD0B44">
            <w:pPr>
              <w:pStyle w:val="TableText"/>
              <w:rPr>
                <w:sz w:val="26"/>
              </w:rPr>
            </w:pPr>
          </w:p>
        </w:tc>
        <w:tc>
          <w:tcPr>
            <w:tcW w:w="200" w:type="dxa"/>
            <w:shd w:val="clear" w:color="auto" w:fill="auto"/>
          </w:tcPr>
          <w:p w:rsidR="00281029" w:rsidRPr="00C8684B" w:rsidRDefault="00281029" w:rsidP="00DD0B44">
            <w:pPr>
              <w:pStyle w:val="TableText"/>
              <w:rPr>
                <w:sz w:val="26"/>
              </w:rPr>
            </w:pPr>
          </w:p>
        </w:tc>
        <w:tc>
          <w:tcPr>
            <w:tcW w:w="1076" w:type="dxa"/>
            <w:gridSpan w:val="6"/>
            <w:shd w:val="clear" w:color="auto" w:fill="auto"/>
          </w:tcPr>
          <w:p w:rsidR="00281029" w:rsidRPr="00C8684B" w:rsidRDefault="00281029" w:rsidP="00DD0B44">
            <w:pPr>
              <w:pStyle w:val="TableText"/>
              <w:rPr>
                <w:sz w:val="26"/>
              </w:rPr>
            </w:pPr>
          </w:p>
        </w:tc>
        <w:tc>
          <w:tcPr>
            <w:tcW w:w="4822" w:type="dxa"/>
            <w:gridSpan w:val="3"/>
            <w:shd w:val="clear" w:color="auto" w:fill="auto"/>
          </w:tcPr>
          <w:p w:rsidR="00281029" w:rsidRPr="00C8684B" w:rsidRDefault="00281029" w:rsidP="00281029">
            <w:pPr>
              <w:pStyle w:val="TableBlock"/>
              <w:tabs>
                <w:tab w:val="clear" w:pos="624"/>
              </w:tabs>
              <w:textAlignment w:val="auto"/>
              <w:rPr>
                <w:sz w:val="26"/>
                <w:rtl/>
              </w:rPr>
            </w:pPr>
            <w:r w:rsidRPr="00281029">
              <w:rPr>
                <w:rFonts w:hint="cs"/>
                <w:sz w:val="26"/>
                <w:rtl/>
              </w:rPr>
              <w:t>"</w:t>
            </w:r>
            <w:r w:rsidRPr="00281029">
              <w:rPr>
                <w:rFonts w:hint="cs"/>
                <w:b/>
                <w:bCs/>
                <w:sz w:val="26"/>
                <w:rtl/>
              </w:rPr>
              <w:t>תשלום בר ניכוי ממקור הכנסה אמריקאי</w:t>
            </w:r>
            <w:r w:rsidRPr="00281029">
              <w:rPr>
                <w:rFonts w:hint="cs"/>
                <w:sz w:val="26"/>
                <w:rtl/>
              </w:rPr>
              <w:t>"- כל תשלום של ריבית, דיבידנד, שכר דירה, שכר, משכורת, פרמיה, אנונה, פיצוי, תגמול מענק וכל תשלום אחר, קבוע או משתנה, המשתלם בכל שנה או בכל תקופה אחרת שמקורו בארצות הברית, למעט תשלום שאינו תשלום שיש לנכות ממנו מס במקור לפי הדין בארצות הברית;</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538" w:type="dxa"/>
            <w:gridSpan w:val="3"/>
            <w:shd w:val="clear" w:color="auto" w:fill="auto"/>
          </w:tcPr>
          <w:p w:rsidR="00FB22DB" w:rsidRPr="00C8684B" w:rsidRDefault="00FB22DB" w:rsidP="00DD0B44">
            <w:pPr>
              <w:pStyle w:val="TableBlock"/>
              <w:rPr>
                <w:sz w:val="26"/>
              </w:rPr>
            </w:pPr>
          </w:p>
        </w:tc>
        <w:tc>
          <w:tcPr>
            <w:tcW w:w="538" w:type="dxa"/>
            <w:gridSpan w:val="3"/>
            <w:shd w:val="clear" w:color="auto" w:fill="auto"/>
          </w:tcPr>
          <w:p w:rsidR="00FB22DB" w:rsidRPr="00C8684B" w:rsidRDefault="00FB22DB" w:rsidP="00DD0B44">
            <w:pPr>
              <w:pStyle w:val="TableBlock"/>
              <w:rPr>
                <w:sz w:val="26"/>
              </w:rPr>
            </w:pPr>
            <w:r w:rsidRPr="00C8684B">
              <w:rPr>
                <w:rFonts w:hint="cs"/>
                <w:sz w:val="26"/>
                <w:rtl/>
              </w:rPr>
              <w:t>(ב)</w:t>
            </w:r>
          </w:p>
        </w:tc>
        <w:tc>
          <w:tcPr>
            <w:tcW w:w="4822" w:type="dxa"/>
            <w:gridSpan w:val="3"/>
            <w:shd w:val="clear" w:color="auto" w:fill="auto"/>
          </w:tcPr>
          <w:p w:rsidR="00FB22DB" w:rsidRPr="00C8684B" w:rsidRDefault="00FB22DB" w:rsidP="00DD0B44">
            <w:pPr>
              <w:pStyle w:val="TableBlock"/>
              <w:rPr>
                <w:sz w:val="26"/>
              </w:rPr>
            </w:pPr>
            <w:r w:rsidRPr="00C8684B">
              <w:rPr>
                <w:rFonts w:hint="cs"/>
                <w:color w:val="000000" w:themeColor="text1"/>
                <w:sz w:val="26"/>
                <w:rtl/>
              </w:rPr>
              <w:t xml:space="preserve">לצורך קיום הסכם בין-לאומי, שר </w:t>
            </w:r>
            <w:r w:rsidRPr="00C8684B">
              <w:rPr>
                <w:rFonts w:hint="cs"/>
                <w:sz w:val="26"/>
                <w:rtl/>
              </w:rPr>
              <w:t>האוצר, באישור ועדת הכספים של הכנסת ובהתייעצות עם נגיד בנק ישראל ועם יושב ראש רשות ניירות ערך, יקבע בתקנות הוראות לענין פעולות  שעל מוסד פיננסי ישראלי לבצע לצורך זיהויו, ולעניין זיהוי פרטים של בעל חשבון במוסד פיננסי ישראלי החייב בדיווח, מידע שיש להעביר על חשבונות המוחזקים במוסד כאמור ותשלומים המועברים אליהם ואת אופן העברת המידע, לרבות -</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538" w:type="dxa"/>
            <w:gridSpan w:val="3"/>
            <w:shd w:val="clear" w:color="auto" w:fill="auto"/>
          </w:tcPr>
          <w:p w:rsidR="00FB22DB" w:rsidRPr="00C8684B" w:rsidRDefault="00FB22DB" w:rsidP="00DD0B44">
            <w:pPr>
              <w:pStyle w:val="TableBlock"/>
              <w:rPr>
                <w:sz w:val="26"/>
              </w:rPr>
            </w:pPr>
          </w:p>
        </w:tc>
        <w:tc>
          <w:tcPr>
            <w:tcW w:w="538" w:type="dxa"/>
            <w:gridSpan w:val="3"/>
            <w:shd w:val="clear" w:color="auto" w:fill="auto"/>
          </w:tcPr>
          <w:p w:rsidR="00FB22DB" w:rsidRPr="00C8684B" w:rsidRDefault="00FB22DB" w:rsidP="00DD0B44">
            <w:pPr>
              <w:pStyle w:val="TableBlock"/>
              <w:rPr>
                <w:sz w:val="26"/>
                <w:rtl/>
              </w:rPr>
            </w:pPr>
          </w:p>
        </w:tc>
        <w:tc>
          <w:tcPr>
            <w:tcW w:w="4822" w:type="dxa"/>
            <w:gridSpan w:val="3"/>
            <w:shd w:val="clear" w:color="auto" w:fill="auto"/>
          </w:tcPr>
          <w:p w:rsidR="00FB22DB" w:rsidRPr="00C8684B" w:rsidRDefault="00FB22DB" w:rsidP="00DD0B44">
            <w:pPr>
              <w:pStyle w:val="TableBlock"/>
              <w:numPr>
                <w:ilvl w:val="0"/>
                <w:numId w:val="18"/>
              </w:numPr>
              <w:tabs>
                <w:tab w:val="left" w:pos="624"/>
              </w:tabs>
              <w:rPr>
                <w:color w:val="000000" w:themeColor="text1"/>
                <w:sz w:val="26"/>
                <w:rtl/>
              </w:rPr>
            </w:pPr>
            <w:r w:rsidRPr="00C8684B">
              <w:rPr>
                <w:rFonts w:hint="cs"/>
                <w:sz w:val="26"/>
                <w:rtl/>
              </w:rPr>
              <w:t>פרטים שעל המוסד הפיננסי הישראלי לדרוש מבעל חשבון המוחזק במוסד הפיננסי הישראלי</w:t>
            </w:r>
            <w:r w:rsidRPr="00C8684B">
              <w:rPr>
                <w:rFonts w:hint="cs"/>
                <w:color w:val="000000" w:themeColor="text1"/>
                <w:sz w:val="26"/>
                <w:rtl/>
              </w:rPr>
              <w:t>;</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538" w:type="dxa"/>
            <w:gridSpan w:val="3"/>
            <w:shd w:val="clear" w:color="auto" w:fill="auto"/>
          </w:tcPr>
          <w:p w:rsidR="00FB22DB" w:rsidRPr="00C8684B" w:rsidRDefault="00FB22DB" w:rsidP="00DD0B44">
            <w:pPr>
              <w:pStyle w:val="TableBlock"/>
              <w:rPr>
                <w:sz w:val="26"/>
              </w:rPr>
            </w:pPr>
          </w:p>
        </w:tc>
        <w:tc>
          <w:tcPr>
            <w:tcW w:w="538" w:type="dxa"/>
            <w:gridSpan w:val="3"/>
            <w:shd w:val="clear" w:color="auto" w:fill="auto"/>
          </w:tcPr>
          <w:p w:rsidR="00FB22DB" w:rsidRPr="00C8684B" w:rsidRDefault="00FB22DB" w:rsidP="00DD0B44">
            <w:pPr>
              <w:pStyle w:val="TableBlock"/>
              <w:rPr>
                <w:sz w:val="26"/>
                <w:rtl/>
              </w:rPr>
            </w:pPr>
          </w:p>
        </w:tc>
        <w:tc>
          <w:tcPr>
            <w:tcW w:w="4822" w:type="dxa"/>
            <w:gridSpan w:val="3"/>
            <w:shd w:val="clear" w:color="auto" w:fill="auto"/>
          </w:tcPr>
          <w:p w:rsidR="00FB22DB" w:rsidRPr="00C8684B" w:rsidRDefault="00FB22DB" w:rsidP="00DD0B44">
            <w:pPr>
              <w:pStyle w:val="TableBlock"/>
              <w:numPr>
                <w:ilvl w:val="0"/>
                <w:numId w:val="18"/>
              </w:numPr>
              <w:tabs>
                <w:tab w:val="left" w:pos="624"/>
              </w:tabs>
              <w:rPr>
                <w:sz w:val="26"/>
                <w:rtl/>
              </w:rPr>
            </w:pPr>
            <w:r w:rsidRPr="00C8684B">
              <w:rPr>
                <w:rFonts w:hint="cs"/>
                <w:sz w:val="26"/>
                <w:rtl/>
              </w:rPr>
              <w:t>פרטים שבעל חשבון במוסד פיננסי ישראלי ימסור למוסד הפיננסי הישראלי שבו מוחזק החשבון.</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509" w:type="dxa"/>
            <w:gridSpan w:val="2"/>
            <w:shd w:val="clear" w:color="auto" w:fill="auto"/>
          </w:tcPr>
          <w:p w:rsidR="00FB22DB" w:rsidRPr="00C8684B" w:rsidRDefault="00FB22DB" w:rsidP="00DD0B44">
            <w:pPr>
              <w:pStyle w:val="TableText"/>
              <w:rPr>
                <w:sz w:val="26"/>
              </w:rPr>
            </w:pPr>
          </w:p>
        </w:tc>
        <w:tc>
          <w:tcPr>
            <w:tcW w:w="567" w:type="dxa"/>
            <w:gridSpan w:val="4"/>
            <w:shd w:val="clear" w:color="auto" w:fill="auto"/>
          </w:tcPr>
          <w:p w:rsidR="00FB22DB" w:rsidRPr="00C8684B" w:rsidRDefault="00FB22DB" w:rsidP="00DD0B44">
            <w:pPr>
              <w:pStyle w:val="TableBlock"/>
              <w:rPr>
                <w:sz w:val="26"/>
              </w:rPr>
            </w:pPr>
            <w:r w:rsidRPr="00C8684B">
              <w:rPr>
                <w:rFonts w:hint="cs"/>
                <w:sz w:val="26"/>
                <w:rtl/>
              </w:rPr>
              <w:t>(ג)</w:t>
            </w:r>
          </w:p>
        </w:tc>
        <w:tc>
          <w:tcPr>
            <w:tcW w:w="4822" w:type="dxa"/>
            <w:gridSpan w:val="3"/>
            <w:shd w:val="clear" w:color="auto" w:fill="auto"/>
          </w:tcPr>
          <w:p w:rsidR="00FB22DB" w:rsidRPr="00C8684B" w:rsidRDefault="00FB22DB" w:rsidP="00DD0B44">
            <w:pPr>
              <w:pStyle w:val="TableBlock"/>
              <w:rPr>
                <w:sz w:val="26"/>
              </w:rPr>
            </w:pPr>
            <w:r w:rsidRPr="00C8684B">
              <w:rPr>
                <w:sz w:val="26"/>
                <w:rtl/>
              </w:rPr>
              <w:t xml:space="preserve">היה בעל החשבון ישות, רשאי שר האוצר </w:t>
            </w:r>
            <w:r w:rsidRPr="00C8684B">
              <w:rPr>
                <w:rFonts w:hint="cs"/>
                <w:sz w:val="26"/>
                <w:rtl/>
              </w:rPr>
              <w:t xml:space="preserve">באישור ועדת הכספים של הכנסת ובהתייעצות עם נגיד בנק ישראל ועם יושב ראש רשות  ניירות ערך </w:t>
            </w:r>
            <w:r w:rsidRPr="00C8684B">
              <w:rPr>
                <w:sz w:val="26"/>
                <w:rtl/>
              </w:rPr>
              <w:t>לקבוע בתקנות הוראות לזיהוי פרטים של יחיד שהוא בעל שליטה באותה ישות</w:t>
            </w:r>
            <w:r w:rsidRPr="00C8684B">
              <w:rPr>
                <w:rFonts w:hint="cs"/>
                <w:sz w:val="26"/>
                <w:rtl/>
              </w:rPr>
              <w:t>,</w:t>
            </w:r>
            <w:r w:rsidRPr="00C8684B">
              <w:rPr>
                <w:sz w:val="26"/>
                <w:rtl/>
              </w:rPr>
              <w:t xml:space="preserve"> לרבות חובת מסירת </w:t>
            </w:r>
            <w:r w:rsidRPr="00C8684B">
              <w:rPr>
                <w:rFonts w:hint="cs"/>
                <w:sz w:val="26"/>
                <w:rtl/>
              </w:rPr>
              <w:t xml:space="preserve">מידע </w:t>
            </w:r>
            <w:r w:rsidRPr="00C8684B">
              <w:rPr>
                <w:sz w:val="26"/>
                <w:rtl/>
              </w:rPr>
              <w:t>כאמור בסעיף קטן (א).</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509" w:type="dxa"/>
            <w:gridSpan w:val="2"/>
            <w:shd w:val="clear" w:color="auto" w:fill="auto"/>
          </w:tcPr>
          <w:p w:rsidR="00FB22DB" w:rsidRPr="00C8684B" w:rsidRDefault="00FB22DB" w:rsidP="00DD0B44">
            <w:pPr>
              <w:pStyle w:val="TableText"/>
              <w:rPr>
                <w:sz w:val="26"/>
              </w:rPr>
            </w:pPr>
          </w:p>
        </w:tc>
        <w:tc>
          <w:tcPr>
            <w:tcW w:w="567" w:type="dxa"/>
            <w:gridSpan w:val="4"/>
            <w:shd w:val="clear" w:color="auto" w:fill="auto"/>
          </w:tcPr>
          <w:p w:rsidR="00FB22DB" w:rsidRPr="00C8684B" w:rsidRDefault="00FB22DB" w:rsidP="00DD0B44">
            <w:pPr>
              <w:pStyle w:val="TableBlock"/>
              <w:rPr>
                <w:sz w:val="26"/>
                <w:rtl/>
              </w:rPr>
            </w:pPr>
            <w:r w:rsidRPr="00C8684B">
              <w:rPr>
                <w:rFonts w:hint="cs"/>
                <w:sz w:val="26"/>
                <w:rtl/>
              </w:rPr>
              <w:t>(ד)</w:t>
            </w:r>
          </w:p>
        </w:tc>
        <w:tc>
          <w:tcPr>
            <w:tcW w:w="4822" w:type="dxa"/>
            <w:gridSpan w:val="3"/>
            <w:shd w:val="clear" w:color="auto" w:fill="auto"/>
          </w:tcPr>
          <w:p w:rsidR="00FB22DB" w:rsidRPr="00C8684B" w:rsidRDefault="00FB22DB" w:rsidP="00DD0B44">
            <w:pPr>
              <w:pStyle w:val="TableBlock"/>
              <w:rPr>
                <w:sz w:val="26"/>
                <w:rtl/>
              </w:rPr>
            </w:pPr>
            <w:r w:rsidRPr="00C8684B">
              <w:rPr>
                <w:rFonts w:hint="cs"/>
                <w:sz w:val="26"/>
                <w:rtl/>
              </w:rPr>
              <w:t xml:space="preserve">לצורך יישום הסכם פטקא יקבע שר האוצר, באישור ועדת הכספים של הכנסת ובהתייעצות עם נגיד בנק ישראל ועם יושב ראש רשות ניירות ערך בתקנות - </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509" w:type="dxa"/>
            <w:gridSpan w:val="2"/>
            <w:shd w:val="clear" w:color="auto" w:fill="auto"/>
          </w:tcPr>
          <w:p w:rsidR="00FB22DB" w:rsidRPr="00C8684B" w:rsidRDefault="00FB22DB" w:rsidP="00DD0B44">
            <w:pPr>
              <w:pStyle w:val="TableText"/>
              <w:rPr>
                <w:sz w:val="26"/>
              </w:rPr>
            </w:pPr>
          </w:p>
        </w:tc>
        <w:tc>
          <w:tcPr>
            <w:tcW w:w="567" w:type="dxa"/>
            <w:gridSpan w:val="4"/>
            <w:shd w:val="clear" w:color="auto" w:fill="auto"/>
          </w:tcPr>
          <w:p w:rsidR="00FB22DB" w:rsidRPr="00C8684B" w:rsidRDefault="00FB22DB" w:rsidP="00DD0B44">
            <w:pPr>
              <w:pStyle w:val="TableBlock"/>
              <w:rPr>
                <w:sz w:val="26"/>
                <w:rtl/>
              </w:rPr>
            </w:pPr>
          </w:p>
        </w:tc>
        <w:tc>
          <w:tcPr>
            <w:tcW w:w="4822" w:type="dxa"/>
            <w:gridSpan w:val="3"/>
            <w:shd w:val="clear" w:color="auto" w:fill="auto"/>
          </w:tcPr>
          <w:p w:rsidR="00FB22DB" w:rsidRPr="00C8684B" w:rsidRDefault="00FB22DB" w:rsidP="00DD0B44">
            <w:pPr>
              <w:pStyle w:val="TableBlock"/>
              <w:numPr>
                <w:ilvl w:val="0"/>
                <w:numId w:val="31"/>
              </w:numPr>
              <w:tabs>
                <w:tab w:val="left" w:pos="624"/>
              </w:tabs>
              <w:rPr>
                <w:sz w:val="26"/>
                <w:rtl/>
              </w:rPr>
            </w:pPr>
            <w:r w:rsidRPr="00C8684B">
              <w:rPr>
                <w:rFonts w:hint="cs"/>
                <w:sz w:val="26"/>
                <w:rtl/>
              </w:rPr>
              <w:t>תנאים אשר בהתקיימם יסגור מוסד פיננסי ישראלי החייב בדיווח חשבון פיננסי חדש שנפתח לפני יום התחילה, אשר לגביו לא הצליח המוסד הפיננסי האמור לגבות הצהרות או לאסוף מסמכים בהתאם להוראות שנקבעו בתקנות;</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509" w:type="dxa"/>
            <w:gridSpan w:val="2"/>
            <w:shd w:val="clear" w:color="auto" w:fill="auto"/>
          </w:tcPr>
          <w:p w:rsidR="00FB22DB" w:rsidRPr="00C8684B" w:rsidRDefault="00FB22DB" w:rsidP="00DD0B44">
            <w:pPr>
              <w:pStyle w:val="TableText"/>
              <w:rPr>
                <w:sz w:val="26"/>
              </w:rPr>
            </w:pPr>
          </w:p>
        </w:tc>
        <w:tc>
          <w:tcPr>
            <w:tcW w:w="567" w:type="dxa"/>
            <w:gridSpan w:val="4"/>
            <w:shd w:val="clear" w:color="auto" w:fill="auto"/>
          </w:tcPr>
          <w:p w:rsidR="00FB22DB" w:rsidRPr="00C8684B" w:rsidRDefault="00FB22DB" w:rsidP="00DD0B44">
            <w:pPr>
              <w:pStyle w:val="TableBlock"/>
              <w:rPr>
                <w:sz w:val="26"/>
                <w:rtl/>
              </w:rPr>
            </w:pPr>
          </w:p>
        </w:tc>
        <w:tc>
          <w:tcPr>
            <w:tcW w:w="4822" w:type="dxa"/>
            <w:gridSpan w:val="3"/>
            <w:shd w:val="clear" w:color="auto" w:fill="auto"/>
          </w:tcPr>
          <w:p w:rsidR="00FB22DB" w:rsidRPr="00C8684B" w:rsidRDefault="00FB22DB" w:rsidP="00DD0B44">
            <w:pPr>
              <w:pStyle w:val="TableBlock"/>
              <w:numPr>
                <w:ilvl w:val="0"/>
                <w:numId w:val="31"/>
              </w:numPr>
              <w:tabs>
                <w:tab w:val="left" w:pos="624"/>
              </w:tabs>
              <w:rPr>
                <w:sz w:val="26"/>
                <w:rtl/>
              </w:rPr>
            </w:pPr>
            <w:r w:rsidRPr="00C8684B">
              <w:rPr>
                <w:rFonts w:hint="cs"/>
                <w:sz w:val="26"/>
                <w:rtl/>
              </w:rPr>
              <w:t>הוראות לענין ניכויים מתשלום בר ניכוי ממקור הכנסה אמריקאי המשולם למוסד פיננסי לא משתתף.</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509" w:type="dxa"/>
            <w:gridSpan w:val="2"/>
            <w:shd w:val="clear" w:color="auto" w:fill="auto"/>
          </w:tcPr>
          <w:p w:rsidR="00FB22DB" w:rsidRPr="00C8684B" w:rsidRDefault="00FB22DB" w:rsidP="00DD0B44">
            <w:pPr>
              <w:pStyle w:val="TableText"/>
              <w:rPr>
                <w:sz w:val="26"/>
              </w:rPr>
            </w:pPr>
          </w:p>
        </w:tc>
        <w:tc>
          <w:tcPr>
            <w:tcW w:w="567" w:type="dxa"/>
            <w:gridSpan w:val="4"/>
            <w:shd w:val="clear" w:color="auto" w:fill="auto"/>
          </w:tcPr>
          <w:p w:rsidR="00FB22DB" w:rsidRPr="00C8684B" w:rsidRDefault="00FB22DB" w:rsidP="00DD0B44">
            <w:pPr>
              <w:pStyle w:val="TableBlock"/>
              <w:rPr>
                <w:sz w:val="26"/>
                <w:rtl/>
              </w:rPr>
            </w:pPr>
            <w:r w:rsidRPr="00C8684B">
              <w:rPr>
                <w:rFonts w:hint="cs"/>
                <w:sz w:val="26"/>
                <w:rtl/>
              </w:rPr>
              <w:t>(ה)</w:t>
            </w:r>
          </w:p>
        </w:tc>
        <w:tc>
          <w:tcPr>
            <w:tcW w:w="4822" w:type="dxa"/>
            <w:gridSpan w:val="3"/>
            <w:shd w:val="clear" w:color="auto" w:fill="auto"/>
          </w:tcPr>
          <w:p w:rsidR="00FB22DB" w:rsidRPr="00C8684B" w:rsidRDefault="00FB22DB" w:rsidP="00DD0B44">
            <w:pPr>
              <w:pStyle w:val="TableBlock"/>
              <w:rPr>
                <w:sz w:val="26"/>
                <w:rtl/>
              </w:rPr>
            </w:pPr>
            <w:r w:rsidRPr="00C8684B">
              <w:rPr>
                <w:rFonts w:hint="cs"/>
                <w:sz w:val="26"/>
                <w:rtl/>
              </w:rPr>
              <w:t>שר האוצר רשאי להוסיף או לגרוע הסכם לחילופי מידע מהתוספת השלישית.</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keepLines w:val="0"/>
              <w:rPr>
                <w:sz w:val="26"/>
              </w:rPr>
            </w:pPr>
            <w:r w:rsidRPr="00C8684B">
              <w:rPr>
                <w:rFonts w:hint="cs"/>
                <w:sz w:val="26"/>
                <w:rtl/>
              </w:rPr>
              <w:t>הוספת סעיף 136א</w:t>
            </w:r>
          </w:p>
        </w:tc>
        <w:tc>
          <w:tcPr>
            <w:tcW w:w="624" w:type="dxa"/>
            <w:shd w:val="clear" w:color="auto" w:fill="auto"/>
          </w:tcPr>
          <w:p w:rsidR="00FB22DB" w:rsidRPr="00C8684B" w:rsidRDefault="00FB22DB" w:rsidP="00DD0B44">
            <w:pPr>
              <w:pStyle w:val="TableText"/>
              <w:keepLines w:val="0"/>
              <w:numPr>
                <w:ilvl w:val="0"/>
                <w:numId w:val="1"/>
              </w:numPr>
              <w:rPr>
                <w:sz w:val="26"/>
              </w:rPr>
            </w:pPr>
          </w:p>
        </w:tc>
        <w:tc>
          <w:tcPr>
            <w:tcW w:w="7146" w:type="dxa"/>
            <w:gridSpan w:val="11"/>
            <w:shd w:val="clear" w:color="auto" w:fill="auto"/>
          </w:tcPr>
          <w:p w:rsidR="00FB22DB" w:rsidRPr="00C8684B" w:rsidRDefault="00FB22DB" w:rsidP="00DD0B44">
            <w:pPr>
              <w:pStyle w:val="TableBlock"/>
              <w:keepLines w:val="0"/>
              <w:rPr>
                <w:sz w:val="26"/>
              </w:rPr>
            </w:pPr>
            <w:r w:rsidRPr="00C8684B">
              <w:rPr>
                <w:rFonts w:hint="cs"/>
                <w:sz w:val="26"/>
                <w:rtl/>
              </w:rPr>
              <w:t>אחרי סעיף 136 לפקודה יבוא:</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keepLines w:val="0"/>
              <w:rPr>
                <w:color w:val="000000" w:themeColor="text1"/>
                <w:sz w:val="26"/>
                <w:rtl/>
              </w:rPr>
            </w:pPr>
          </w:p>
        </w:tc>
        <w:tc>
          <w:tcPr>
            <w:tcW w:w="624" w:type="dxa"/>
            <w:shd w:val="clear" w:color="auto" w:fill="auto"/>
          </w:tcPr>
          <w:p w:rsidR="00FB22DB" w:rsidRPr="00C8684B" w:rsidRDefault="00FB22DB" w:rsidP="00DD0B44">
            <w:pPr>
              <w:pStyle w:val="TableText"/>
              <w:rPr>
                <w:sz w:val="26"/>
              </w:rPr>
            </w:pPr>
          </w:p>
        </w:tc>
        <w:tc>
          <w:tcPr>
            <w:tcW w:w="7146" w:type="dxa"/>
            <w:gridSpan w:val="11"/>
            <w:shd w:val="clear" w:color="auto" w:fill="auto"/>
          </w:tcPr>
          <w:p w:rsidR="00FB22DB" w:rsidRPr="00C8684B" w:rsidRDefault="00FB22DB" w:rsidP="00DD0B44">
            <w:pPr>
              <w:pStyle w:val="TableBlock"/>
              <w:numPr>
                <w:ilvl w:val="0"/>
                <w:numId w:val="19"/>
              </w:numPr>
              <w:tabs>
                <w:tab w:val="left" w:pos="624"/>
              </w:tabs>
              <w:rPr>
                <w:sz w:val="26"/>
                <w:rtl/>
              </w:rPr>
            </w:pPr>
            <w:r w:rsidRPr="00C8684B">
              <w:rPr>
                <w:rFonts w:hint="cs"/>
                <w:sz w:val="26"/>
                <w:rtl/>
              </w:rPr>
              <w:t>אחרי סעיף 195ב יבוא:</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keepLines w:val="0"/>
              <w:rPr>
                <w:color w:val="000000" w:themeColor="text1"/>
                <w:sz w:val="26"/>
                <w:rtl/>
              </w:rPr>
            </w:pPr>
          </w:p>
        </w:tc>
        <w:tc>
          <w:tcPr>
            <w:tcW w:w="624" w:type="dxa"/>
            <w:shd w:val="clear" w:color="auto" w:fill="auto"/>
          </w:tcPr>
          <w:p w:rsidR="00FB22DB" w:rsidRPr="00C8684B" w:rsidRDefault="00FB22DB" w:rsidP="00DD0B44">
            <w:pPr>
              <w:pStyle w:val="TableText"/>
              <w:rPr>
                <w:sz w:val="26"/>
              </w:rPr>
            </w:pPr>
          </w:p>
        </w:tc>
        <w:tc>
          <w:tcPr>
            <w:tcW w:w="1474" w:type="dxa"/>
            <w:gridSpan w:val="3"/>
            <w:shd w:val="clear" w:color="auto" w:fill="auto"/>
          </w:tcPr>
          <w:p w:rsidR="00FB22DB" w:rsidRPr="00C8684B" w:rsidRDefault="00FB22DB" w:rsidP="00DD0B44">
            <w:pPr>
              <w:pStyle w:val="TableBlock"/>
              <w:tabs>
                <w:tab w:val="clear" w:pos="624"/>
              </w:tabs>
              <w:jc w:val="left"/>
              <w:rPr>
                <w:sz w:val="26"/>
                <w:rtl/>
              </w:rPr>
            </w:pPr>
            <w:r w:rsidRPr="00C8684B">
              <w:rPr>
                <w:rFonts w:hint="cs"/>
                <w:sz w:val="26"/>
                <w:rtl/>
              </w:rPr>
              <w:t>"עיצום כספי בשל  אי זיהוי פרטים או בשל פגם  בהעברתם</w:t>
            </w:r>
          </w:p>
        </w:tc>
        <w:tc>
          <w:tcPr>
            <w:tcW w:w="708" w:type="dxa"/>
            <w:gridSpan w:val="4"/>
            <w:shd w:val="clear" w:color="auto" w:fill="auto"/>
          </w:tcPr>
          <w:p w:rsidR="00FB22DB" w:rsidRPr="00C8684B" w:rsidRDefault="00FB22DB" w:rsidP="00DD0B44">
            <w:pPr>
              <w:pStyle w:val="TableBlock"/>
              <w:tabs>
                <w:tab w:val="clear" w:pos="624"/>
              </w:tabs>
              <w:rPr>
                <w:sz w:val="26"/>
                <w:rtl/>
              </w:rPr>
            </w:pPr>
            <w:r w:rsidRPr="00C8684B">
              <w:rPr>
                <w:rFonts w:hint="cs"/>
                <w:sz w:val="26"/>
                <w:rtl/>
              </w:rPr>
              <w:t>195ב1</w:t>
            </w:r>
          </w:p>
        </w:tc>
        <w:tc>
          <w:tcPr>
            <w:tcW w:w="4964" w:type="dxa"/>
            <w:gridSpan w:val="4"/>
            <w:shd w:val="clear" w:color="auto" w:fill="auto"/>
          </w:tcPr>
          <w:p w:rsidR="00FB22DB" w:rsidRPr="00C8684B" w:rsidRDefault="00FB22DB" w:rsidP="00DD0B44">
            <w:pPr>
              <w:pStyle w:val="TableBlock"/>
              <w:numPr>
                <w:ilvl w:val="0"/>
                <w:numId w:val="20"/>
              </w:numPr>
              <w:tabs>
                <w:tab w:val="clear" w:pos="824"/>
              </w:tabs>
              <w:ind w:left="0"/>
              <w:rPr>
                <w:sz w:val="26"/>
                <w:rtl/>
              </w:rPr>
            </w:pPr>
            <w:r w:rsidRPr="00C8684B">
              <w:rPr>
                <w:rFonts w:hint="cs"/>
                <w:sz w:val="26"/>
                <w:rtl/>
              </w:rPr>
              <w:t xml:space="preserve">היה למנהל יסוד סביר להניח כי מוסד פיננסי ישראלי החייב בדיווח כהגדרתו  בסעיף 135ב, לא ביצע הליך זיהוי פרטים לבעל חשבון בהתאם להוראות לזיהוי פרטים שנקבעו בתקנות שהותקנו לפי סעיף 135ב, רשאי הוא להטיל על המוסד הפיננסי עיצום כספי בסך של 10,000 ₪ בשל כל חודש מלא מהמועד האחרון שנקבע בתקנות האמורות לביצוע הליך זיהוי פרטים כאמור ואשר בו אינו מבצע את הליך הזיהוי האמור, ובלבד שסך כל העיצומים הכספיים שיוטלו על מוסד פיננסי ישראלי החייב בדיווח בשנת מס בהתאם לסעיף קטן זה לא יעלה על 600,000 ₪. </w:t>
            </w:r>
            <w:r>
              <w:rPr>
                <w:rFonts w:hint="cs"/>
                <w:sz w:val="26"/>
                <w:rtl/>
              </w:rPr>
              <w:t xml:space="preserve">ואולם, </w:t>
            </w:r>
            <w:r w:rsidRPr="00F94603">
              <w:rPr>
                <w:rFonts w:hint="cs"/>
                <w:sz w:val="26"/>
                <w:rtl/>
              </w:rPr>
              <w:t>לא יוטל עיצום כספי בשל סעיף  קטן זה אם הוכיח המוסד הפיננסי שהוא נקט בכל האמצעים הסבירים להבטחת ביצוע הליך זיהוי פרטים לבעל החשבון בהתאם להוראות שנקבעו בתקנות האמורות</w:t>
            </w:r>
            <w:r>
              <w:rPr>
                <w:rFonts w:hint="cs"/>
                <w:sz w:val="26"/>
                <w:rtl/>
              </w:rPr>
              <w:t>;</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keepLines w:val="0"/>
              <w:rPr>
                <w:color w:val="000000" w:themeColor="text1"/>
                <w:sz w:val="26"/>
                <w:rtl/>
              </w:rPr>
            </w:pPr>
          </w:p>
        </w:tc>
        <w:tc>
          <w:tcPr>
            <w:tcW w:w="624" w:type="dxa"/>
            <w:shd w:val="clear" w:color="auto" w:fill="auto"/>
          </w:tcPr>
          <w:p w:rsidR="00FB22DB" w:rsidRPr="00C8684B" w:rsidRDefault="00FB22DB" w:rsidP="00DD0B44">
            <w:pPr>
              <w:pStyle w:val="TableText"/>
              <w:rPr>
                <w:sz w:val="26"/>
              </w:rPr>
            </w:pPr>
          </w:p>
        </w:tc>
        <w:tc>
          <w:tcPr>
            <w:tcW w:w="1474" w:type="dxa"/>
            <w:gridSpan w:val="3"/>
            <w:shd w:val="clear" w:color="auto" w:fill="auto"/>
          </w:tcPr>
          <w:p w:rsidR="00FB22DB" w:rsidRPr="00C8684B" w:rsidRDefault="00FB22DB" w:rsidP="00DD0B44">
            <w:pPr>
              <w:pStyle w:val="TableBlock"/>
              <w:tabs>
                <w:tab w:val="clear" w:pos="624"/>
              </w:tabs>
              <w:jc w:val="left"/>
              <w:rPr>
                <w:sz w:val="26"/>
                <w:rtl/>
              </w:rPr>
            </w:pPr>
          </w:p>
        </w:tc>
        <w:tc>
          <w:tcPr>
            <w:tcW w:w="708" w:type="dxa"/>
            <w:gridSpan w:val="4"/>
            <w:shd w:val="clear" w:color="auto" w:fill="auto"/>
          </w:tcPr>
          <w:p w:rsidR="00FB22DB" w:rsidRPr="00C8684B" w:rsidRDefault="00FB22DB" w:rsidP="00DD0B44">
            <w:pPr>
              <w:pStyle w:val="TableBlock"/>
              <w:tabs>
                <w:tab w:val="clear" w:pos="624"/>
              </w:tabs>
              <w:rPr>
                <w:sz w:val="26"/>
                <w:rtl/>
              </w:rPr>
            </w:pPr>
          </w:p>
        </w:tc>
        <w:tc>
          <w:tcPr>
            <w:tcW w:w="4964" w:type="dxa"/>
            <w:gridSpan w:val="4"/>
            <w:shd w:val="clear" w:color="auto" w:fill="auto"/>
          </w:tcPr>
          <w:p w:rsidR="00FB22DB" w:rsidRPr="00C8684B" w:rsidRDefault="00FB22DB" w:rsidP="00DD0B44">
            <w:pPr>
              <w:pStyle w:val="TableBlock"/>
              <w:numPr>
                <w:ilvl w:val="0"/>
                <w:numId w:val="20"/>
              </w:numPr>
              <w:tabs>
                <w:tab w:val="clear" w:pos="824"/>
              </w:tabs>
              <w:ind w:left="0"/>
              <w:rPr>
                <w:sz w:val="26"/>
                <w:rtl/>
              </w:rPr>
            </w:pPr>
            <w:r w:rsidRPr="00C8684B">
              <w:rPr>
                <w:sz w:val="26"/>
                <w:rtl/>
              </w:rPr>
              <w:t xml:space="preserve">היה למנהל יסוד סביר להניח כי מוסד פיננסי ישראלי החייב בדיווח כהגדרתו בסעיף 135ב, לא העביר למנהל מידע או שהעביר מידע חלקי ביחס לחשבונות פיננסיים המוחזקים אצלו בניגוד להוראות הקבועות בתקנות שהותקנו לפי סעיף 135ב, רשאי הוא להטיל על המוסד הפיננסי עיצום כספי בסך </w:t>
            </w:r>
            <w:r w:rsidRPr="00C8684B">
              <w:rPr>
                <w:rFonts w:hint="cs"/>
                <w:sz w:val="26"/>
                <w:rtl/>
              </w:rPr>
              <w:t xml:space="preserve">50,000 ₪ </w:t>
            </w:r>
            <w:r w:rsidRPr="00C8684B">
              <w:rPr>
                <w:sz w:val="26"/>
                <w:rtl/>
              </w:rPr>
              <w:t>בשל כל חודש מלא שלאחר המועד האחרון שנקבע בתקנות להעברת המידע ואשר בו לא העביר את מלוא המידע הנדרש על פי התקנות האמורות</w:t>
            </w:r>
            <w:r w:rsidRPr="00C8684B">
              <w:rPr>
                <w:rFonts w:hint="cs"/>
                <w:sz w:val="26"/>
                <w:rtl/>
              </w:rPr>
              <w:t>,</w:t>
            </w:r>
            <w:r w:rsidRPr="00C8684B">
              <w:rPr>
                <w:sz w:val="26"/>
                <w:rtl/>
              </w:rPr>
              <w:t xml:space="preserve"> ובלבד שסך כל העיצומים הכספיים שיוטלו על מוסד פיננסי ישראלי החייב בדיווח </w:t>
            </w:r>
            <w:r w:rsidRPr="00C8684B">
              <w:rPr>
                <w:rFonts w:hint="cs"/>
                <w:sz w:val="26"/>
                <w:rtl/>
              </w:rPr>
              <w:t xml:space="preserve">בשנת מס בהתאם לסעיף קטן זה </w:t>
            </w:r>
            <w:r w:rsidRPr="00C8684B">
              <w:rPr>
                <w:sz w:val="26"/>
                <w:rtl/>
              </w:rPr>
              <w:t>לא יעלה על</w:t>
            </w:r>
            <w:r w:rsidRPr="00C8684B">
              <w:rPr>
                <w:rFonts w:hint="cs"/>
                <w:sz w:val="26"/>
                <w:rtl/>
              </w:rPr>
              <w:t xml:space="preserve"> 600,000 ש"ח;</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keepLines w:val="0"/>
              <w:rPr>
                <w:color w:val="000000" w:themeColor="text1"/>
                <w:sz w:val="26"/>
                <w:rtl/>
              </w:rPr>
            </w:pPr>
          </w:p>
        </w:tc>
        <w:tc>
          <w:tcPr>
            <w:tcW w:w="624" w:type="dxa"/>
            <w:shd w:val="clear" w:color="auto" w:fill="auto"/>
          </w:tcPr>
          <w:p w:rsidR="00FB22DB" w:rsidRPr="00C8684B" w:rsidRDefault="00FB22DB" w:rsidP="00DD0B44">
            <w:pPr>
              <w:pStyle w:val="TableText"/>
              <w:rPr>
                <w:sz w:val="26"/>
              </w:rPr>
            </w:pPr>
          </w:p>
        </w:tc>
        <w:tc>
          <w:tcPr>
            <w:tcW w:w="1474" w:type="dxa"/>
            <w:gridSpan w:val="3"/>
            <w:shd w:val="clear" w:color="auto" w:fill="auto"/>
          </w:tcPr>
          <w:p w:rsidR="00FB22DB" w:rsidRPr="00C8684B" w:rsidRDefault="00FB22DB" w:rsidP="00DD0B44">
            <w:pPr>
              <w:pStyle w:val="TableBlock"/>
              <w:tabs>
                <w:tab w:val="clear" w:pos="624"/>
              </w:tabs>
              <w:jc w:val="left"/>
              <w:rPr>
                <w:sz w:val="26"/>
                <w:rtl/>
              </w:rPr>
            </w:pPr>
          </w:p>
        </w:tc>
        <w:tc>
          <w:tcPr>
            <w:tcW w:w="708" w:type="dxa"/>
            <w:gridSpan w:val="4"/>
            <w:shd w:val="clear" w:color="auto" w:fill="auto"/>
          </w:tcPr>
          <w:p w:rsidR="00FB22DB" w:rsidRPr="00C8684B" w:rsidRDefault="00FB22DB" w:rsidP="00DD0B44">
            <w:pPr>
              <w:pStyle w:val="TableBlock"/>
              <w:tabs>
                <w:tab w:val="clear" w:pos="624"/>
              </w:tabs>
              <w:rPr>
                <w:sz w:val="26"/>
                <w:rtl/>
              </w:rPr>
            </w:pPr>
          </w:p>
        </w:tc>
        <w:tc>
          <w:tcPr>
            <w:tcW w:w="4964" w:type="dxa"/>
            <w:gridSpan w:val="4"/>
            <w:shd w:val="clear" w:color="auto" w:fill="auto"/>
          </w:tcPr>
          <w:p w:rsidR="00FB22DB" w:rsidRPr="00C8684B" w:rsidRDefault="00FB22DB" w:rsidP="00DD0B44">
            <w:pPr>
              <w:pStyle w:val="TableBlock"/>
              <w:numPr>
                <w:ilvl w:val="0"/>
                <w:numId w:val="20"/>
              </w:numPr>
              <w:tabs>
                <w:tab w:val="clear" w:pos="824"/>
              </w:tabs>
              <w:ind w:left="0"/>
              <w:rPr>
                <w:sz w:val="26"/>
                <w:rtl/>
              </w:rPr>
            </w:pPr>
            <w:r w:rsidRPr="00C8684B">
              <w:rPr>
                <w:rFonts w:hint="cs"/>
                <w:sz w:val="26"/>
                <w:rtl/>
              </w:rPr>
              <w:t>שר האוצר רשאי לקבוע בתקנות עיצומים כספיים בסכומים נמוכים מהסכומים הקבועים בסעיף זה, בהתקיים תנאים שיקבע.</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keepLines w:val="0"/>
              <w:rPr>
                <w:sz w:val="26"/>
              </w:rPr>
            </w:pPr>
            <w:r w:rsidRPr="00C8684B">
              <w:rPr>
                <w:rFonts w:hint="cs"/>
                <w:sz w:val="26"/>
                <w:rtl/>
              </w:rPr>
              <w:t>תיקון סעיף 195ג</w:t>
            </w:r>
          </w:p>
        </w:tc>
        <w:tc>
          <w:tcPr>
            <w:tcW w:w="624" w:type="dxa"/>
            <w:shd w:val="clear" w:color="auto" w:fill="auto"/>
          </w:tcPr>
          <w:p w:rsidR="00FB22DB" w:rsidRPr="00C8684B" w:rsidRDefault="00FB22DB" w:rsidP="00DD0B44">
            <w:pPr>
              <w:pStyle w:val="TableText"/>
              <w:keepLines w:val="0"/>
              <w:numPr>
                <w:ilvl w:val="0"/>
                <w:numId w:val="1"/>
              </w:numPr>
              <w:rPr>
                <w:sz w:val="26"/>
              </w:rPr>
            </w:pPr>
          </w:p>
        </w:tc>
        <w:tc>
          <w:tcPr>
            <w:tcW w:w="7146" w:type="dxa"/>
            <w:gridSpan w:val="11"/>
            <w:shd w:val="clear" w:color="auto" w:fill="auto"/>
          </w:tcPr>
          <w:p w:rsidR="00FB22DB" w:rsidRPr="00C8684B" w:rsidRDefault="00FB22DB" w:rsidP="00DD0B44">
            <w:pPr>
              <w:pStyle w:val="TableBlock"/>
              <w:keepLines w:val="0"/>
              <w:rPr>
                <w:sz w:val="26"/>
              </w:rPr>
            </w:pPr>
            <w:r w:rsidRPr="00C8684B">
              <w:rPr>
                <w:rFonts w:hint="cs"/>
                <w:sz w:val="26"/>
                <w:rtl/>
              </w:rPr>
              <w:t>בסעיף 195ג, אחרי "סעיף 195ב" יבוא "או לפי סעיף 195ב1".</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keepLines w:val="0"/>
              <w:rPr>
                <w:sz w:val="26"/>
              </w:rPr>
            </w:pPr>
            <w:r w:rsidRPr="00C8684B">
              <w:rPr>
                <w:rFonts w:hint="cs"/>
                <w:sz w:val="26"/>
                <w:rtl/>
              </w:rPr>
              <w:t>תיקון סעיף 195ד</w:t>
            </w:r>
          </w:p>
        </w:tc>
        <w:tc>
          <w:tcPr>
            <w:tcW w:w="624" w:type="dxa"/>
            <w:shd w:val="clear" w:color="auto" w:fill="auto"/>
          </w:tcPr>
          <w:p w:rsidR="00FB22DB" w:rsidRPr="00C8684B" w:rsidRDefault="00FB22DB" w:rsidP="00DD0B44">
            <w:pPr>
              <w:pStyle w:val="TableText"/>
              <w:keepLines w:val="0"/>
              <w:numPr>
                <w:ilvl w:val="0"/>
                <w:numId w:val="1"/>
              </w:numPr>
              <w:rPr>
                <w:sz w:val="26"/>
              </w:rPr>
            </w:pPr>
          </w:p>
        </w:tc>
        <w:tc>
          <w:tcPr>
            <w:tcW w:w="7146" w:type="dxa"/>
            <w:gridSpan w:val="11"/>
            <w:shd w:val="clear" w:color="auto" w:fill="auto"/>
          </w:tcPr>
          <w:p w:rsidR="00FB22DB" w:rsidRPr="00C8684B" w:rsidRDefault="00FB22DB" w:rsidP="00DD0B44">
            <w:pPr>
              <w:pStyle w:val="TableBlock"/>
              <w:keepLines w:val="0"/>
              <w:rPr>
                <w:sz w:val="26"/>
              </w:rPr>
            </w:pPr>
            <w:r w:rsidRPr="00C8684B">
              <w:rPr>
                <w:rFonts w:hint="cs"/>
                <w:sz w:val="26"/>
                <w:rtl/>
              </w:rPr>
              <w:t>בסעיף 195ד, בכל מקום במקום "יחיד, מעביד או מנכה," יבוא "אדם".</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keepLines w:val="0"/>
              <w:rPr>
                <w:sz w:val="26"/>
              </w:rPr>
            </w:pPr>
            <w:r w:rsidRPr="00C8684B">
              <w:rPr>
                <w:rFonts w:hint="cs"/>
                <w:sz w:val="26"/>
                <w:rtl/>
              </w:rPr>
              <w:t>תיקון סעיף 195ח</w:t>
            </w:r>
          </w:p>
        </w:tc>
        <w:tc>
          <w:tcPr>
            <w:tcW w:w="624" w:type="dxa"/>
            <w:shd w:val="clear" w:color="auto" w:fill="auto"/>
          </w:tcPr>
          <w:p w:rsidR="00FB22DB" w:rsidRPr="00C8684B" w:rsidRDefault="00FB22DB" w:rsidP="00DD0B44">
            <w:pPr>
              <w:pStyle w:val="TableText"/>
              <w:keepLines w:val="0"/>
              <w:numPr>
                <w:ilvl w:val="0"/>
                <w:numId w:val="1"/>
              </w:numPr>
              <w:rPr>
                <w:sz w:val="26"/>
              </w:rPr>
            </w:pPr>
          </w:p>
        </w:tc>
        <w:tc>
          <w:tcPr>
            <w:tcW w:w="7146" w:type="dxa"/>
            <w:gridSpan w:val="11"/>
            <w:shd w:val="clear" w:color="auto" w:fill="auto"/>
          </w:tcPr>
          <w:p w:rsidR="00FB22DB" w:rsidRPr="00C8684B" w:rsidRDefault="00FB22DB" w:rsidP="00DD0B44">
            <w:pPr>
              <w:pStyle w:val="TableBlock"/>
              <w:keepLines w:val="0"/>
              <w:rPr>
                <w:sz w:val="26"/>
              </w:rPr>
            </w:pPr>
            <w:r w:rsidRPr="00C8684B">
              <w:rPr>
                <w:rFonts w:hint="cs"/>
                <w:sz w:val="26"/>
                <w:rtl/>
              </w:rPr>
              <w:t>בסעיף 195ח, בכל מקום במקום "יחיד, מעביד או מנכה," יבוא "אדם".</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keepLines w:val="0"/>
              <w:rPr>
                <w:sz w:val="26"/>
              </w:rPr>
            </w:pPr>
            <w:r w:rsidRPr="00C8684B">
              <w:rPr>
                <w:rFonts w:hint="cs"/>
                <w:sz w:val="26"/>
                <w:rtl/>
              </w:rPr>
              <w:lastRenderedPageBreak/>
              <w:t>תיקון סעיף 197</w:t>
            </w:r>
          </w:p>
        </w:tc>
        <w:tc>
          <w:tcPr>
            <w:tcW w:w="624" w:type="dxa"/>
            <w:shd w:val="clear" w:color="auto" w:fill="auto"/>
          </w:tcPr>
          <w:p w:rsidR="00FB22DB" w:rsidRPr="00C8684B" w:rsidRDefault="00FB22DB" w:rsidP="00DD0B44">
            <w:pPr>
              <w:pStyle w:val="TableText"/>
              <w:keepLines w:val="0"/>
              <w:numPr>
                <w:ilvl w:val="0"/>
                <w:numId w:val="1"/>
              </w:numPr>
              <w:rPr>
                <w:sz w:val="26"/>
              </w:rPr>
            </w:pPr>
          </w:p>
        </w:tc>
        <w:tc>
          <w:tcPr>
            <w:tcW w:w="7146" w:type="dxa"/>
            <w:gridSpan w:val="11"/>
            <w:shd w:val="clear" w:color="auto" w:fill="auto"/>
          </w:tcPr>
          <w:p w:rsidR="00FB22DB" w:rsidRPr="00C8684B" w:rsidRDefault="00FB22DB" w:rsidP="00DD0B44">
            <w:pPr>
              <w:pStyle w:val="TableBlock"/>
              <w:keepLines w:val="0"/>
              <w:rPr>
                <w:sz w:val="26"/>
                <w:rtl/>
              </w:rPr>
            </w:pPr>
            <w:r w:rsidRPr="00C8684B">
              <w:rPr>
                <w:rFonts w:hint="cs"/>
                <w:sz w:val="26"/>
                <w:rtl/>
              </w:rPr>
              <w:t>בסעיף 197, בסופו יבוא "בכפוף להוראות פרק רביעי".</w:t>
            </w:r>
          </w:p>
          <w:p w:rsidR="00FB22DB" w:rsidRPr="00C8684B" w:rsidRDefault="00FB22DB" w:rsidP="00DD0B44">
            <w:pPr>
              <w:pStyle w:val="TableBlock"/>
              <w:keepLines w:val="0"/>
              <w:rPr>
                <w:sz w:val="26"/>
              </w:rPr>
            </w:pP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keepLines w:val="0"/>
              <w:rPr>
                <w:sz w:val="26"/>
              </w:rPr>
            </w:pPr>
            <w:r w:rsidRPr="00C8684B">
              <w:rPr>
                <w:rFonts w:hint="cs"/>
                <w:sz w:val="26"/>
                <w:rtl/>
              </w:rPr>
              <w:t>הוספת פרק רביעי בחלק י'</w:t>
            </w:r>
          </w:p>
        </w:tc>
        <w:tc>
          <w:tcPr>
            <w:tcW w:w="624" w:type="dxa"/>
            <w:shd w:val="clear" w:color="auto" w:fill="auto"/>
          </w:tcPr>
          <w:p w:rsidR="00FB22DB" w:rsidRPr="00C8684B" w:rsidRDefault="00FB22DB" w:rsidP="00DD0B44">
            <w:pPr>
              <w:pStyle w:val="TableText"/>
              <w:keepLines w:val="0"/>
              <w:numPr>
                <w:ilvl w:val="0"/>
                <w:numId w:val="1"/>
              </w:numPr>
              <w:rPr>
                <w:sz w:val="26"/>
              </w:rPr>
            </w:pPr>
          </w:p>
        </w:tc>
        <w:tc>
          <w:tcPr>
            <w:tcW w:w="7146" w:type="dxa"/>
            <w:gridSpan w:val="11"/>
            <w:shd w:val="clear" w:color="auto" w:fill="auto"/>
          </w:tcPr>
          <w:p w:rsidR="00FB22DB" w:rsidRPr="00C8684B" w:rsidRDefault="00FB22DB" w:rsidP="00DD0B44">
            <w:pPr>
              <w:pStyle w:val="TableBlock"/>
              <w:keepLines w:val="0"/>
              <w:rPr>
                <w:sz w:val="26"/>
              </w:rPr>
            </w:pPr>
            <w:r w:rsidRPr="00C8684B">
              <w:rPr>
                <w:rFonts w:hint="cs"/>
                <w:sz w:val="26"/>
                <w:rtl/>
              </w:rPr>
              <w:t>אחרי סעיף 214 לפקודה יבוא:</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keepLines w:val="0"/>
              <w:rPr>
                <w:sz w:val="26"/>
                <w:rtl/>
              </w:rPr>
            </w:pPr>
          </w:p>
        </w:tc>
        <w:tc>
          <w:tcPr>
            <w:tcW w:w="624" w:type="dxa"/>
            <w:shd w:val="clear" w:color="auto" w:fill="auto"/>
          </w:tcPr>
          <w:p w:rsidR="00FB22DB" w:rsidRPr="00C8684B" w:rsidRDefault="00FB22DB" w:rsidP="00DD0B44">
            <w:pPr>
              <w:pStyle w:val="TableText"/>
              <w:rPr>
                <w:sz w:val="26"/>
              </w:rPr>
            </w:pPr>
          </w:p>
        </w:tc>
        <w:tc>
          <w:tcPr>
            <w:tcW w:w="7146" w:type="dxa"/>
            <w:gridSpan w:val="11"/>
            <w:shd w:val="clear" w:color="auto" w:fill="auto"/>
          </w:tcPr>
          <w:p w:rsidR="00FB22DB" w:rsidRPr="00C8684B" w:rsidRDefault="00FB22DB" w:rsidP="00DD0B44">
            <w:pPr>
              <w:pStyle w:val="TableBlock"/>
              <w:keepLines w:val="0"/>
              <w:jc w:val="center"/>
              <w:rPr>
                <w:sz w:val="26"/>
                <w:rtl/>
              </w:rPr>
            </w:pPr>
            <w:r w:rsidRPr="00C8684B">
              <w:rPr>
                <w:rFonts w:hint="cs"/>
                <w:b/>
                <w:bCs/>
                <w:sz w:val="26"/>
                <w:rtl/>
              </w:rPr>
              <w:t>"פרק רביעי: חילופי מידע לפי הסכם בין-לאומי</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keepLines w:val="0"/>
              <w:rPr>
                <w:sz w:val="26"/>
              </w:rPr>
            </w:pPr>
          </w:p>
        </w:tc>
        <w:tc>
          <w:tcPr>
            <w:tcW w:w="624" w:type="dxa"/>
            <w:shd w:val="clear" w:color="auto" w:fill="auto"/>
          </w:tcPr>
          <w:p w:rsidR="00FB22DB" w:rsidRPr="00C8684B" w:rsidRDefault="00FB22DB" w:rsidP="00DD0B44">
            <w:pPr>
              <w:pStyle w:val="TableText"/>
              <w:keepLines w:val="0"/>
              <w:rPr>
                <w:sz w:val="26"/>
              </w:rPr>
            </w:pPr>
          </w:p>
        </w:tc>
        <w:tc>
          <w:tcPr>
            <w:tcW w:w="1048" w:type="dxa"/>
            <w:shd w:val="clear" w:color="auto" w:fill="auto"/>
          </w:tcPr>
          <w:p w:rsidR="00FB22DB" w:rsidRPr="00C8684B" w:rsidRDefault="00FB22DB" w:rsidP="00DD0B44">
            <w:pPr>
              <w:pStyle w:val="TableInnerSideHeading"/>
              <w:rPr>
                <w:sz w:val="26"/>
              </w:rPr>
            </w:pPr>
            <w:r w:rsidRPr="00C8684B">
              <w:rPr>
                <w:rFonts w:hint="cs"/>
                <w:sz w:val="26"/>
                <w:rtl/>
              </w:rPr>
              <w:t>הגדרות</w:t>
            </w:r>
          </w:p>
        </w:tc>
        <w:tc>
          <w:tcPr>
            <w:tcW w:w="709" w:type="dxa"/>
            <w:gridSpan w:val="3"/>
            <w:shd w:val="clear" w:color="auto" w:fill="auto"/>
          </w:tcPr>
          <w:p w:rsidR="00FB22DB" w:rsidRPr="00C8684B" w:rsidRDefault="00FB22DB" w:rsidP="00DD0B44">
            <w:pPr>
              <w:pStyle w:val="TableText"/>
              <w:rPr>
                <w:sz w:val="26"/>
              </w:rPr>
            </w:pPr>
            <w:r w:rsidRPr="00C8684B">
              <w:rPr>
                <w:rFonts w:hint="cs"/>
                <w:sz w:val="26"/>
                <w:rtl/>
              </w:rPr>
              <w:t>214א.</w:t>
            </w:r>
          </w:p>
        </w:tc>
        <w:tc>
          <w:tcPr>
            <w:tcW w:w="5389" w:type="dxa"/>
            <w:gridSpan w:val="7"/>
            <w:shd w:val="clear" w:color="auto" w:fill="auto"/>
          </w:tcPr>
          <w:p w:rsidR="00FB22DB" w:rsidRPr="00C8684B" w:rsidRDefault="00FB22DB" w:rsidP="00DD0B44">
            <w:pPr>
              <w:pStyle w:val="TableBlock"/>
              <w:numPr>
                <w:ilvl w:val="0"/>
                <w:numId w:val="26"/>
              </w:numPr>
              <w:tabs>
                <w:tab w:val="clear" w:pos="624"/>
                <w:tab w:val="clear" w:pos="1247"/>
                <w:tab w:val="left" w:pos="567"/>
              </w:tabs>
              <w:rPr>
                <w:sz w:val="26"/>
              </w:rPr>
            </w:pPr>
            <w:r w:rsidRPr="00C8684B">
              <w:rPr>
                <w:rFonts w:hint="cs"/>
                <w:sz w:val="26"/>
                <w:rtl/>
              </w:rPr>
              <w:t>בסעיף זה -</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709" w:type="dxa"/>
            <w:gridSpan w:val="3"/>
            <w:shd w:val="clear" w:color="auto" w:fill="auto"/>
          </w:tcPr>
          <w:p w:rsidR="00FB22DB" w:rsidRPr="00C8684B" w:rsidRDefault="00FB22DB" w:rsidP="00DD0B44">
            <w:pPr>
              <w:pStyle w:val="TableText"/>
              <w:rPr>
                <w:sz w:val="26"/>
              </w:rPr>
            </w:pPr>
          </w:p>
        </w:tc>
        <w:tc>
          <w:tcPr>
            <w:tcW w:w="5389" w:type="dxa"/>
            <w:gridSpan w:val="7"/>
            <w:shd w:val="clear" w:color="auto" w:fill="auto"/>
          </w:tcPr>
          <w:p w:rsidR="00FB22DB" w:rsidRPr="00C8684B" w:rsidRDefault="00FB22DB" w:rsidP="00DD0B44">
            <w:pPr>
              <w:pStyle w:val="TableBlock"/>
              <w:rPr>
                <w:sz w:val="26"/>
              </w:rPr>
            </w:pPr>
            <w:r w:rsidRPr="00C8684B">
              <w:rPr>
                <w:rFonts w:hint="cs"/>
                <w:sz w:val="26"/>
                <w:rtl/>
              </w:rPr>
              <w:t>"</w:t>
            </w:r>
            <w:r w:rsidRPr="008F05F0">
              <w:rPr>
                <w:rFonts w:hint="cs"/>
                <w:b/>
                <w:bCs/>
                <w:sz w:val="26"/>
                <w:rtl/>
              </w:rPr>
              <w:t>הסכם בין-לאומי</w:t>
            </w:r>
            <w:r w:rsidRPr="00C8684B">
              <w:rPr>
                <w:rFonts w:hint="cs"/>
                <w:sz w:val="26"/>
                <w:rtl/>
              </w:rPr>
              <w:t xml:space="preserve">" </w:t>
            </w:r>
            <w:r w:rsidRPr="00C8684B">
              <w:rPr>
                <w:sz w:val="26"/>
                <w:rtl/>
              </w:rPr>
              <w:t>–</w:t>
            </w:r>
            <w:r w:rsidRPr="00C8684B">
              <w:rPr>
                <w:rFonts w:hint="cs"/>
                <w:sz w:val="26"/>
                <w:rtl/>
              </w:rPr>
              <w:t xml:space="preserve"> ההסכם כמשמעותו בסעיף 196 וכן הסכם לחילופי מידע;</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709" w:type="dxa"/>
            <w:gridSpan w:val="3"/>
            <w:shd w:val="clear" w:color="auto" w:fill="auto"/>
          </w:tcPr>
          <w:p w:rsidR="00FB22DB" w:rsidRPr="00C8684B" w:rsidRDefault="00FB22DB" w:rsidP="00DD0B44">
            <w:pPr>
              <w:pStyle w:val="TableText"/>
              <w:rPr>
                <w:sz w:val="26"/>
              </w:rPr>
            </w:pPr>
          </w:p>
        </w:tc>
        <w:tc>
          <w:tcPr>
            <w:tcW w:w="5389" w:type="dxa"/>
            <w:gridSpan w:val="7"/>
            <w:shd w:val="clear" w:color="auto" w:fill="auto"/>
          </w:tcPr>
          <w:p w:rsidR="00FB22DB" w:rsidRPr="00C8684B" w:rsidRDefault="00FB22DB" w:rsidP="00DD0B44">
            <w:pPr>
              <w:pStyle w:val="TableBlock"/>
              <w:rPr>
                <w:sz w:val="26"/>
                <w:rtl/>
              </w:rPr>
            </w:pPr>
            <w:r w:rsidRPr="00C8684B">
              <w:rPr>
                <w:rFonts w:hint="cs"/>
                <w:sz w:val="26"/>
                <w:rtl/>
              </w:rPr>
              <w:t>"</w:t>
            </w:r>
            <w:r w:rsidRPr="008F05F0">
              <w:rPr>
                <w:rFonts w:hint="cs"/>
                <w:b/>
                <w:bCs/>
                <w:sz w:val="26"/>
                <w:rtl/>
              </w:rPr>
              <w:t>הסכם לחילופי מידע</w:t>
            </w:r>
            <w:r w:rsidRPr="00C8684B">
              <w:rPr>
                <w:rFonts w:hint="cs"/>
                <w:sz w:val="26"/>
                <w:rtl/>
              </w:rPr>
              <w:t xml:space="preserve">" </w:t>
            </w:r>
            <w:r w:rsidRPr="00C8684B">
              <w:rPr>
                <w:sz w:val="26"/>
                <w:rtl/>
              </w:rPr>
              <w:t>–</w:t>
            </w:r>
            <w:r w:rsidRPr="00C8684B">
              <w:rPr>
                <w:rFonts w:hint="cs"/>
                <w:sz w:val="26"/>
                <w:rtl/>
              </w:rPr>
              <w:t xml:space="preserve"> הסכם בין מדינת ישראל לבין מדינה אחרת כהגדרתה בסעיף 196(ג), שעניינו מתן סיוע לרבות </w:t>
            </w:r>
            <w:r w:rsidR="00995AE6">
              <w:rPr>
                <w:rFonts w:hint="cs"/>
                <w:sz w:val="26"/>
                <w:rtl/>
              </w:rPr>
              <w:t xml:space="preserve">באמצעות </w:t>
            </w:r>
            <w:r w:rsidRPr="00C8684B">
              <w:rPr>
                <w:rFonts w:hint="cs"/>
                <w:sz w:val="26"/>
                <w:rtl/>
              </w:rPr>
              <w:t>חילופי מידע, לשם אכיפת חוקי המס של ישראל או דיני המס של המדינה האחרת;</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709" w:type="dxa"/>
            <w:gridSpan w:val="3"/>
            <w:shd w:val="clear" w:color="auto" w:fill="auto"/>
          </w:tcPr>
          <w:p w:rsidR="00FB22DB" w:rsidRPr="00C8684B" w:rsidRDefault="00FB22DB" w:rsidP="00DD0B44">
            <w:pPr>
              <w:pStyle w:val="TableText"/>
              <w:rPr>
                <w:sz w:val="26"/>
              </w:rPr>
            </w:pPr>
          </w:p>
        </w:tc>
        <w:tc>
          <w:tcPr>
            <w:tcW w:w="5389" w:type="dxa"/>
            <w:gridSpan w:val="7"/>
            <w:shd w:val="clear" w:color="auto" w:fill="auto"/>
          </w:tcPr>
          <w:p w:rsidR="00FB22DB" w:rsidRPr="00C8684B" w:rsidRDefault="00FB22DB" w:rsidP="00DD0B44">
            <w:pPr>
              <w:pStyle w:val="TableBlock"/>
              <w:rPr>
                <w:sz w:val="26"/>
                <w:rtl/>
              </w:rPr>
            </w:pPr>
            <w:r w:rsidRPr="00C8684B">
              <w:rPr>
                <w:rFonts w:hint="cs"/>
                <w:sz w:val="26"/>
                <w:rtl/>
              </w:rPr>
              <w:t>"</w:t>
            </w:r>
            <w:r w:rsidRPr="008F05F0">
              <w:rPr>
                <w:rFonts w:hint="cs"/>
                <w:b/>
                <w:bCs/>
                <w:sz w:val="26"/>
                <w:rtl/>
              </w:rPr>
              <w:t>חוק מס</w:t>
            </w:r>
            <w:r w:rsidRPr="00C8684B">
              <w:rPr>
                <w:rFonts w:hint="cs"/>
                <w:sz w:val="26"/>
                <w:rtl/>
              </w:rPr>
              <w:t xml:space="preserve">" </w:t>
            </w:r>
            <w:r w:rsidRPr="00C8684B">
              <w:rPr>
                <w:sz w:val="26"/>
                <w:rtl/>
              </w:rPr>
              <w:t>–</w:t>
            </w:r>
            <w:r w:rsidRPr="00C8684B">
              <w:rPr>
                <w:rFonts w:hint="cs"/>
                <w:sz w:val="26"/>
                <w:rtl/>
              </w:rPr>
              <w:t xml:space="preserve"> חיקוק הדן בהטלת מס או בתשלום חובה ששר האוצר ממונה על ביצועו.</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r w:rsidRPr="00C8684B">
              <w:rPr>
                <w:rFonts w:hint="cs"/>
                <w:sz w:val="26"/>
                <w:rtl/>
              </w:rPr>
              <w:t>העברת מידע על-פי הסכם בין-לאומי</w:t>
            </w:r>
          </w:p>
        </w:tc>
        <w:tc>
          <w:tcPr>
            <w:tcW w:w="709" w:type="dxa"/>
            <w:gridSpan w:val="3"/>
            <w:shd w:val="clear" w:color="auto" w:fill="auto"/>
          </w:tcPr>
          <w:p w:rsidR="00FB22DB" w:rsidRPr="00C8684B" w:rsidRDefault="00FB22DB" w:rsidP="00DD0B44">
            <w:pPr>
              <w:pStyle w:val="TableBlock"/>
              <w:rPr>
                <w:sz w:val="26"/>
              </w:rPr>
            </w:pPr>
            <w:r w:rsidRPr="00C8684B">
              <w:rPr>
                <w:rFonts w:hint="cs"/>
                <w:sz w:val="26"/>
                <w:rtl/>
              </w:rPr>
              <w:t>214ב.</w:t>
            </w:r>
          </w:p>
        </w:tc>
        <w:tc>
          <w:tcPr>
            <w:tcW w:w="5389" w:type="dxa"/>
            <w:gridSpan w:val="7"/>
            <w:shd w:val="clear" w:color="auto" w:fill="auto"/>
          </w:tcPr>
          <w:p w:rsidR="00FB22DB" w:rsidRPr="00C8684B" w:rsidRDefault="00FB22DB" w:rsidP="00DD0B44">
            <w:pPr>
              <w:pStyle w:val="TableBlock"/>
              <w:numPr>
                <w:ilvl w:val="0"/>
                <w:numId w:val="27"/>
              </w:numPr>
              <w:tabs>
                <w:tab w:val="left" w:pos="624"/>
              </w:tabs>
              <w:rPr>
                <w:sz w:val="26"/>
              </w:rPr>
            </w:pPr>
            <w:r w:rsidRPr="00C8684B">
              <w:rPr>
                <w:rFonts w:hint="cs"/>
                <w:sz w:val="26"/>
                <w:rtl/>
              </w:rPr>
              <w:t>על אף האמור בסעיפים 231 ו-234, רשאי המנהל או מי שהוא הסמיך לעניין פרק זה להעביר מידע לרשות מס במדינה אחרת, בהתאם להסכם בין-לאומי, בין על פי בקשתה של אותה רשות מס ובין ביוזמת המנהל, בכפוף לסייגים שבהסכם, ובלבד שמתקיימים כל אלה:</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793" w:type="dxa"/>
            <w:gridSpan w:val="4"/>
            <w:shd w:val="clear" w:color="auto" w:fill="auto"/>
          </w:tcPr>
          <w:p w:rsidR="00FB22DB" w:rsidRPr="00C8684B" w:rsidRDefault="00FB22DB" w:rsidP="00DD0B44">
            <w:pPr>
              <w:pStyle w:val="TableText"/>
              <w:rPr>
                <w:sz w:val="26"/>
              </w:rPr>
            </w:pPr>
          </w:p>
        </w:tc>
        <w:tc>
          <w:tcPr>
            <w:tcW w:w="5105" w:type="dxa"/>
            <w:gridSpan w:val="5"/>
            <w:shd w:val="clear" w:color="auto" w:fill="auto"/>
          </w:tcPr>
          <w:p w:rsidR="00FB22DB" w:rsidRPr="00C8684B" w:rsidRDefault="00FB22DB" w:rsidP="00BF3A25">
            <w:pPr>
              <w:pStyle w:val="TableBlock"/>
              <w:numPr>
                <w:ilvl w:val="0"/>
                <w:numId w:val="28"/>
              </w:numPr>
              <w:rPr>
                <w:sz w:val="26"/>
              </w:rPr>
            </w:pPr>
            <w:r w:rsidRPr="00C8684B">
              <w:rPr>
                <w:rFonts w:hint="cs"/>
                <w:sz w:val="26"/>
                <w:rtl/>
              </w:rPr>
              <w:t>המידע דרוש למדינה האחרת לצורך אכיפת דיני המס שלה</w:t>
            </w:r>
            <w:r w:rsidR="00BF3A25">
              <w:rPr>
                <w:rFonts w:hint="cs"/>
                <w:sz w:val="26"/>
                <w:rtl/>
              </w:rPr>
              <w:t>,</w:t>
            </w:r>
            <w:r w:rsidRPr="00C8684B">
              <w:rPr>
                <w:rFonts w:hint="cs"/>
                <w:sz w:val="26"/>
                <w:rtl/>
              </w:rPr>
              <w:t xml:space="preserve"> והוא אינו מידע ש</w:t>
            </w:r>
            <w:r w:rsidR="00BF3A25">
              <w:rPr>
                <w:rFonts w:hint="cs"/>
                <w:sz w:val="26"/>
                <w:rtl/>
              </w:rPr>
              <w:t xml:space="preserve">על פי הדין בישראל נאסר השימוש בו על ידי רשות המסים בישראל לצורך גביית מס; </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793" w:type="dxa"/>
            <w:gridSpan w:val="4"/>
            <w:shd w:val="clear" w:color="auto" w:fill="auto"/>
          </w:tcPr>
          <w:p w:rsidR="00FB22DB" w:rsidRPr="00C8684B" w:rsidRDefault="00FB22DB" w:rsidP="00DD0B44">
            <w:pPr>
              <w:pStyle w:val="TableText"/>
              <w:rPr>
                <w:sz w:val="26"/>
              </w:rPr>
            </w:pPr>
          </w:p>
        </w:tc>
        <w:tc>
          <w:tcPr>
            <w:tcW w:w="5105" w:type="dxa"/>
            <w:gridSpan w:val="5"/>
            <w:shd w:val="clear" w:color="auto" w:fill="auto"/>
          </w:tcPr>
          <w:p w:rsidR="00FB22DB" w:rsidRPr="00C8684B" w:rsidRDefault="00FB22DB" w:rsidP="00DD0B44">
            <w:pPr>
              <w:pStyle w:val="TableBlock"/>
              <w:numPr>
                <w:ilvl w:val="0"/>
                <w:numId w:val="28"/>
              </w:numPr>
              <w:rPr>
                <w:sz w:val="26"/>
                <w:rtl/>
              </w:rPr>
            </w:pPr>
            <w:r w:rsidRPr="00C8684B">
              <w:rPr>
                <w:rFonts w:hint="cs"/>
                <w:sz w:val="26"/>
                <w:rtl/>
              </w:rPr>
              <w:t>בהסכם הבין-לאומי נקבע כי המדינה האחרת מחויבת בשמירת סודיותו של המידע ובאבטחתו;</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p>
        </w:tc>
        <w:tc>
          <w:tcPr>
            <w:tcW w:w="200" w:type="dxa"/>
            <w:shd w:val="clear" w:color="auto" w:fill="auto"/>
          </w:tcPr>
          <w:p w:rsidR="00FB22DB" w:rsidRPr="00C8684B" w:rsidRDefault="00FB22DB" w:rsidP="00DD0B44">
            <w:pPr>
              <w:pStyle w:val="TableText"/>
              <w:rPr>
                <w:sz w:val="26"/>
              </w:rPr>
            </w:pPr>
          </w:p>
        </w:tc>
        <w:tc>
          <w:tcPr>
            <w:tcW w:w="793" w:type="dxa"/>
            <w:gridSpan w:val="4"/>
            <w:shd w:val="clear" w:color="auto" w:fill="auto"/>
          </w:tcPr>
          <w:p w:rsidR="00FB22DB" w:rsidRPr="00C8684B" w:rsidRDefault="00FB22DB" w:rsidP="00DD0B44">
            <w:pPr>
              <w:pStyle w:val="TableText"/>
              <w:rPr>
                <w:sz w:val="26"/>
              </w:rPr>
            </w:pPr>
          </w:p>
        </w:tc>
        <w:tc>
          <w:tcPr>
            <w:tcW w:w="5105" w:type="dxa"/>
            <w:gridSpan w:val="5"/>
            <w:shd w:val="clear" w:color="auto" w:fill="auto"/>
          </w:tcPr>
          <w:p w:rsidR="00FB22DB" w:rsidRPr="00C8684B" w:rsidRDefault="00FB22DB" w:rsidP="00DD0B44">
            <w:pPr>
              <w:pStyle w:val="TableBlock"/>
              <w:numPr>
                <w:ilvl w:val="0"/>
                <w:numId w:val="28"/>
              </w:numPr>
              <w:rPr>
                <w:sz w:val="26"/>
                <w:rtl/>
              </w:rPr>
            </w:pPr>
            <w:r w:rsidRPr="00C8684B">
              <w:rPr>
                <w:rFonts w:hint="cs"/>
                <w:sz w:val="26"/>
                <w:rtl/>
              </w:rPr>
              <w:t>העברת המידע הותנתה בכך שהמדינה האחרת תעשה שימוש במידע שיתקבל אך ורק לצורך אכיפת דיני המס שלה.</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tl/>
              </w:rPr>
            </w:pPr>
          </w:p>
        </w:tc>
        <w:tc>
          <w:tcPr>
            <w:tcW w:w="709" w:type="dxa"/>
            <w:gridSpan w:val="3"/>
            <w:shd w:val="clear" w:color="auto" w:fill="auto"/>
          </w:tcPr>
          <w:p w:rsidR="00FB22DB" w:rsidRPr="00C8684B" w:rsidRDefault="00FB22DB" w:rsidP="00DD0B44">
            <w:pPr>
              <w:pStyle w:val="TableBlock"/>
              <w:rPr>
                <w:sz w:val="26"/>
                <w:rtl/>
              </w:rPr>
            </w:pPr>
          </w:p>
        </w:tc>
        <w:tc>
          <w:tcPr>
            <w:tcW w:w="5389" w:type="dxa"/>
            <w:gridSpan w:val="7"/>
            <w:shd w:val="clear" w:color="auto" w:fill="auto"/>
          </w:tcPr>
          <w:p w:rsidR="00FB22DB" w:rsidRPr="00C8684B" w:rsidRDefault="00FB22DB" w:rsidP="00BF3A25">
            <w:pPr>
              <w:pStyle w:val="TableBlock"/>
              <w:numPr>
                <w:ilvl w:val="0"/>
                <w:numId w:val="27"/>
              </w:numPr>
              <w:tabs>
                <w:tab w:val="left" w:pos="624"/>
              </w:tabs>
              <w:rPr>
                <w:sz w:val="26"/>
                <w:rtl/>
              </w:rPr>
            </w:pPr>
            <w:r w:rsidRPr="00C8684B">
              <w:rPr>
                <w:rFonts w:hint="cs"/>
                <w:sz w:val="26"/>
                <w:rtl/>
              </w:rPr>
              <w:t>על אף הוראות סעיף קטן (א), לא יועבר מידע לרשות מס במדינה אחרת לפי הסכם בין-לאומי, אם העברת המידע עלולה לפגוע בביטחונה של מדינת ישראל, בשלום הציבור או בביטחונו, בחקירה תלויה ועומדת או בעניין חיוני אחר של מדינת ישראל, ורשאי המנהל לסרב לבקשה להעביר מידע למדינה אחרת לפי הסכם בין-לאומי, אם אותה מדינה נמנעה, בלא הצדק סביר, מהעברת מידע לישראל לפי ההסכם או שלא קיימה תנאי אחר בהסכם.</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tl/>
              </w:rPr>
            </w:pPr>
            <w:r w:rsidRPr="00C8684B">
              <w:rPr>
                <w:rFonts w:hint="cs"/>
                <w:sz w:val="26"/>
                <w:rtl/>
              </w:rPr>
              <w:t>איסוף מידע לצורך הסכם בין-</w:t>
            </w:r>
          </w:p>
          <w:p w:rsidR="00FB22DB" w:rsidRPr="00C8684B" w:rsidRDefault="00FB22DB" w:rsidP="00DD0B44">
            <w:pPr>
              <w:pStyle w:val="TableText"/>
              <w:rPr>
                <w:sz w:val="26"/>
              </w:rPr>
            </w:pPr>
            <w:r w:rsidRPr="00C8684B">
              <w:rPr>
                <w:rFonts w:hint="cs"/>
                <w:sz w:val="26"/>
                <w:rtl/>
              </w:rPr>
              <w:t>לאומי</w:t>
            </w:r>
          </w:p>
        </w:tc>
        <w:tc>
          <w:tcPr>
            <w:tcW w:w="709" w:type="dxa"/>
            <w:gridSpan w:val="3"/>
            <w:shd w:val="clear" w:color="auto" w:fill="auto"/>
          </w:tcPr>
          <w:p w:rsidR="00FB22DB" w:rsidRPr="00C8684B" w:rsidRDefault="00FB22DB" w:rsidP="00DD0B44">
            <w:pPr>
              <w:pStyle w:val="TableBlock"/>
              <w:jc w:val="left"/>
              <w:rPr>
                <w:sz w:val="26"/>
              </w:rPr>
            </w:pPr>
            <w:r w:rsidRPr="00C8684B">
              <w:rPr>
                <w:rFonts w:hint="cs"/>
                <w:sz w:val="26"/>
                <w:rtl/>
              </w:rPr>
              <w:t xml:space="preserve">   214ג.</w:t>
            </w:r>
          </w:p>
        </w:tc>
        <w:tc>
          <w:tcPr>
            <w:tcW w:w="5389" w:type="dxa"/>
            <w:gridSpan w:val="7"/>
            <w:shd w:val="clear" w:color="auto" w:fill="auto"/>
          </w:tcPr>
          <w:p w:rsidR="00FB22DB" w:rsidRPr="00C8684B" w:rsidRDefault="00FB22DB" w:rsidP="00DD0B44">
            <w:pPr>
              <w:pStyle w:val="TableBlock"/>
              <w:numPr>
                <w:ilvl w:val="0"/>
                <w:numId w:val="29"/>
              </w:numPr>
              <w:tabs>
                <w:tab w:val="left" w:pos="624"/>
              </w:tabs>
              <w:rPr>
                <w:sz w:val="26"/>
              </w:rPr>
            </w:pPr>
            <w:r w:rsidRPr="00C8684B">
              <w:rPr>
                <w:rFonts w:hint="cs"/>
                <w:sz w:val="26"/>
                <w:rtl/>
              </w:rPr>
              <w:t>מי שנתונות לו סמכויות לפי סעיפים 135 עד 140א, יהיו נתונו לו הסמכויות האמורות גם לצורך איסוף מידע לפי הסכם בין-לאומי, ובלבד שלא ייאסף מידע שלא ניתן להעבירו לפי סעיף 214ב.</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tl/>
              </w:rPr>
            </w:pPr>
          </w:p>
        </w:tc>
        <w:tc>
          <w:tcPr>
            <w:tcW w:w="709" w:type="dxa"/>
            <w:gridSpan w:val="3"/>
            <w:shd w:val="clear" w:color="auto" w:fill="auto"/>
          </w:tcPr>
          <w:p w:rsidR="00FB22DB" w:rsidRPr="00C8684B" w:rsidRDefault="00FB22DB" w:rsidP="00DD0B44">
            <w:pPr>
              <w:pStyle w:val="TableBlock"/>
              <w:jc w:val="left"/>
              <w:rPr>
                <w:sz w:val="26"/>
                <w:rtl/>
              </w:rPr>
            </w:pPr>
          </w:p>
        </w:tc>
        <w:tc>
          <w:tcPr>
            <w:tcW w:w="5389" w:type="dxa"/>
            <w:gridSpan w:val="7"/>
            <w:shd w:val="clear" w:color="auto" w:fill="auto"/>
          </w:tcPr>
          <w:p w:rsidR="00FB22DB" w:rsidRPr="00C8684B" w:rsidRDefault="00FB22DB" w:rsidP="008F05F0">
            <w:pPr>
              <w:pStyle w:val="TableBlock"/>
              <w:numPr>
                <w:ilvl w:val="0"/>
                <w:numId w:val="29"/>
              </w:numPr>
              <w:tabs>
                <w:tab w:val="left" w:pos="624"/>
              </w:tabs>
              <w:rPr>
                <w:sz w:val="26"/>
                <w:rtl/>
              </w:rPr>
            </w:pPr>
            <w:r w:rsidRPr="00C8684B">
              <w:rPr>
                <w:rFonts w:hint="cs"/>
                <w:sz w:val="26"/>
                <w:rtl/>
              </w:rPr>
              <w:t>הפעלת הסמכויות כאמור בסעיף קטן (א) תיעשה באופן שבו מופעלות אותן הסמכויות לצורך ביצוע הפקודה ובכפוף לתנאים להגבלות ולאיסורים החלים לעניין הפעלתן.</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rPr>
                <w:sz w:val="26"/>
              </w:rPr>
            </w:pPr>
          </w:p>
        </w:tc>
        <w:tc>
          <w:tcPr>
            <w:tcW w:w="624" w:type="dxa"/>
            <w:shd w:val="clear" w:color="auto" w:fill="auto"/>
          </w:tcPr>
          <w:p w:rsidR="00FB22DB" w:rsidRPr="00C8684B" w:rsidRDefault="00FB22DB" w:rsidP="00DD0B44">
            <w:pPr>
              <w:pStyle w:val="TableText"/>
              <w:rPr>
                <w:sz w:val="26"/>
              </w:rPr>
            </w:pPr>
          </w:p>
        </w:tc>
        <w:tc>
          <w:tcPr>
            <w:tcW w:w="1048" w:type="dxa"/>
            <w:shd w:val="clear" w:color="auto" w:fill="auto"/>
          </w:tcPr>
          <w:p w:rsidR="00FB22DB" w:rsidRPr="00C8684B" w:rsidRDefault="00FB22DB" w:rsidP="00DD0B44">
            <w:pPr>
              <w:pStyle w:val="TableText"/>
              <w:rPr>
                <w:sz w:val="26"/>
              </w:rPr>
            </w:pPr>
            <w:r w:rsidRPr="00C8684B">
              <w:rPr>
                <w:rFonts w:hint="cs"/>
                <w:sz w:val="26"/>
                <w:rtl/>
              </w:rPr>
              <w:t>פרסום ברשומות</w:t>
            </w:r>
          </w:p>
        </w:tc>
        <w:tc>
          <w:tcPr>
            <w:tcW w:w="709" w:type="dxa"/>
            <w:gridSpan w:val="3"/>
            <w:shd w:val="clear" w:color="auto" w:fill="auto"/>
          </w:tcPr>
          <w:p w:rsidR="00FB22DB" w:rsidRPr="00C8684B" w:rsidRDefault="00FB22DB" w:rsidP="00DD0B44">
            <w:pPr>
              <w:pStyle w:val="TableBlock"/>
              <w:rPr>
                <w:sz w:val="26"/>
              </w:rPr>
            </w:pPr>
            <w:r w:rsidRPr="00C8684B">
              <w:rPr>
                <w:rFonts w:hint="cs"/>
                <w:sz w:val="26"/>
                <w:rtl/>
              </w:rPr>
              <w:t>214ד.</w:t>
            </w:r>
          </w:p>
        </w:tc>
        <w:tc>
          <w:tcPr>
            <w:tcW w:w="5389" w:type="dxa"/>
            <w:gridSpan w:val="7"/>
            <w:shd w:val="clear" w:color="auto" w:fill="auto"/>
          </w:tcPr>
          <w:p w:rsidR="00FB22DB" w:rsidRPr="00C8684B" w:rsidRDefault="00FB22DB" w:rsidP="00DD0B44">
            <w:pPr>
              <w:pStyle w:val="TableBlock"/>
              <w:rPr>
                <w:sz w:val="26"/>
              </w:rPr>
            </w:pPr>
            <w:r w:rsidRPr="00C8684B">
              <w:rPr>
                <w:rFonts w:hint="cs"/>
                <w:sz w:val="26"/>
                <w:rtl/>
              </w:rPr>
              <w:t>נעשה הסכם לחילופי מידע יפרסם על כך שר האוצר הודעה ברשומות".</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keepLines w:val="0"/>
              <w:rPr>
                <w:sz w:val="26"/>
              </w:rPr>
            </w:pPr>
            <w:r w:rsidRPr="00C8684B">
              <w:rPr>
                <w:rFonts w:hint="cs"/>
                <w:sz w:val="26"/>
                <w:rtl/>
              </w:rPr>
              <w:t>הוספת סעיף 220ג</w:t>
            </w:r>
          </w:p>
        </w:tc>
        <w:tc>
          <w:tcPr>
            <w:tcW w:w="624" w:type="dxa"/>
            <w:shd w:val="clear" w:color="auto" w:fill="auto"/>
          </w:tcPr>
          <w:p w:rsidR="00FB22DB" w:rsidRPr="00C8684B" w:rsidRDefault="00FB22DB" w:rsidP="00DD0B44">
            <w:pPr>
              <w:pStyle w:val="TableText"/>
              <w:keepLines w:val="0"/>
              <w:numPr>
                <w:ilvl w:val="0"/>
                <w:numId w:val="1"/>
              </w:numPr>
              <w:rPr>
                <w:sz w:val="26"/>
              </w:rPr>
            </w:pPr>
            <w:r w:rsidRPr="00C8684B">
              <w:rPr>
                <w:rFonts w:hint="cs"/>
                <w:sz w:val="26"/>
                <w:rtl/>
              </w:rPr>
              <w:t>א</w:t>
            </w:r>
          </w:p>
        </w:tc>
        <w:tc>
          <w:tcPr>
            <w:tcW w:w="7146" w:type="dxa"/>
            <w:gridSpan w:val="11"/>
            <w:shd w:val="clear" w:color="auto" w:fill="auto"/>
          </w:tcPr>
          <w:p w:rsidR="00FB22DB" w:rsidRPr="00C8684B" w:rsidRDefault="00FB22DB" w:rsidP="00DD0B44">
            <w:pPr>
              <w:pStyle w:val="TableBlock"/>
              <w:keepLines w:val="0"/>
              <w:rPr>
                <w:sz w:val="26"/>
              </w:rPr>
            </w:pPr>
            <w:r w:rsidRPr="00C8684B">
              <w:rPr>
                <w:rFonts w:hint="cs"/>
                <w:sz w:val="26"/>
                <w:rtl/>
              </w:rPr>
              <w:t>אחרי סעיף 220ב יבוא:</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keepLines w:val="0"/>
              <w:rPr>
                <w:sz w:val="26"/>
                <w:rtl/>
              </w:rPr>
            </w:pPr>
          </w:p>
        </w:tc>
        <w:tc>
          <w:tcPr>
            <w:tcW w:w="624" w:type="dxa"/>
            <w:shd w:val="clear" w:color="auto" w:fill="auto"/>
          </w:tcPr>
          <w:p w:rsidR="00FB22DB" w:rsidRPr="00C8684B" w:rsidRDefault="00FB22DB" w:rsidP="00DD0B44">
            <w:pPr>
              <w:pStyle w:val="TableText"/>
              <w:rPr>
                <w:sz w:val="26"/>
                <w:rtl/>
              </w:rPr>
            </w:pPr>
          </w:p>
        </w:tc>
        <w:tc>
          <w:tcPr>
            <w:tcW w:w="1474" w:type="dxa"/>
            <w:gridSpan w:val="3"/>
            <w:shd w:val="clear" w:color="auto" w:fill="auto"/>
          </w:tcPr>
          <w:p w:rsidR="00FB22DB" w:rsidRPr="00C8684B" w:rsidRDefault="00FB22DB" w:rsidP="00DD0B44">
            <w:pPr>
              <w:pStyle w:val="TableBlock"/>
              <w:keepLines w:val="0"/>
              <w:jc w:val="left"/>
              <w:rPr>
                <w:sz w:val="26"/>
                <w:rtl/>
              </w:rPr>
            </w:pPr>
            <w:r w:rsidRPr="00C8684B">
              <w:rPr>
                <w:rFonts w:hint="cs"/>
                <w:sz w:val="26"/>
                <w:rtl/>
              </w:rPr>
              <w:t>"מרמה לענין חילופי מידע בהסכם בין-לאומי"</w:t>
            </w:r>
          </w:p>
        </w:tc>
        <w:tc>
          <w:tcPr>
            <w:tcW w:w="5672" w:type="dxa"/>
            <w:gridSpan w:val="8"/>
            <w:shd w:val="clear" w:color="auto" w:fill="auto"/>
          </w:tcPr>
          <w:p w:rsidR="00FB22DB" w:rsidRPr="00C8684B" w:rsidRDefault="00FB22DB" w:rsidP="00DD0B44">
            <w:pPr>
              <w:pStyle w:val="TableBlock"/>
              <w:keepLines w:val="0"/>
              <w:rPr>
                <w:sz w:val="26"/>
                <w:rtl/>
              </w:rPr>
            </w:pPr>
            <w:r w:rsidRPr="00C8684B">
              <w:rPr>
                <w:rFonts w:hint="cs"/>
                <w:sz w:val="26"/>
                <w:rtl/>
              </w:rPr>
              <w:t>220ג. העושה אחת מאלה במטרה להתחמק מקיום חילופי מידע לשם אכיפת דיני המס של מדינה אחרת לפי הסכם בין-לאומי, או במטרה לעזור לאדם אחר להתחמק מקיום חילופי מידע כאמור, דינו מאסר 7 שנים או קנס כאמור בסעיף 61(א)(4) לחוק העונשין או שני העונשים כאחד:</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keepLines w:val="0"/>
              <w:rPr>
                <w:sz w:val="26"/>
                <w:rtl/>
              </w:rPr>
            </w:pPr>
          </w:p>
        </w:tc>
        <w:tc>
          <w:tcPr>
            <w:tcW w:w="624" w:type="dxa"/>
            <w:shd w:val="clear" w:color="auto" w:fill="auto"/>
          </w:tcPr>
          <w:p w:rsidR="00FB22DB" w:rsidRPr="00C8684B" w:rsidRDefault="00FB22DB" w:rsidP="00DD0B44">
            <w:pPr>
              <w:pStyle w:val="TableText"/>
              <w:rPr>
                <w:sz w:val="26"/>
                <w:rtl/>
              </w:rPr>
            </w:pPr>
          </w:p>
        </w:tc>
        <w:tc>
          <w:tcPr>
            <w:tcW w:w="1474" w:type="dxa"/>
            <w:gridSpan w:val="3"/>
            <w:shd w:val="clear" w:color="auto" w:fill="auto"/>
          </w:tcPr>
          <w:p w:rsidR="00FB22DB" w:rsidRPr="00C8684B" w:rsidRDefault="00FB22DB" w:rsidP="00DD0B44">
            <w:pPr>
              <w:pStyle w:val="TableBlock"/>
              <w:keepLines w:val="0"/>
              <w:jc w:val="left"/>
              <w:rPr>
                <w:sz w:val="26"/>
                <w:rtl/>
              </w:rPr>
            </w:pPr>
          </w:p>
        </w:tc>
        <w:tc>
          <w:tcPr>
            <w:tcW w:w="5672" w:type="dxa"/>
            <w:gridSpan w:val="8"/>
            <w:shd w:val="clear" w:color="auto" w:fill="auto"/>
          </w:tcPr>
          <w:p w:rsidR="00FB22DB" w:rsidRPr="00C8684B" w:rsidRDefault="00FB22DB" w:rsidP="00DD0B44">
            <w:pPr>
              <w:pStyle w:val="TableBlock"/>
              <w:numPr>
                <w:ilvl w:val="0"/>
                <w:numId w:val="34"/>
              </w:numPr>
              <w:tabs>
                <w:tab w:val="left" w:pos="624"/>
              </w:tabs>
              <w:rPr>
                <w:sz w:val="26"/>
                <w:rtl/>
              </w:rPr>
            </w:pPr>
            <w:r w:rsidRPr="00C8684B">
              <w:rPr>
                <w:rFonts w:hint="cs"/>
                <w:sz w:val="26"/>
                <w:rtl/>
              </w:rPr>
              <w:t>לא זיהה פרטים של בעל חשבון במוסד פיננסי ישראלי החייב בדיווח בהתאם להוראות שנקבעו בתקנות לפי סעיף 135ב;</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keepLines w:val="0"/>
              <w:rPr>
                <w:sz w:val="26"/>
                <w:rtl/>
              </w:rPr>
            </w:pPr>
          </w:p>
        </w:tc>
        <w:tc>
          <w:tcPr>
            <w:tcW w:w="624" w:type="dxa"/>
            <w:shd w:val="clear" w:color="auto" w:fill="auto"/>
          </w:tcPr>
          <w:p w:rsidR="00FB22DB" w:rsidRPr="00C8684B" w:rsidRDefault="00FB22DB" w:rsidP="00DD0B44">
            <w:pPr>
              <w:pStyle w:val="TableText"/>
              <w:rPr>
                <w:sz w:val="26"/>
                <w:rtl/>
              </w:rPr>
            </w:pPr>
          </w:p>
        </w:tc>
        <w:tc>
          <w:tcPr>
            <w:tcW w:w="1474" w:type="dxa"/>
            <w:gridSpan w:val="3"/>
            <w:shd w:val="clear" w:color="auto" w:fill="auto"/>
          </w:tcPr>
          <w:p w:rsidR="00FB22DB" w:rsidRPr="00C8684B" w:rsidRDefault="00FB22DB" w:rsidP="00DD0B44">
            <w:pPr>
              <w:pStyle w:val="TableBlock"/>
              <w:keepLines w:val="0"/>
              <w:jc w:val="left"/>
              <w:rPr>
                <w:sz w:val="26"/>
                <w:rtl/>
              </w:rPr>
            </w:pPr>
          </w:p>
        </w:tc>
        <w:tc>
          <w:tcPr>
            <w:tcW w:w="5672" w:type="dxa"/>
            <w:gridSpan w:val="8"/>
            <w:shd w:val="clear" w:color="auto" w:fill="auto"/>
          </w:tcPr>
          <w:p w:rsidR="00FB22DB" w:rsidRPr="00C8684B" w:rsidRDefault="00FB22DB" w:rsidP="00DD0B44">
            <w:pPr>
              <w:pStyle w:val="TableBlock"/>
              <w:numPr>
                <w:ilvl w:val="0"/>
                <w:numId w:val="34"/>
              </w:numPr>
              <w:tabs>
                <w:tab w:val="left" w:pos="624"/>
              </w:tabs>
              <w:rPr>
                <w:sz w:val="26"/>
                <w:rtl/>
              </w:rPr>
            </w:pPr>
            <w:r w:rsidRPr="00C8684B">
              <w:rPr>
                <w:rFonts w:hint="cs"/>
                <w:sz w:val="26"/>
                <w:rtl/>
              </w:rPr>
              <w:t>השמיט מתוך דו"ח שנערך על פי הפקודה כל מידע שיש לכלול בדו"ח;</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keepLines w:val="0"/>
              <w:rPr>
                <w:sz w:val="26"/>
                <w:rtl/>
              </w:rPr>
            </w:pPr>
          </w:p>
        </w:tc>
        <w:tc>
          <w:tcPr>
            <w:tcW w:w="624" w:type="dxa"/>
            <w:shd w:val="clear" w:color="auto" w:fill="auto"/>
          </w:tcPr>
          <w:p w:rsidR="00FB22DB" w:rsidRPr="00C8684B" w:rsidRDefault="00FB22DB" w:rsidP="00DD0B44">
            <w:pPr>
              <w:pStyle w:val="TableText"/>
              <w:rPr>
                <w:sz w:val="26"/>
                <w:rtl/>
              </w:rPr>
            </w:pPr>
          </w:p>
        </w:tc>
        <w:tc>
          <w:tcPr>
            <w:tcW w:w="1474" w:type="dxa"/>
            <w:gridSpan w:val="3"/>
            <w:shd w:val="clear" w:color="auto" w:fill="auto"/>
          </w:tcPr>
          <w:p w:rsidR="00FB22DB" w:rsidRPr="00C8684B" w:rsidRDefault="00FB22DB" w:rsidP="00DD0B44">
            <w:pPr>
              <w:pStyle w:val="TableBlock"/>
              <w:keepLines w:val="0"/>
              <w:jc w:val="left"/>
              <w:rPr>
                <w:sz w:val="26"/>
                <w:rtl/>
              </w:rPr>
            </w:pPr>
          </w:p>
        </w:tc>
        <w:tc>
          <w:tcPr>
            <w:tcW w:w="5672" w:type="dxa"/>
            <w:gridSpan w:val="8"/>
            <w:shd w:val="clear" w:color="auto" w:fill="auto"/>
          </w:tcPr>
          <w:p w:rsidR="00FB22DB" w:rsidRPr="00C8684B" w:rsidRDefault="00FB22DB" w:rsidP="00DD0B44">
            <w:pPr>
              <w:pStyle w:val="TableBlock"/>
              <w:numPr>
                <w:ilvl w:val="0"/>
                <w:numId w:val="34"/>
              </w:numPr>
              <w:tabs>
                <w:tab w:val="left" w:pos="624"/>
              </w:tabs>
              <w:rPr>
                <w:sz w:val="26"/>
                <w:rtl/>
              </w:rPr>
            </w:pPr>
            <w:r w:rsidRPr="00C8684B">
              <w:rPr>
                <w:rFonts w:hint="cs"/>
                <w:sz w:val="26"/>
                <w:rtl/>
              </w:rPr>
              <w:t>הציג מסמך כוזב למנהל;</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keepLines w:val="0"/>
              <w:rPr>
                <w:sz w:val="26"/>
                <w:rtl/>
              </w:rPr>
            </w:pPr>
          </w:p>
        </w:tc>
        <w:tc>
          <w:tcPr>
            <w:tcW w:w="624" w:type="dxa"/>
            <w:shd w:val="clear" w:color="auto" w:fill="auto"/>
          </w:tcPr>
          <w:p w:rsidR="00FB22DB" w:rsidRPr="00C8684B" w:rsidRDefault="00FB22DB" w:rsidP="00DD0B44">
            <w:pPr>
              <w:pStyle w:val="TableText"/>
              <w:rPr>
                <w:sz w:val="26"/>
                <w:rtl/>
              </w:rPr>
            </w:pPr>
          </w:p>
        </w:tc>
        <w:tc>
          <w:tcPr>
            <w:tcW w:w="1474" w:type="dxa"/>
            <w:gridSpan w:val="3"/>
            <w:shd w:val="clear" w:color="auto" w:fill="auto"/>
          </w:tcPr>
          <w:p w:rsidR="00FB22DB" w:rsidRPr="00C8684B" w:rsidRDefault="00FB22DB" w:rsidP="00DD0B44">
            <w:pPr>
              <w:pStyle w:val="TableBlock"/>
              <w:keepLines w:val="0"/>
              <w:jc w:val="left"/>
              <w:rPr>
                <w:sz w:val="26"/>
                <w:rtl/>
              </w:rPr>
            </w:pPr>
          </w:p>
        </w:tc>
        <w:tc>
          <w:tcPr>
            <w:tcW w:w="5672" w:type="dxa"/>
            <w:gridSpan w:val="8"/>
            <w:shd w:val="clear" w:color="auto" w:fill="auto"/>
          </w:tcPr>
          <w:p w:rsidR="00FB22DB" w:rsidRPr="00C8684B" w:rsidRDefault="00FB22DB" w:rsidP="00DD0B44">
            <w:pPr>
              <w:pStyle w:val="TableBlock"/>
              <w:numPr>
                <w:ilvl w:val="0"/>
                <w:numId w:val="34"/>
              </w:numPr>
              <w:tabs>
                <w:tab w:val="left" w:pos="624"/>
              </w:tabs>
              <w:rPr>
                <w:sz w:val="26"/>
                <w:rtl/>
              </w:rPr>
            </w:pPr>
            <w:r w:rsidRPr="00C8684B">
              <w:rPr>
                <w:rFonts w:hint="cs"/>
                <w:sz w:val="26"/>
                <w:rtl/>
              </w:rPr>
              <w:t>מסר בדו"ח על פי הפקודה אמרה או תרשומת כוזבת;</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keepLines w:val="0"/>
              <w:rPr>
                <w:sz w:val="26"/>
                <w:rtl/>
              </w:rPr>
            </w:pPr>
          </w:p>
        </w:tc>
        <w:tc>
          <w:tcPr>
            <w:tcW w:w="624" w:type="dxa"/>
            <w:shd w:val="clear" w:color="auto" w:fill="auto"/>
          </w:tcPr>
          <w:p w:rsidR="00FB22DB" w:rsidRPr="00C8684B" w:rsidRDefault="00FB22DB" w:rsidP="00DD0B44">
            <w:pPr>
              <w:pStyle w:val="TableText"/>
              <w:rPr>
                <w:sz w:val="26"/>
                <w:rtl/>
              </w:rPr>
            </w:pPr>
          </w:p>
        </w:tc>
        <w:tc>
          <w:tcPr>
            <w:tcW w:w="1474" w:type="dxa"/>
            <w:gridSpan w:val="3"/>
            <w:shd w:val="clear" w:color="auto" w:fill="auto"/>
          </w:tcPr>
          <w:p w:rsidR="00FB22DB" w:rsidRPr="00C8684B" w:rsidRDefault="00FB22DB" w:rsidP="00DD0B44">
            <w:pPr>
              <w:pStyle w:val="TableBlock"/>
              <w:keepLines w:val="0"/>
              <w:jc w:val="left"/>
              <w:rPr>
                <w:sz w:val="26"/>
                <w:rtl/>
              </w:rPr>
            </w:pPr>
          </w:p>
        </w:tc>
        <w:tc>
          <w:tcPr>
            <w:tcW w:w="5672" w:type="dxa"/>
            <w:gridSpan w:val="8"/>
            <w:shd w:val="clear" w:color="auto" w:fill="auto"/>
          </w:tcPr>
          <w:p w:rsidR="00FB22DB" w:rsidRPr="00C8684B" w:rsidRDefault="00FB22DB" w:rsidP="00DD0B44">
            <w:pPr>
              <w:pStyle w:val="TableBlock"/>
              <w:numPr>
                <w:ilvl w:val="0"/>
                <w:numId w:val="34"/>
              </w:numPr>
              <w:tabs>
                <w:tab w:val="left" w:pos="624"/>
              </w:tabs>
              <w:rPr>
                <w:sz w:val="26"/>
                <w:rtl/>
              </w:rPr>
            </w:pPr>
            <w:r w:rsidRPr="00C8684B">
              <w:rPr>
                <w:rFonts w:hint="cs"/>
                <w:sz w:val="26"/>
                <w:rtl/>
              </w:rPr>
              <w:t>השיב תשובה כוזבת, בעל פה או בכתב, על שאלה שנשאלה, או על דרישת ידיעות שנערכה עליו על פי הפקודה;</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keepLines w:val="0"/>
              <w:rPr>
                <w:sz w:val="26"/>
                <w:rtl/>
              </w:rPr>
            </w:pPr>
          </w:p>
        </w:tc>
        <w:tc>
          <w:tcPr>
            <w:tcW w:w="624" w:type="dxa"/>
            <w:shd w:val="clear" w:color="auto" w:fill="auto"/>
          </w:tcPr>
          <w:p w:rsidR="00FB22DB" w:rsidRPr="00C8684B" w:rsidRDefault="00FB22DB" w:rsidP="00DD0B44">
            <w:pPr>
              <w:pStyle w:val="TableText"/>
              <w:rPr>
                <w:sz w:val="26"/>
                <w:rtl/>
              </w:rPr>
            </w:pPr>
          </w:p>
        </w:tc>
        <w:tc>
          <w:tcPr>
            <w:tcW w:w="1474" w:type="dxa"/>
            <w:gridSpan w:val="3"/>
            <w:shd w:val="clear" w:color="auto" w:fill="auto"/>
          </w:tcPr>
          <w:p w:rsidR="00FB22DB" w:rsidRPr="00C8684B" w:rsidRDefault="00FB22DB" w:rsidP="00DD0B44">
            <w:pPr>
              <w:pStyle w:val="TableBlock"/>
              <w:keepLines w:val="0"/>
              <w:jc w:val="left"/>
              <w:rPr>
                <w:sz w:val="26"/>
                <w:rtl/>
              </w:rPr>
            </w:pPr>
          </w:p>
        </w:tc>
        <w:tc>
          <w:tcPr>
            <w:tcW w:w="5672" w:type="dxa"/>
            <w:gridSpan w:val="8"/>
            <w:shd w:val="clear" w:color="auto" w:fill="auto"/>
          </w:tcPr>
          <w:p w:rsidR="00FB22DB" w:rsidRPr="00C8684B" w:rsidRDefault="00FB22DB" w:rsidP="00DD0B44">
            <w:pPr>
              <w:pStyle w:val="TableBlock"/>
              <w:numPr>
                <w:ilvl w:val="0"/>
                <w:numId w:val="34"/>
              </w:numPr>
              <w:tabs>
                <w:tab w:val="left" w:pos="624"/>
              </w:tabs>
              <w:rPr>
                <w:sz w:val="26"/>
                <w:rtl/>
              </w:rPr>
            </w:pPr>
            <w:r w:rsidRPr="00C8684B">
              <w:rPr>
                <w:rFonts w:hint="cs"/>
                <w:sz w:val="26"/>
                <w:rtl/>
              </w:rPr>
              <w:t xml:space="preserve">פעל במרמה </w:t>
            </w:r>
            <w:r w:rsidRPr="00C8684B">
              <w:rPr>
                <w:sz w:val="26"/>
                <w:rtl/>
              </w:rPr>
              <w:t>–</w:t>
            </w:r>
            <w:r w:rsidRPr="00C8684B">
              <w:rPr>
                <w:rFonts w:hint="cs"/>
                <w:sz w:val="26"/>
                <w:rtl/>
              </w:rPr>
              <w:t xml:space="preserve"> עורמה או תחבולה, או הרשה להשתמש בהן;</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keepLines w:val="0"/>
              <w:rPr>
                <w:sz w:val="26"/>
                <w:rtl/>
              </w:rPr>
            </w:pPr>
          </w:p>
        </w:tc>
        <w:tc>
          <w:tcPr>
            <w:tcW w:w="624" w:type="dxa"/>
            <w:shd w:val="clear" w:color="auto" w:fill="auto"/>
          </w:tcPr>
          <w:p w:rsidR="00FB22DB" w:rsidRPr="00C8684B" w:rsidRDefault="00FB22DB" w:rsidP="00DD0B44">
            <w:pPr>
              <w:pStyle w:val="TableText"/>
              <w:rPr>
                <w:sz w:val="26"/>
                <w:rtl/>
              </w:rPr>
            </w:pPr>
          </w:p>
        </w:tc>
        <w:tc>
          <w:tcPr>
            <w:tcW w:w="1474" w:type="dxa"/>
            <w:gridSpan w:val="3"/>
            <w:shd w:val="clear" w:color="auto" w:fill="auto"/>
          </w:tcPr>
          <w:p w:rsidR="00FB22DB" w:rsidRPr="00C8684B" w:rsidRDefault="00FB22DB" w:rsidP="00DD0B44">
            <w:pPr>
              <w:pStyle w:val="TableBlock"/>
              <w:keepLines w:val="0"/>
              <w:jc w:val="left"/>
              <w:rPr>
                <w:sz w:val="26"/>
                <w:rtl/>
              </w:rPr>
            </w:pPr>
          </w:p>
        </w:tc>
        <w:tc>
          <w:tcPr>
            <w:tcW w:w="5672" w:type="dxa"/>
            <w:gridSpan w:val="8"/>
            <w:shd w:val="clear" w:color="auto" w:fill="auto"/>
          </w:tcPr>
          <w:p w:rsidR="00FB22DB" w:rsidRPr="00C8684B" w:rsidRDefault="00FB22DB" w:rsidP="00DD0B44">
            <w:pPr>
              <w:pStyle w:val="TableBlock"/>
              <w:tabs>
                <w:tab w:val="clear" w:pos="624"/>
              </w:tabs>
              <w:rPr>
                <w:sz w:val="26"/>
                <w:rtl/>
              </w:rPr>
            </w:pPr>
            <w:r w:rsidRPr="00C8684B">
              <w:rPr>
                <w:rFonts w:hint="cs"/>
                <w:sz w:val="26"/>
                <w:rtl/>
              </w:rPr>
              <w:t>לענין זה -</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keepLines w:val="0"/>
              <w:rPr>
                <w:sz w:val="26"/>
                <w:rtl/>
              </w:rPr>
            </w:pPr>
          </w:p>
        </w:tc>
        <w:tc>
          <w:tcPr>
            <w:tcW w:w="624" w:type="dxa"/>
            <w:shd w:val="clear" w:color="auto" w:fill="auto"/>
          </w:tcPr>
          <w:p w:rsidR="00FB22DB" w:rsidRPr="00C8684B" w:rsidRDefault="00FB22DB" w:rsidP="00DD0B44">
            <w:pPr>
              <w:pStyle w:val="TableText"/>
              <w:rPr>
                <w:sz w:val="26"/>
                <w:rtl/>
              </w:rPr>
            </w:pPr>
          </w:p>
        </w:tc>
        <w:tc>
          <w:tcPr>
            <w:tcW w:w="1474" w:type="dxa"/>
            <w:gridSpan w:val="3"/>
            <w:shd w:val="clear" w:color="auto" w:fill="auto"/>
          </w:tcPr>
          <w:p w:rsidR="00FB22DB" w:rsidRPr="00C8684B" w:rsidRDefault="00FB22DB" w:rsidP="00DD0B44">
            <w:pPr>
              <w:pStyle w:val="TableBlock"/>
              <w:keepLines w:val="0"/>
              <w:jc w:val="left"/>
              <w:rPr>
                <w:sz w:val="26"/>
                <w:rtl/>
              </w:rPr>
            </w:pPr>
          </w:p>
        </w:tc>
        <w:tc>
          <w:tcPr>
            <w:tcW w:w="5672" w:type="dxa"/>
            <w:gridSpan w:val="8"/>
            <w:shd w:val="clear" w:color="auto" w:fill="auto"/>
          </w:tcPr>
          <w:p w:rsidR="00FB22DB" w:rsidRPr="00C8684B" w:rsidRDefault="00FB22DB" w:rsidP="00DD0B44">
            <w:pPr>
              <w:pStyle w:val="TableBlock"/>
              <w:tabs>
                <w:tab w:val="clear" w:pos="624"/>
              </w:tabs>
              <w:rPr>
                <w:sz w:val="26"/>
                <w:rtl/>
              </w:rPr>
            </w:pPr>
            <w:r w:rsidRPr="00C8684B">
              <w:rPr>
                <w:rFonts w:hint="cs"/>
                <w:sz w:val="26"/>
                <w:rtl/>
              </w:rPr>
              <w:t xml:space="preserve">"הסכם בין לאומי" </w:t>
            </w:r>
            <w:r w:rsidRPr="00C8684B">
              <w:rPr>
                <w:sz w:val="26"/>
                <w:rtl/>
              </w:rPr>
              <w:t>–</w:t>
            </w:r>
            <w:r w:rsidRPr="00C8684B">
              <w:rPr>
                <w:rFonts w:hint="cs"/>
                <w:sz w:val="26"/>
                <w:rtl/>
              </w:rPr>
              <w:t xml:space="preserve"> כהגדרתו בסעיף 214א."</w:t>
            </w:r>
          </w:p>
        </w:tc>
      </w:tr>
      <w:tr w:rsidR="007237A7" w:rsidRPr="00C8684B" w:rsidTr="00C118D0">
        <w:trPr>
          <w:cantSplit/>
          <w:trHeight w:val="60"/>
        </w:trPr>
        <w:tc>
          <w:tcPr>
            <w:tcW w:w="1871" w:type="dxa"/>
            <w:shd w:val="clear" w:color="auto" w:fill="auto"/>
          </w:tcPr>
          <w:p w:rsidR="007237A7" w:rsidRPr="00C8684B" w:rsidRDefault="007237A7" w:rsidP="00DD0B44">
            <w:pPr>
              <w:pStyle w:val="TableSideHeading"/>
              <w:keepLines w:val="0"/>
              <w:rPr>
                <w:sz w:val="26"/>
                <w:rtl/>
              </w:rPr>
            </w:pPr>
            <w:r>
              <w:rPr>
                <w:rFonts w:hint="cs"/>
                <w:sz w:val="26"/>
                <w:rtl/>
              </w:rPr>
              <w:t>הוספת תוספת שלישית</w:t>
            </w:r>
          </w:p>
        </w:tc>
        <w:tc>
          <w:tcPr>
            <w:tcW w:w="624" w:type="dxa"/>
            <w:shd w:val="clear" w:color="auto" w:fill="auto"/>
          </w:tcPr>
          <w:p w:rsidR="007237A7" w:rsidRPr="00C8684B" w:rsidRDefault="007237A7" w:rsidP="007237A7">
            <w:pPr>
              <w:pStyle w:val="TableText"/>
              <w:keepLines w:val="0"/>
              <w:numPr>
                <w:ilvl w:val="0"/>
                <w:numId w:val="1"/>
              </w:numPr>
              <w:rPr>
                <w:rtl/>
              </w:rPr>
            </w:pPr>
          </w:p>
        </w:tc>
        <w:tc>
          <w:tcPr>
            <w:tcW w:w="1474" w:type="dxa"/>
            <w:gridSpan w:val="3"/>
            <w:shd w:val="clear" w:color="auto" w:fill="auto"/>
          </w:tcPr>
          <w:p w:rsidR="007237A7" w:rsidRPr="00C8684B" w:rsidRDefault="007237A7" w:rsidP="00DD0B44">
            <w:pPr>
              <w:pStyle w:val="TableBlock"/>
              <w:keepLines w:val="0"/>
              <w:jc w:val="left"/>
              <w:rPr>
                <w:sz w:val="26"/>
                <w:rtl/>
              </w:rPr>
            </w:pPr>
          </w:p>
        </w:tc>
        <w:tc>
          <w:tcPr>
            <w:tcW w:w="5672" w:type="dxa"/>
            <w:gridSpan w:val="8"/>
            <w:shd w:val="clear" w:color="auto" w:fill="auto"/>
          </w:tcPr>
          <w:p w:rsidR="007237A7" w:rsidRPr="00C8684B" w:rsidRDefault="007237A7" w:rsidP="00DD0B44">
            <w:pPr>
              <w:pStyle w:val="TableBlock"/>
              <w:tabs>
                <w:tab w:val="clear" w:pos="624"/>
              </w:tabs>
              <w:rPr>
                <w:sz w:val="26"/>
                <w:rtl/>
              </w:rPr>
            </w:pPr>
            <w:r>
              <w:rPr>
                <w:rFonts w:hint="cs"/>
                <w:sz w:val="26"/>
                <w:rtl/>
              </w:rPr>
              <w:t>אחרי התוספת השניה יבוא:</w:t>
            </w:r>
          </w:p>
        </w:tc>
      </w:tr>
      <w:tr w:rsidR="007237A7" w:rsidRPr="00C8684B" w:rsidTr="00C118D0">
        <w:trPr>
          <w:cantSplit/>
          <w:trHeight w:val="60"/>
        </w:trPr>
        <w:tc>
          <w:tcPr>
            <w:tcW w:w="1871" w:type="dxa"/>
            <w:shd w:val="clear" w:color="auto" w:fill="auto"/>
          </w:tcPr>
          <w:p w:rsidR="007237A7" w:rsidRDefault="007237A7" w:rsidP="00DD0B44">
            <w:pPr>
              <w:pStyle w:val="TableSideHeading"/>
              <w:keepLines w:val="0"/>
              <w:rPr>
                <w:sz w:val="26"/>
                <w:rtl/>
              </w:rPr>
            </w:pPr>
          </w:p>
        </w:tc>
        <w:tc>
          <w:tcPr>
            <w:tcW w:w="624" w:type="dxa"/>
            <w:shd w:val="clear" w:color="auto" w:fill="auto"/>
          </w:tcPr>
          <w:p w:rsidR="007237A7" w:rsidRPr="00C8684B" w:rsidRDefault="007237A7" w:rsidP="007237A7">
            <w:pPr>
              <w:pStyle w:val="TableText"/>
              <w:rPr>
                <w:rtl/>
              </w:rPr>
            </w:pPr>
          </w:p>
        </w:tc>
        <w:tc>
          <w:tcPr>
            <w:tcW w:w="1474" w:type="dxa"/>
            <w:gridSpan w:val="3"/>
            <w:shd w:val="clear" w:color="auto" w:fill="auto"/>
          </w:tcPr>
          <w:p w:rsidR="007237A7" w:rsidRPr="00C8684B" w:rsidRDefault="007237A7" w:rsidP="00DD0B44">
            <w:pPr>
              <w:pStyle w:val="TableBlock"/>
              <w:keepLines w:val="0"/>
              <w:jc w:val="left"/>
              <w:rPr>
                <w:sz w:val="26"/>
                <w:rtl/>
              </w:rPr>
            </w:pPr>
          </w:p>
        </w:tc>
        <w:tc>
          <w:tcPr>
            <w:tcW w:w="5672" w:type="dxa"/>
            <w:gridSpan w:val="8"/>
            <w:shd w:val="clear" w:color="auto" w:fill="auto"/>
          </w:tcPr>
          <w:p w:rsidR="007237A7" w:rsidRDefault="007237A7" w:rsidP="00DD0B44">
            <w:pPr>
              <w:pStyle w:val="TableBlock"/>
              <w:tabs>
                <w:tab w:val="clear" w:pos="624"/>
              </w:tabs>
              <w:rPr>
                <w:sz w:val="26"/>
                <w:rtl/>
              </w:rPr>
            </w:pPr>
            <w:r>
              <w:rPr>
                <w:rFonts w:hint="cs"/>
                <w:sz w:val="26"/>
                <w:rtl/>
              </w:rPr>
              <w:t>"התוספת השלישית</w:t>
            </w:r>
          </w:p>
          <w:p w:rsidR="007237A7" w:rsidRDefault="007237A7" w:rsidP="00DD0B44">
            <w:pPr>
              <w:pStyle w:val="TableBlock"/>
              <w:tabs>
                <w:tab w:val="clear" w:pos="624"/>
              </w:tabs>
              <w:rPr>
                <w:sz w:val="26"/>
                <w:rtl/>
              </w:rPr>
            </w:pPr>
            <w:r>
              <w:rPr>
                <w:rFonts w:hint="cs"/>
                <w:sz w:val="26"/>
                <w:rtl/>
              </w:rPr>
              <w:t>(סעיף 135ב(א))</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keepLines w:val="0"/>
              <w:rPr>
                <w:sz w:val="26"/>
              </w:rPr>
            </w:pPr>
            <w:r w:rsidRPr="00C8684B">
              <w:rPr>
                <w:rFonts w:hint="cs"/>
                <w:sz w:val="26"/>
                <w:rtl/>
              </w:rPr>
              <w:t>תיקון חוק איסור הלבנת הון</w:t>
            </w:r>
          </w:p>
        </w:tc>
        <w:tc>
          <w:tcPr>
            <w:tcW w:w="624" w:type="dxa"/>
            <w:shd w:val="clear" w:color="auto" w:fill="auto"/>
          </w:tcPr>
          <w:p w:rsidR="00FB22DB" w:rsidRPr="00C8684B" w:rsidRDefault="00FB22DB" w:rsidP="00BF7221">
            <w:pPr>
              <w:pStyle w:val="TableText"/>
              <w:keepLines w:val="0"/>
              <w:numPr>
                <w:ilvl w:val="0"/>
                <w:numId w:val="1"/>
              </w:numPr>
              <w:rPr>
                <w:sz w:val="26"/>
              </w:rPr>
            </w:pPr>
            <w:r w:rsidRPr="00C8684B">
              <w:rPr>
                <w:rFonts w:hint="cs"/>
                <w:sz w:val="26"/>
                <w:rtl/>
              </w:rPr>
              <w:t>1</w:t>
            </w:r>
          </w:p>
        </w:tc>
        <w:tc>
          <w:tcPr>
            <w:tcW w:w="7146" w:type="dxa"/>
            <w:gridSpan w:val="11"/>
            <w:shd w:val="clear" w:color="auto" w:fill="auto"/>
          </w:tcPr>
          <w:p w:rsidR="00FB22DB" w:rsidRPr="00C8684B" w:rsidRDefault="00FB22DB" w:rsidP="00DD0B44">
            <w:pPr>
              <w:pStyle w:val="TableBlock"/>
              <w:keepLines w:val="0"/>
              <w:rPr>
                <w:sz w:val="26"/>
              </w:rPr>
            </w:pPr>
            <w:r w:rsidRPr="00C8684B">
              <w:rPr>
                <w:rFonts w:hint="cs"/>
                <w:sz w:val="26"/>
                <w:rtl/>
              </w:rPr>
              <w:t>בסעיף 31א לחוק איסור הלבנת הון, התש"ס-2000</w:t>
            </w:r>
            <w:r w:rsidRPr="00C8684B">
              <w:rPr>
                <w:rStyle w:val="a6"/>
                <w:sz w:val="26"/>
                <w:rtl/>
              </w:rPr>
              <w:footnoteReference w:id="8"/>
            </w:r>
            <w:r w:rsidRPr="00C8684B">
              <w:rPr>
                <w:rFonts w:hint="cs"/>
                <w:sz w:val="26"/>
                <w:rtl/>
              </w:rPr>
              <w:t>, אחרי סעיף קטן (ב) יבוא:</w:t>
            </w:r>
          </w:p>
        </w:tc>
      </w:tr>
      <w:tr w:rsidR="00FB22DB" w:rsidRPr="00C8684B" w:rsidTr="00C118D0">
        <w:trPr>
          <w:cantSplit/>
          <w:trHeight w:val="60"/>
        </w:trPr>
        <w:tc>
          <w:tcPr>
            <w:tcW w:w="1871" w:type="dxa"/>
            <w:shd w:val="clear" w:color="auto" w:fill="auto"/>
          </w:tcPr>
          <w:p w:rsidR="00FB22DB" w:rsidRPr="00C8684B" w:rsidRDefault="00FB22DB" w:rsidP="00DD0B44">
            <w:pPr>
              <w:pStyle w:val="TableSideHeading"/>
              <w:keepLines w:val="0"/>
              <w:rPr>
                <w:sz w:val="26"/>
                <w:rtl/>
              </w:rPr>
            </w:pPr>
          </w:p>
        </w:tc>
        <w:tc>
          <w:tcPr>
            <w:tcW w:w="624" w:type="dxa"/>
            <w:shd w:val="clear" w:color="auto" w:fill="auto"/>
          </w:tcPr>
          <w:p w:rsidR="00FB22DB" w:rsidRPr="00C8684B" w:rsidRDefault="00FB22DB" w:rsidP="00DD0B44">
            <w:pPr>
              <w:pStyle w:val="TableText"/>
              <w:rPr>
                <w:sz w:val="26"/>
              </w:rPr>
            </w:pPr>
          </w:p>
        </w:tc>
        <w:tc>
          <w:tcPr>
            <w:tcW w:w="7146" w:type="dxa"/>
            <w:gridSpan w:val="11"/>
            <w:shd w:val="clear" w:color="auto" w:fill="auto"/>
          </w:tcPr>
          <w:p w:rsidR="00FB22DB" w:rsidRPr="00C8684B" w:rsidRDefault="00FB22DB" w:rsidP="00DD0B44">
            <w:pPr>
              <w:pStyle w:val="TableBlock"/>
              <w:keepLines w:val="0"/>
              <w:rPr>
                <w:sz w:val="26"/>
                <w:rtl/>
              </w:rPr>
            </w:pPr>
            <w:r w:rsidRPr="00C8684B">
              <w:rPr>
                <w:rFonts w:hint="cs"/>
                <w:sz w:val="26"/>
                <w:rtl/>
              </w:rPr>
              <w:t xml:space="preserve">"(ג) על אף האמור בסעיף קטן (א), מוסד פיננסי ישראלי שהגיעו אליו פרטי זיהוי לפי פרק ג', תוך כדי מילוי תפקידו או במהלך עבודתו, רשאי לעשות בהם שימוש לצורך קיום ההסכם בין ממשלת מדינת ישראל לבין ממשלת ארצות הברית של אמריקה בדבר שיפור ציות מס בינלאומי ויישום </w:t>
            </w:r>
            <w:r w:rsidRPr="00C8684B">
              <w:rPr>
                <w:sz w:val="26"/>
              </w:rPr>
              <w:t xml:space="preserve">FATCA </w:t>
            </w:r>
            <w:r w:rsidRPr="00C8684B">
              <w:rPr>
                <w:rFonts w:hint="cs"/>
                <w:sz w:val="26"/>
                <w:rtl/>
              </w:rPr>
              <w:t xml:space="preserve"> שנחתם ביום ב' בתמוז התשע"ד (30 ביוני 2014) או לשם קיום הסכם בינלאומי כהגדרתו בסעיף 214א, ובלבד שנחתם הסכם ליישום ההסכם הבינלאומי המבוסס על הנוהל לחילופי מידע אוטומטיים של חשבונות פיננסיים שפרסם ארגון ה- </w:t>
            </w:r>
            <w:r w:rsidRPr="00C8684B">
              <w:rPr>
                <w:sz w:val="26"/>
              </w:rPr>
              <w:t>OECD</w:t>
            </w:r>
            <w:r w:rsidRPr="00C8684B">
              <w:rPr>
                <w:rFonts w:hint="cs"/>
                <w:sz w:val="26"/>
                <w:rtl/>
              </w:rPr>
              <w:t xml:space="preserve"> (</w:t>
            </w:r>
            <w:r w:rsidRPr="00C8684B">
              <w:rPr>
                <w:sz w:val="26"/>
              </w:rPr>
              <w:t>Standard for Automatic Exchange of Financial Account Information)</w:t>
            </w:r>
            <w:r w:rsidRPr="00C8684B">
              <w:rPr>
                <w:rFonts w:hint="cs"/>
                <w:sz w:val="26"/>
                <w:rtl/>
              </w:rPr>
              <w:t xml:space="preserve"> בין מי ששר האוצר הסמיך לחתום על הסכם היישום לבין מי שהוסמך לחתום על הסכם היישום במדינה שעמה נחתם ההסכם הבינלאומי."</w:t>
            </w:r>
          </w:p>
        </w:tc>
      </w:tr>
    </w:tbl>
    <w:p w:rsidR="00FB22DB" w:rsidRPr="00C8684B" w:rsidRDefault="00FB22DB" w:rsidP="00FB22DB">
      <w:pPr>
        <w:pStyle w:val="Hesber"/>
        <w:rPr>
          <w:sz w:val="26"/>
          <w:rtl/>
        </w:rPr>
      </w:pPr>
    </w:p>
    <w:sectPr w:rsidR="00FB22DB" w:rsidRPr="00C8684B" w:rsidSect="00C118D0">
      <w:footerReference w:type="even" r:id="rId11"/>
      <w:footerReference w:type="default" r:id="rId12"/>
      <w:pgSz w:w="11907" w:h="16840" w:code="9"/>
      <w:pgMar w:top="822" w:right="1134" w:bottom="1134" w:left="1134" w:header="284" w:footer="680" w:gutter="0"/>
      <w:cols w:space="720"/>
      <w:noEndnote/>
      <w:bidi/>
      <w:rtlGutter/>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0BF" w:rsidRDefault="004C70BF">
      <w:r>
        <w:separator/>
      </w:r>
    </w:p>
  </w:endnote>
  <w:endnote w:type="continuationSeparator" w:id="0">
    <w:p w:rsidR="004C70BF" w:rsidRDefault="004C7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5F0" w:rsidRDefault="00B15B90" w:rsidP="004274C2">
    <w:pPr>
      <w:pStyle w:val="a9"/>
      <w:framePr w:wrap="around" w:vAnchor="text" w:hAnchor="text" w:xAlign="center" w:y="1"/>
      <w:rPr>
        <w:rStyle w:val="aa"/>
      </w:rPr>
    </w:pPr>
    <w:r>
      <w:rPr>
        <w:rStyle w:val="aa"/>
        <w:rtl/>
      </w:rPr>
      <w:fldChar w:fldCharType="begin"/>
    </w:r>
    <w:r w:rsidR="008F05F0">
      <w:rPr>
        <w:rStyle w:val="aa"/>
      </w:rPr>
      <w:instrText xml:space="preserve">PAGE  </w:instrText>
    </w:r>
    <w:r>
      <w:rPr>
        <w:rStyle w:val="aa"/>
        <w:rtl/>
      </w:rPr>
      <w:fldChar w:fldCharType="end"/>
    </w:r>
  </w:p>
  <w:p w:rsidR="008F05F0" w:rsidRDefault="008F05F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5F0" w:rsidRPr="00293537" w:rsidRDefault="00B15B90" w:rsidP="00293537">
    <w:pPr>
      <w:pStyle w:val="a9"/>
      <w:framePr w:wrap="around" w:vAnchor="text" w:hAnchor="page" w:x="5782" w:y="55"/>
      <w:rPr>
        <w:rStyle w:val="aa"/>
        <w:rFonts w:cs="David"/>
        <w:sz w:val="26"/>
        <w:szCs w:val="26"/>
      </w:rPr>
    </w:pPr>
    <w:r w:rsidRPr="00293537">
      <w:rPr>
        <w:rStyle w:val="aa"/>
        <w:rFonts w:cs="David"/>
        <w:sz w:val="26"/>
        <w:szCs w:val="26"/>
        <w:rtl/>
      </w:rPr>
      <w:fldChar w:fldCharType="begin"/>
    </w:r>
    <w:r w:rsidR="008F05F0" w:rsidRPr="00293537">
      <w:rPr>
        <w:rStyle w:val="aa"/>
        <w:rFonts w:cs="David"/>
        <w:sz w:val="26"/>
        <w:szCs w:val="26"/>
      </w:rPr>
      <w:instrText xml:space="preserve">PAGE  </w:instrText>
    </w:r>
    <w:r w:rsidRPr="00293537">
      <w:rPr>
        <w:rStyle w:val="aa"/>
        <w:rFonts w:cs="David"/>
        <w:sz w:val="26"/>
        <w:szCs w:val="26"/>
        <w:rtl/>
      </w:rPr>
      <w:fldChar w:fldCharType="separate"/>
    </w:r>
    <w:r w:rsidR="00C568C1">
      <w:rPr>
        <w:rStyle w:val="aa"/>
        <w:rFonts w:cs="David"/>
        <w:noProof/>
        <w:sz w:val="26"/>
        <w:szCs w:val="26"/>
        <w:rtl/>
      </w:rPr>
      <w:t>2</w:t>
    </w:r>
    <w:r w:rsidRPr="00293537">
      <w:rPr>
        <w:rStyle w:val="aa"/>
        <w:rFonts w:cs="David"/>
        <w:sz w:val="26"/>
        <w:szCs w:val="26"/>
        <w:rtl/>
      </w:rPr>
      <w:fldChar w:fldCharType="end"/>
    </w:r>
  </w:p>
  <w:p w:rsidR="008F05F0" w:rsidRDefault="008F05F0" w:rsidP="0043477B">
    <w:pPr>
      <w:pStyle w:val="a9"/>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0BF" w:rsidRDefault="004C70BF">
      <w:pPr>
        <w:ind w:firstLine="0"/>
      </w:pPr>
      <w:r>
        <w:separator/>
      </w:r>
    </w:p>
  </w:footnote>
  <w:footnote w:type="continuationSeparator" w:id="0">
    <w:p w:rsidR="004C70BF" w:rsidRDefault="004C70BF">
      <w:r>
        <w:continuationSeparator/>
      </w:r>
    </w:p>
  </w:footnote>
  <w:footnote w:type="continuationNotice" w:id="1">
    <w:p w:rsidR="004C70BF" w:rsidRDefault="004C70BF"/>
  </w:footnote>
  <w:footnote w:id="2">
    <w:p w:rsidR="008F05F0" w:rsidRDefault="008F05F0" w:rsidP="00FB22DB">
      <w:pPr>
        <w:pStyle w:val="a4"/>
        <w:rPr>
          <w:rtl/>
        </w:rPr>
      </w:pPr>
      <w:r>
        <w:rPr>
          <w:rStyle w:val="a6"/>
        </w:rPr>
        <w:footnoteRef/>
      </w:r>
      <w:r>
        <w:rPr>
          <w:rtl/>
        </w:rPr>
        <w:t xml:space="preserve"> </w:t>
      </w:r>
    </w:p>
  </w:footnote>
  <w:footnote w:id="3">
    <w:p w:rsidR="008F05F0" w:rsidRDefault="008F05F0" w:rsidP="00FB22DB">
      <w:pPr>
        <w:pStyle w:val="a4"/>
        <w:rPr>
          <w:rtl/>
        </w:rPr>
      </w:pPr>
      <w:r>
        <w:rPr>
          <w:rStyle w:val="a6"/>
        </w:rPr>
        <w:footnoteRef/>
      </w:r>
      <w:r>
        <w:rPr>
          <w:rtl/>
        </w:rPr>
        <w:t xml:space="preserve"> </w:t>
      </w:r>
    </w:p>
  </w:footnote>
  <w:footnote w:id="4">
    <w:p w:rsidR="008F05F0" w:rsidRDefault="008F05F0" w:rsidP="00FB22DB">
      <w:pPr>
        <w:pStyle w:val="a4"/>
        <w:rPr>
          <w:rtl/>
        </w:rPr>
      </w:pPr>
      <w:r>
        <w:rPr>
          <w:rStyle w:val="a6"/>
        </w:rPr>
        <w:footnoteRef/>
      </w:r>
      <w:r>
        <w:rPr>
          <w:rtl/>
        </w:rPr>
        <w:t xml:space="preserve"> </w:t>
      </w:r>
    </w:p>
  </w:footnote>
  <w:footnote w:id="5">
    <w:p w:rsidR="008F05F0" w:rsidRDefault="008F05F0" w:rsidP="00FB22DB">
      <w:pPr>
        <w:pStyle w:val="a4"/>
        <w:rPr>
          <w:rtl/>
        </w:rPr>
      </w:pPr>
      <w:r>
        <w:rPr>
          <w:rStyle w:val="a6"/>
        </w:rPr>
        <w:footnoteRef/>
      </w:r>
      <w:r>
        <w:rPr>
          <w:rtl/>
        </w:rPr>
        <w:t xml:space="preserve"> </w:t>
      </w:r>
    </w:p>
  </w:footnote>
  <w:footnote w:id="6">
    <w:p w:rsidR="008F05F0" w:rsidRDefault="008F05F0" w:rsidP="00FB22DB">
      <w:pPr>
        <w:pStyle w:val="a4"/>
        <w:rPr>
          <w:rtl/>
        </w:rPr>
      </w:pPr>
      <w:r>
        <w:rPr>
          <w:rStyle w:val="a6"/>
        </w:rPr>
        <w:footnoteRef/>
      </w:r>
      <w:r>
        <w:rPr>
          <w:rtl/>
        </w:rPr>
        <w:t xml:space="preserve"> </w:t>
      </w:r>
    </w:p>
  </w:footnote>
  <w:footnote w:id="7">
    <w:p w:rsidR="008F05F0" w:rsidRDefault="008F05F0" w:rsidP="00FB22DB">
      <w:pPr>
        <w:pStyle w:val="a4"/>
        <w:rPr>
          <w:rtl/>
        </w:rPr>
      </w:pPr>
      <w:r>
        <w:rPr>
          <w:rStyle w:val="a6"/>
        </w:rPr>
        <w:footnoteRef/>
      </w:r>
      <w:r>
        <w:rPr>
          <w:rtl/>
        </w:rPr>
        <w:t xml:space="preserve"> </w:t>
      </w:r>
    </w:p>
  </w:footnote>
  <w:footnote w:id="8">
    <w:p w:rsidR="008F05F0" w:rsidRDefault="008F05F0" w:rsidP="00FB22DB">
      <w:pPr>
        <w:pStyle w:val="a4"/>
      </w:pPr>
      <w:r>
        <w:rPr>
          <w:rStyle w:val="a6"/>
        </w:rPr>
        <w:footnoteRef/>
      </w:r>
      <w:r>
        <w:rPr>
          <w:rFonts w:hint="cs"/>
          <w:rtl/>
        </w:rPr>
        <w:t xml:space="preserve"> ס"ח התש"ס, עמ/ 209, התשע"ד, עמ' 742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2A8"/>
    <w:multiLevelType w:val="hybridMultilevel"/>
    <w:tmpl w:val="0E007B90"/>
    <w:lvl w:ilvl="0" w:tplc="C79A0FF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64664"/>
    <w:multiLevelType w:val="hybridMultilevel"/>
    <w:tmpl w:val="69C07D3C"/>
    <w:lvl w:ilvl="0" w:tplc="0C52EC4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318C9"/>
    <w:multiLevelType w:val="hybridMultilevel"/>
    <w:tmpl w:val="FAA654FA"/>
    <w:lvl w:ilvl="0" w:tplc="EC2284B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05814"/>
    <w:multiLevelType w:val="hybridMultilevel"/>
    <w:tmpl w:val="8AB8521A"/>
    <w:lvl w:ilvl="0" w:tplc="DAFED0F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7449E"/>
    <w:multiLevelType w:val="hybridMultilevel"/>
    <w:tmpl w:val="2F0AF1B6"/>
    <w:lvl w:ilvl="0" w:tplc="AE3E07F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A3C79"/>
    <w:multiLevelType w:val="hybridMultilevel"/>
    <w:tmpl w:val="044EA812"/>
    <w:lvl w:ilvl="0" w:tplc="4CEE95DE">
      <w:start w:val="1"/>
      <w:numFmt w:val="hebrew1"/>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5546DA5"/>
    <w:multiLevelType w:val="hybridMultilevel"/>
    <w:tmpl w:val="6786159E"/>
    <w:lvl w:ilvl="0" w:tplc="1BF4B63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FE3276"/>
    <w:multiLevelType w:val="hybridMultilevel"/>
    <w:tmpl w:val="431ACF1E"/>
    <w:lvl w:ilvl="0" w:tplc="BF9C6AE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8D16DD"/>
    <w:multiLevelType w:val="hybridMultilevel"/>
    <w:tmpl w:val="A8869876"/>
    <w:lvl w:ilvl="0" w:tplc="0462891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1787E"/>
    <w:multiLevelType w:val="hybridMultilevel"/>
    <w:tmpl w:val="98AA4118"/>
    <w:lvl w:ilvl="0" w:tplc="2B9A35EE">
      <w:start w:val="1"/>
      <w:numFmt w:val="decimal"/>
      <w:lvlRestart w:val="0"/>
      <w:lvlText w:val="(%1)"/>
      <w:lvlJc w:val="left"/>
      <w:pPr>
        <w:tabs>
          <w:tab w:val="num" w:pos="765"/>
        </w:tabs>
        <w:ind w:left="141" w:firstLine="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0">
    <w:nsid w:val="2B603A65"/>
    <w:multiLevelType w:val="hybridMultilevel"/>
    <w:tmpl w:val="04B02140"/>
    <w:lvl w:ilvl="0" w:tplc="EA42986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D25C04"/>
    <w:multiLevelType w:val="hybridMultilevel"/>
    <w:tmpl w:val="AB1E4D58"/>
    <w:lvl w:ilvl="0" w:tplc="3BD4812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A873DF"/>
    <w:multiLevelType w:val="hybridMultilevel"/>
    <w:tmpl w:val="FB9878C0"/>
    <w:lvl w:ilvl="0" w:tplc="2BC2FEC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0032D0"/>
    <w:multiLevelType w:val="hybridMultilevel"/>
    <w:tmpl w:val="27FEB31C"/>
    <w:lvl w:ilvl="0" w:tplc="9F169924">
      <w:start w:val="1"/>
      <w:numFmt w:val="decimal"/>
      <w:lvlRestart w:val="0"/>
      <w:lvlText w:val="(%1)"/>
      <w:lvlJc w:val="left"/>
      <w:pPr>
        <w:tabs>
          <w:tab w:val="num" w:pos="765"/>
        </w:tabs>
        <w:ind w:left="141" w:firstLine="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4">
    <w:nsid w:val="370873BB"/>
    <w:multiLevelType w:val="hybridMultilevel"/>
    <w:tmpl w:val="2BD0159C"/>
    <w:lvl w:ilvl="0" w:tplc="E6D413F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AE57DB"/>
    <w:multiLevelType w:val="hybridMultilevel"/>
    <w:tmpl w:val="4C94372A"/>
    <w:lvl w:ilvl="0" w:tplc="A49A3AC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F67EC0"/>
    <w:multiLevelType w:val="hybridMultilevel"/>
    <w:tmpl w:val="AD088C80"/>
    <w:lvl w:ilvl="0" w:tplc="312A9F2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5635A7"/>
    <w:multiLevelType w:val="hybridMultilevel"/>
    <w:tmpl w:val="2E084226"/>
    <w:lvl w:ilvl="0" w:tplc="86C6D42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EF75FF"/>
    <w:multiLevelType w:val="hybridMultilevel"/>
    <w:tmpl w:val="3404DE00"/>
    <w:lvl w:ilvl="0" w:tplc="D3FE5ED6">
      <w:start w:val="1"/>
      <w:numFmt w:val="hebrew1"/>
      <w:lvlRestart w:val="0"/>
      <w:lvlText w:val="(%1)"/>
      <w:lvlJc w:val="left"/>
      <w:pPr>
        <w:tabs>
          <w:tab w:val="num" w:pos="824"/>
        </w:tabs>
        <w:ind w:left="200" w:firstLine="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9">
    <w:nsid w:val="48617EEB"/>
    <w:multiLevelType w:val="hybridMultilevel"/>
    <w:tmpl w:val="B8B0A592"/>
    <w:lvl w:ilvl="0" w:tplc="4DB2FC3E">
      <w:start w:val="1"/>
      <w:numFmt w:val="decimal"/>
      <w:lvlRestart w:val="0"/>
      <w:lvlText w:val="(%1)"/>
      <w:lvlJc w:val="left"/>
      <w:pPr>
        <w:tabs>
          <w:tab w:val="num" w:pos="624"/>
        </w:tabs>
        <w:ind w:left="0" w:firstLine="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795C85"/>
    <w:multiLevelType w:val="hybridMultilevel"/>
    <w:tmpl w:val="49F25688"/>
    <w:lvl w:ilvl="0" w:tplc="65CCE444">
      <w:start w:val="1"/>
      <w:numFmt w:val="decimal"/>
      <w:lvlRestart w:val="0"/>
      <w:lvlText w:val="(%1)"/>
      <w:lvlJc w:val="left"/>
      <w:pPr>
        <w:tabs>
          <w:tab w:val="num" w:pos="765"/>
        </w:tabs>
        <w:ind w:left="141" w:firstLine="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1">
    <w:nsid w:val="4A061DC9"/>
    <w:multiLevelType w:val="hybridMultilevel"/>
    <w:tmpl w:val="DBA2808C"/>
    <w:lvl w:ilvl="0" w:tplc="5A1AF196">
      <w:start w:val="1"/>
      <w:numFmt w:val="decimal"/>
      <w:lvlRestart w:val="0"/>
      <w:lvlText w:val="(%1)"/>
      <w:lvlJc w:val="left"/>
      <w:pPr>
        <w:tabs>
          <w:tab w:val="num" w:pos="765"/>
        </w:tabs>
        <w:ind w:left="141"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021045"/>
    <w:multiLevelType w:val="hybridMultilevel"/>
    <w:tmpl w:val="A164F6D6"/>
    <w:lvl w:ilvl="0" w:tplc="0EAE6F34">
      <w:start w:val="1"/>
      <w:numFmt w:val="hebrew1"/>
      <w:lvlRestart w:val="0"/>
      <w:lvlText w:val="(%1)"/>
      <w:lvlJc w:val="left"/>
      <w:pPr>
        <w:tabs>
          <w:tab w:val="num" w:pos="765"/>
        </w:tabs>
        <w:ind w:left="141" w:firstLine="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3">
    <w:nsid w:val="4EBD6FDC"/>
    <w:multiLevelType w:val="hybridMultilevel"/>
    <w:tmpl w:val="5AEA250A"/>
    <w:lvl w:ilvl="0" w:tplc="7A4E80C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AB474D"/>
    <w:multiLevelType w:val="hybridMultilevel"/>
    <w:tmpl w:val="4C2451FE"/>
    <w:lvl w:ilvl="0" w:tplc="F8AC8E6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821A02"/>
    <w:multiLevelType w:val="hybridMultilevel"/>
    <w:tmpl w:val="D80E5486"/>
    <w:lvl w:ilvl="0" w:tplc="CBC8617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924B6A"/>
    <w:multiLevelType w:val="hybridMultilevel"/>
    <w:tmpl w:val="BEDC90F8"/>
    <w:lvl w:ilvl="0" w:tplc="B394A1DA">
      <w:start w:val="1"/>
      <w:numFmt w:val="hebrew1"/>
      <w:lvlRestart w:val="0"/>
      <w:lvlText w:val="(%1)"/>
      <w:lvlJc w:val="left"/>
      <w:pPr>
        <w:tabs>
          <w:tab w:val="num" w:pos="765"/>
        </w:tabs>
        <w:ind w:left="141" w:firstLine="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7">
    <w:nsid w:val="62286589"/>
    <w:multiLevelType w:val="hybridMultilevel"/>
    <w:tmpl w:val="E0B8AC2C"/>
    <w:lvl w:ilvl="0" w:tplc="9A206846">
      <w:start w:val="1"/>
      <w:numFmt w:val="decimal"/>
      <w:lvlRestart w:val="0"/>
      <w:lvlText w:val="(%1)"/>
      <w:lvlJc w:val="left"/>
      <w:pPr>
        <w:tabs>
          <w:tab w:val="num" w:pos="765"/>
        </w:tabs>
        <w:ind w:left="141" w:firstLine="0"/>
      </w:pPr>
      <w:rPr>
        <w:b w:val="0"/>
        <w:bCs w:val="0"/>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8">
    <w:nsid w:val="627E4BA9"/>
    <w:multiLevelType w:val="hybridMultilevel"/>
    <w:tmpl w:val="8CBEF8B8"/>
    <w:lvl w:ilvl="0" w:tplc="3C4EFDA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EE4FA3"/>
    <w:multiLevelType w:val="hybridMultilevel"/>
    <w:tmpl w:val="EAC4EC38"/>
    <w:lvl w:ilvl="0" w:tplc="CA64F7F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D40344"/>
    <w:multiLevelType w:val="hybridMultilevel"/>
    <w:tmpl w:val="13DE84B0"/>
    <w:lvl w:ilvl="0" w:tplc="6E88F4E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3C6F50"/>
    <w:multiLevelType w:val="hybridMultilevel"/>
    <w:tmpl w:val="879CEE9A"/>
    <w:lvl w:ilvl="0" w:tplc="4238A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D72542"/>
    <w:multiLevelType w:val="hybridMultilevel"/>
    <w:tmpl w:val="2078FC6A"/>
    <w:lvl w:ilvl="0" w:tplc="0416369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FD53E4"/>
    <w:multiLevelType w:val="hybridMultilevel"/>
    <w:tmpl w:val="2A0A1146"/>
    <w:lvl w:ilvl="0" w:tplc="5FB2908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C1793A"/>
    <w:multiLevelType w:val="hybridMultilevel"/>
    <w:tmpl w:val="070EED04"/>
    <w:lvl w:ilvl="0" w:tplc="6E24F3D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4A5396"/>
    <w:multiLevelType w:val="hybridMultilevel"/>
    <w:tmpl w:val="158CEEA8"/>
    <w:lvl w:ilvl="0" w:tplc="181659A2">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4"/>
  </w:num>
  <w:num w:numId="2">
    <w:abstractNumId w:val="29"/>
  </w:num>
  <w:num w:numId="3">
    <w:abstractNumId w:val="12"/>
  </w:num>
  <w:num w:numId="4">
    <w:abstractNumId w:val="23"/>
  </w:num>
  <w:num w:numId="5">
    <w:abstractNumId w:val="2"/>
  </w:num>
  <w:num w:numId="6">
    <w:abstractNumId w:val="27"/>
  </w:num>
  <w:num w:numId="7">
    <w:abstractNumId w:val="13"/>
  </w:num>
  <w:num w:numId="8">
    <w:abstractNumId w:val="9"/>
  </w:num>
  <w:num w:numId="9">
    <w:abstractNumId w:val="25"/>
  </w:num>
  <w:num w:numId="10">
    <w:abstractNumId w:val="26"/>
  </w:num>
  <w:num w:numId="11">
    <w:abstractNumId w:val="35"/>
  </w:num>
  <w:num w:numId="12">
    <w:abstractNumId w:val="32"/>
  </w:num>
  <w:num w:numId="13">
    <w:abstractNumId w:val="24"/>
  </w:num>
  <w:num w:numId="14">
    <w:abstractNumId w:val="19"/>
  </w:num>
  <w:num w:numId="15">
    <w:abstractNumId w:val="20"/>
  </w:num>
  <w:num w:numId="16">
    <w:abstractNumId w:val="22"/>
  </w:num>
  <w:num w:numId="17">
    <w:abstractNumId w:val="4"/>
  </w:num>
  <w:num w:numId="18">
    <w:abstractNumId w:val="7"/>
  </w:num>
  <w:num w:numId="19">
    <w:abstractNumId w:val="15"/>
  </w:num>
  <w:num w:numId="20">
    <w:abstractNumId w:val="18"/>
  </w:num>
  <w:num w:numId="21">
    <w:abstractNumId w:val="30"/>
  </w:num>
  <w:num w:numId="22">
    <w:abstractNumId w:val="6"/>
  </w:num>
  <w:num w:numId="23">
    <w:abstractNumId w:val="11"/>
  </w:num>
  <w:num w:numId="24">
    <w:abstractNumId w:val="8"/>
  </w:num>
  <w:num w:numId="25">
    <w:abstractNumId w:val="33"/>
  </w:num>
  <w:num w:numId="26">
    <w:abstractNumId w:val="0"/>
  </w:num>
  <w:num w:numId="27">
    <w:abstractNumId w:val="10"/>
  </w:num>
  <w:num w:numId="28">
    <w:abstractNumId w:val="21"/>
  </w:num>
  <w:num w:numId="29">
    <w:abstractNumId w:val="14"/>
  </w:num>
  <w:num w:numId="30">
    <w:abstractNumId w:val="1"/>
  </w:num>
  <w:num w:numId="31">
    <w:abstractNumId w:val="3"/>
  </w:num>
  <w:num w:numId="32">
    <w:abstractNumId w:val="17"/>
  </w:num>
  <w:num w:numId="33">
    <w:abstractNumId w:val="28"/>
  </w:num>
  <w:num w:numId="34">
    <w:abstractNumId w:val="16"/>
  </w:num>
  <w:num w:numId="35">
    <w:abstractNumId w:val="31"/>
  </w:num>
  <w:num w:numId="36">
    <w:abstractNumId w:val="5"/>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stylePaneFormatFilter w:val="0002"/>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applyBreakingRules/>
    <w:useFELayout/>
  </w:compat>
  <w:rsids>
    <w:rsidRoot w:val="00CF5BDF"/>
    <w:rsid w:val="00001778"/>
    <w:rsid w:val="000113E0"/>
    <w:rsid w:val="00011BA0"/>
    <w:rsid w:val="00011C4D"/>
    <w:rsid w:val="000301CB"/>
    <w:rsid w:val="0003252C"/>
    <w:rsid w:val="00043CE4"/>
    <w:rsid w:val="00053087"/>
    <w:rsid w:val="000543C8"/>
    <w:rsid w:val="00071E75"/>
    <w:rsid w:val="00080B43"/>
    <w:rsid w:val="00084A3D"/>
    <w:rsid w:val="000864D8"/>
    <w:rsid w:val="000960F3"/>
    <w:rsid w:val="000B77D0"/>
    <w:rsid w:val="000D3CAA"/>
    <w:rsid w:val="000D5166"/>
    <w:rsid w:val="000E2AF8"/>
    <w:rsid w:val="001365F1"/>
    <w:rsid w:val="00137CF2"/>
    <w:rsid w:val="00142D93"/>
    <w:rsid w:val="00147CAE"/>
    <w:rsid w:val="001502A1"/>
    <w:rsid w:val="001508EF"/>
    <w:rsid w:val="00157324"/>
    <w:rsid w:val="00157888"/>
    <w:rsid w:val="00161837"/>
    <w:rsid w:val="00162B97"/>
    <w:rsid w:val="00170015"/>
    <w:rsid w:val="00173326"/>
    <w:rsid w:val="001753B1"/>
    <w:rsid w:val="00194F6C"/>
    <w:rsid w:val="001B1478"/>
    <w:rsid w:val="001B320D"/>
    <w:rsid w:val="001B7B44"/>
    <w:rsid w:val="001B7B82"/>
    <w:rsid w:val="001B7CE6"/>
    <w:rsid w:val="001D7024"/>
    <w:rsid w:val="001D70F3"/>
    <w:rsid w:val="001E73F2"/>
    <w:rsid w:val="001E7C1D"/>
    <w:rsid w:val="00200906"/>
    <w:rsid w:val="002345C9"/>
    <w:rsid w:val="00235966"/>
    <w:rsid w:val="00255C44"/>
    <w:rsid w:val="00256C6A"/>
    <w:rsid w:val="00266EEC"/>
    <w:rsid w:val="002723C6"/>
    <w:rsid w:val="00281029"/>
    <w:rsid w:val="00293537"/>
    <w:rsid w:val="002A2DF3"/>
    <w:rsid w:val="002C18C4"/>
    <w:rsid w:val="002D1C18"/>
    <w:rsid w:val="002D445F"/>
    <w:rsid w:val="002D7CD0"/>
    <w:rsid w:val="002E25E5"/>
    <w:rsid w:val="002E32F0"/>
    <w:rsid w:val="002E6BAA"/>
    <w:rsid w:val="00300B11"/>
    <w:rsid w:val="00313568"/>
    <w:rsid w:val="0031416A"/>
    <w:rsid w:val="00320646"/>
    <w:rsid w:val="00322336"/>
    <w:rsid w:val="0032295F"/>
    <w:rsid w:val="00332E1F"/>
    <w:rsid w:val="00334626"/>
    <w:rsid w:val="00346EBA"/>
    <w:rsid w:val="00352C2C"/>
    <w:rsid w:val="00372B59"/>
    <w:rsid w:val="00373BD5"/>
    <w:rsid w:val="00374C5B"/>
    <w:rsid w:val="00376123"/>
    <w:rsid w:val="0039143F"/>
    <w:rsid w:val="00395725"/>
    <w:rsid w:val="00395D16"/>
    <w:rsid w:val="003A516F"/>
    <w:rsid w:val="003A663D"/>
    <w:rsid w:val="003B784A"/>
    <w:rsid w:val="003C6FAF"/>
    <w:rsid w:val="003D2471"/>
    <w:rsid w:val="003D49CD"/>
    <w:rsid w:val="003E027F"/>
    <w:rsid w:val="003F0987"/>
    <w:rsid w:val="00402AD0"/>
    <w:rsid w:val="00405752"/>
    <w:rsid w:val="00416F7B"/>
    <w:rsid w:val="004274C2"/>
    <w:rsid w:val="004278FF"/>
    <w:rsid w:val="00430799"/>
    <w:rsid w:val="0043477B"/>
    <w:rsid w:val="00446BB8"/>
    <w:rsid w:val="004478AF"/>
    <w:rsid w:val="00454F18"/>
    <w:rsid w:val="00473196"/>
    <w:rsid w:val="00474A1A"/>
    <w:rsid w:val="00486DDA"/>
    <w:rsid w:val="0049107E"/>
    <w:rsid w:val="004A5975"/>
    <w:rsid w:val="004A7E1E"/>
    <w:rsid w:val="004C6AE5"/>
    <w:rsid w:val="004C70BF"/>
    <w:rsid w:val="004D41C3"/>
    <w:rsid w:val="004E0206"/>
    <w:rsid w:val="004F440F"/>
    <w:rsid w:val="0050052F"/>
    <w:rsid w:val="00501A87"/>
    <w:rsid w:val="00504784"/>
    <w:rsid w:val="005123B1"/>
    <w:rsid w:val="00523C92"/>
    <w:rsid w:val="005275E5"/>
    <w:rsid w:val="00527675"/>
    <w:rsid w:val="005609A7"/>
    <w:rsid w:val="00561560"/>
    <w:rsid w:val="005625F4"/>
    <w:rsid w:val="005630F0"/>
    <w:rsid w:val="00564988"/>
    <w:rsid w:val="00567FB2"/>
    <w:rsid w:val="00572C04"/>
    <w:rsid w:val="00574CF4"/>
    <w:rsid w:val="005771C4"/>
    <w:rsid w:val="0058217D"/>
    <w:rsid w:val="0058586B"/>
    <w:rsid w:val="00594F82"/>
    <w:rsid w:val="005A451F"/>
    <w:rsid w:val="005C7BC5"/>
    <w:rsid w:val="005D00E1"/>
    <w:rsid w:val="005D51AE"/>
    <w:rsid w:val="005E2B24"/>
    <w:rsid w:val="005F181C"/>
    <w:rsid w:val="005F32DD"/>
    <w:rsid w:val="005F63FC"/>
    <w:rsid w:val="00600873"/>
    <w:rsid w:val="00602F7F"/>
    <w:rsid w:val="0060685C"/>
    <w:rsid w:val="00607770"/>
    <w:rsid w:val="00607881"/>
    <w:rsid w:val="006171F8"/>
    <w:rsid w:val="00622152"/>
    <w:rsid w:val="00626E1B"/>
    <w:rsid w:val="00631CAB"/>
    <w:rsid w:val="00643333"/>
    <w:rsid w:val="00644940"/>
    <w:rsid w:val="006463D9"/>
    <w:rsid w:val="0065338F"/>
    <w:rsid w:val="00660C42"/>
    <w:rsid w:val="00662D9D"/>
    <w:rsid w:val="0067243E"/>
    <w:rsid w:val="00674761"/>
    <w:rsid w:val="00676175"/>
    <w:rsid w:val="006A3DB5"/>
    <w:rsid w:val="006A73E4"/>
    <w:rsid w:val="006B029D"/>
    <w:rsid w:val="006B40B5"/>
    <w:rsid w:val="006B6F30"/>
    <w:rsid w:val="006C0F66"/>
    <w:rsid w:val="006C5C0E"/>
    <w:rsid w:val="006C6B37"/>
    <w:rsid w:val="006C74B3"/>
    <w:rsid w:val="006D2D06"/>
    <w:rsid w:val="006E2E9E"/>
    <w:rsid w:val="006E3FFD"/>
    <w:rsid w:val="007053C1"/>
    <w:rsid w:val="00714603"/>
    <w:rsid w:val="00716701"/>
    <w:rsid w:val="007237A7"/>
    <w:rsid w:val="00725D36"/>
    <w:rsid w:val="00726839"/>
    <w:rsid w:val="00734C92"/>
    <w:rsid w:val="007408DF"/>
    <w:rsid w:val="007416B0"/>
    <w:rsid w:val="007651DC"/>
    <w:rsid w:val="00766065"/>
    <w:rsid w:val="0077246A"/>
    <w:rsid w:val="007725BF"/>
    <w:rsid w:val="00781C4C"/>
    <w:rsid w:val="0078279D"/>
    <w:rsid w:val="00786188"/>
    <w:rsid w:val="007906D4"/>
    <w:rsid w:val="007A2FB8"/>
    <w:rsid w:val="007A5EA1"/>
    <w:rsid w:val="007A7870"/>
    <w:rsid w:val="007B1C96"/>
    <w:rsid w:val="007B58F1"/>
    <w:rsid w:val="007C0140"/>
    <w:rsid w:val="007D6636"/>
    <w:rsid w:val="007F048B"/>
    <w:rsid w:val="007F0670"/>
    <w:rsid w:val="007F0C40"/>
    <w:rsid w:val="008042F1"/>
    <w:rsid w:val="008060B0"/>
    <w:rsid w:val="0080674F"/>
    <w:rsid w:val="00807C7E"/>
    <w:rsid w:val="00812C98"/>
    <w:rsid w:val="00815889"/>
    <w:rsid w:val="00816CB3"/>
    <w:rsid w:val="00830F64"/>
    <w:rsid w:val="00837963"/>
    <w:rsid w:val="00850601"/>
    <w:rsid w:val="008674BA"/>
    <w:rsid w:val="008811F7"/>
    <w:rsid w:val="008815D0"/>
    <w:rsid w:val="00892A7D"/>
    <w:rsid w:val="00895B21"/>
    <w:rsid w:val="008B1C5C"/>
    <w:rsid w:val="008B2B37"/>
    <w:rsid w:val="008D4643"/>
    <w:rsid w:val="008D4DD7"/>
    <w:rsid w:val="008E6020"/>
    <w:rsid w:val="008F05F0"/>
    <w:rsid w:val="008F127C"/>
    <w:rsid w:val="008F21A4"/>
    <w:rsid w:val="008F730C"/>
    <w:rsid w:val="00902BAE"/>
    <w:rsid w:val="009172F8"/>
    <w:rsid w:val="00923474"/>
    <w:rsid w:val="0093030A"/>
    <w:rsid w:val="00940162"/>
    <w:rsid w:val="00966955"/>
    <w:rsid w:val="00974123"/>
    <w:rsid w:val="00975E3B"/>
    <w:rsid w:val="00977309"/>
    <w:rsid w:val="009776F5"/>
    <w:rsid w:val="00994430"/>
    <w:rsid w:val="00995AE6"/>
    <w:rsid w:val="009963F6"/>
    <w:rsid w:val="009D6D82"/>
    <w:rsid w:val="009F0E9D"/>
    <w:rsid w:val="009F1C3B"/>
    <w:rsid w:val="009F32FE"/>
    <w:rsid w:val="009F3AC8"/>
    <w:rsid w:val="009F5B41"/>
    <w:rsid w:val="00A214A4"/>
    <w:rsid w:val="00A22063"/>
    <w:rsid w:val="00A3374B"/>
    <w:rsid w:val="00A34520"/>
    <w:rsid w:val="00A35811"/>
    <w:rsid w:val="00A41077"/>
    <w:rsid w:val="00A5206E"/>
    <w:rsid w:val="00A64D91"/>
    <w:rsid w:val="00A67BBC"/>
    <w:rsid w:val="00A8154C"/>
    <w:rsid w:val="00A81D7C"/>
    <w:rsid w:val="00A905F7"/>
    <w:rsid w:val="00A90B31"/>
    <w:rsid w:val="00AA1CC0"/>
    <w:rsid w:val="00AB0AE6"/>
    <w:rsid w:val="00AB1FD3"/>
    <w:rsid w:val="00AB7CF4"/>
    <w:rsid w:val="00AD0C2C"/>
    <w:rsid w:val="00AD444B"/>
    <w:rsid w:val="00AE40B0"/>
    <w:rsid w:val="00AF6C74"/>
    <w:rsid w:val="00B15B90"/>
    <w:rsid w:val="00B2218C"/>
    <w:rsid w:val="00B24577"/>
    <w:rsid w:val="00B30CA4"/>
    <w:rsid w:val="00B350EA"/>
    <w:rsid w:val="00B40F81"/>
    <w:rsid w:val="00B473BA"/>
    <w:rsid w:val="00B50517"/>
    <w:rsid w:val="00B7157A"/>
    <w:rsid w:val="00B77170"/>
    <w:rsid w:val="00B859E4"/>
    <w:rsid w:val="00B969EC"/>
    <w:rsid w:val="00BB1D40"/>
    <w:rsid w:val="00BC51F3"/>
    <w:rsid w:val="00BE353C"/>
    <w:rsid w:val="00BE5292"/>
    <w:rsid w:val="00BE79EB"/>
    <w:rsid w:val="00BF3A25"/>
    <w:rsid w:val="00BF7221"/>
    <w:rsid w:val="00C062F1"/>
    <w:rsid w:val="00C118D0"/>
    <w:rsid w:val="00C13CAE"/>
    <w:rsid w:val="00C2152C"/>
    <w:rsid w:val="00C24BFB"/>
    <w:rsid w:val="00C3497C"/>
    <w:rsid w:val="00C46A7C"/>
    <w:rsid w:val="00C5295C"/>
    <w:rsid w:val="00C568C1"/>
    <w:rsid w:val="00C645D5"/>
    <w:rsid w:val="00C66A55"/>
    <w:rsid w:val="00C75F52"/>
    <w:rsid w:val="00C8684B"/>
    <w:rsid w:val="00C92171"/>
    <w:rsid w:val="00CA6D82"/>
    <w:rsid w:val="00CA6DAC"/>
    <w:rsid w:val="00CB4C0A"/>
    <w:rsid w:val="00CC2FCD"/>
    <w:rsid w:val="00CC35D0"/>
    <w:rsid w:val="00CC6A92"/>
    <w:rsid w:val="00CC6BEB"/>
    <w:rsid w:val="00CD0662"/>
    <w:rsid w:val="00CE2900"/>
    <w:rsid w:val="00CE6F67"/>
    <w:rsid w:val="00CF5BDF"/>
    <w:rsid w:val="00CF7619"/>
    <w:rsid w:val="00D04853"/>
    <w:rsid w:val="00D2043B"/>
    <w:rsid w:val="00D35FF0"/>
    <w:rsid w:val="00D374C0"/>
    <w:rsid w:val="00D464AF"/>
    <w:rsid w:val="00D475C0"/>
    <w:rsid w:val="00D52873"/>
    <w:rsid w:val="00D70C27"/>
    <w:rsid w:val="00D74BCE"/>
    <w:rsid w:val="00D7763B"/>
    <w:rsid w:val="00D84FCC"/>
    <w:rsid w:val="00DA2A73"/>
    <w:rsid w:val="00DA6FB0"/>
    <w:rsid w:val="00DB018F"/>
    <w:rsid w:val="00DD0B44"/>
    <w:rsid w:val="00DE2CFD"/>
    <w:rsid w:val="00DE3E3E"/>
    <w:rsid w:val="00DE7427"/>
    <w:rsid w:val="00DF3A60"/>
    <w:rsid w:val="00DF6AF7"/>
    <w:rsid w:val="00E11517"/>
    <w:rsid w:val="00E12FD8"/>
    <w:rsid w:val="00E1690D"/>
    <w:rsid w:val="00E23AE2"/>
    <w:rsid w:val="00E272A6"/>
    <w:rsid w:val="00E315C3"/>
    <w:rsid w:val="00E3353C"/>
    <w:rsid w:val="00E3570A"/>
    <w:rsid w:val="00E40AC0"/>
    <w:rsid w:val="00E55A02"/>
    <w:rsid w:val="00E64E60"/>
    <w:rsid w:val="00E659C5"/>
    <w:rsid w:val="00E7024C"/>
    <w:rsid w:val="00E83FBB"/>
    <w:rsid w:val="00E876E5"/>
    <w:rsid w:val="00EB0713"/>
    <w:rsid w:val="00EB765D"/>
    <w:rsid w:val="00EC1EB9"/>
    <w:rsid w:val="00ED7345"/>
    <w:rsid w:val="00EE3B37"/>
    <w:rsid w:val="00EF1A0F"/>
    <w:rsid w:val="00EF3F5F"/>
    <w:rsid w:val="00EF579C"/>
    <w:rsid w:val="00F00DF4"/>
    <w:rsid w:val="00F10FBB"/>
    <w:rsid w:val="00F121C1"/>
    <w:rsid w:val="00F2233F"/>
    <w:rsid w:val="00F4660F"/>
    <w:rsid w:val="00F46EA0"/>
    <w:rsid w:val="00F63DD9"/>
    <w:rsid w:val="00F66533"/>
    <w:rsid w:val="00F6741B"/>
    <w:rsid w:val="00F71CC1"/>
    <w:rsid w:val="00F8027C"/>
    <w:rsid w:val="00F8186C"/>
    <w:rsid w:val="00F83FC6"/>
    <w:rsid w:val="00F87CE4"/>
    <w:rsid w:val="00F94603"/>
    <w:rsid w:val="00F9596F"/>
    <w:rsid w:val="00FA1CBB"/>
    <w:rsid w:val="00FA38DE"/>
    <w:rsid w:val="00FB22DB"/>
    <w:rsid w:val="00FB5BD8"/>
    <w:rsid w:val="00FB76CD"/>
    <w:rsid w:val="00FC0222"/>
    <w:rsid w:val="00FC181D"/>
    <w:rsid w:val="00FC318A"/>
    <w:rsid w:val="00FC7C88"/>
    <w:rsid w:val="00FD29CB"/>
    <w:rsid w:val="00FD4312"/>
    <w:rsid w:val="00FD760F"/>
    <w:rsid w:val="00FE0B4B"/>
    <w:rsid w:val="00FE518E"/>
    <w:rsid w:val="00FE769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C88"/>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FC7C88"/>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Noparagraphstyle"/>
    <w:rsid w:val="00FC7C88"/>
    <w:pPr>
      <w:tabs>
        <w:tab w:val="left" w:pos="1191"/>
        <w:tab w:val="left" w:pos="1587"/>
      </w:tabs>
      <w:spacing w:before="240" w:after="240" w:line="480" w:lineRule="auto"/>
      <w:jc w:val="center"/>
    </w:pPr>
  </w:style>
  <w:style w:type="paragraph" w:customStyle="1" w:styleId="Cover2-HatzaotHok">
    <w:name w:val="Cover 2-HatzaotHok"/>
    <w:basedOn w:val="Cover1-Reshumot"/>
    <w:rsid w:val="00FC7C88"/>
    <w:rPr>
      <w:sz w:val="36"/>
      <w:szCs w:val="52"/>
    </w:rPr>
  </w:style>
  <w:style w:type="paragraph" w:customStyle="1" w:styleId="Cover3-Haknesset">
    <w:name w:val="Cover 3-Haknesset"/>
    <w:basedOn w:val="Cover1-Reshumot"/>
    <w:rsid w:val="00FC7C88"/>
    <w:rPr>
      <w:b/>
      <w:bCs/>
      <w:spacing w:val="60"/>
    </w:rPr>
  </w:style>
  <w:style w:type="paragraph" w:customStyle="1" w:styleId="Cover4-Date">
    <w:name w:val="Cover 4-Date"/>
    <w:basedOn w:val="Noparagraphstyle"/>
    <w:rsid w:val="00FC7C88"/>
    <w:pPr>
      <w:pBdr>
        <w:bottom w:val="single" w:sz="4" w:space="0" w:color="auto"/>
      </w:pBdr>
      <w:tabs>
        <w:tab w:val="center" w:pos="4820"/>
        <w:tab w:val="right" w:pos="9639"/>
      </w:tabs>
      <w:spacing w:before="240" w:after="240"/>
    </w:pPr>
  </w:style>
  <w:style w:type="paragraph" w:customStyle="1" w:styleId="TOC">
    <w:name w:val="TOC"/>
    <w:basedOn w:val="Noparagraphstyle"/>
    <w:rsid w:val="00FC7C88"/>
    <w:pPr>
      <w:tabs>
        <w:tab w:val="left" w:leader="dot" w:pos="8789"/>
      </w:tabs>
      <w:spacing w:before="120"/>
      <w:ind w:left="284" w:right="284"/>
    </w:pPr>
  </w:style>
  <w:style w:type="paragraph" w:customStyle="1" w:styleId="TOCpg">
    <w:name w:val="TOC pg"/>
    <w:basedOn w:val="TOC"/>
    <w:rsid w:val="00FC7C88"/>
    <w:pPr>
      <w:spacing w:after="120"/>
      <w:ind w:right="567"/>
      <w:jc w:val="right"/>
    </w:pPr>
  </w:style>
  <w:style w:type="paragraph" w:customStyle="1" w:styleId="HeadMitparsemetBaze">
    <w:name w:val="Head MitparsemetBaze"/>
    <w:basedOn w:val="Noparagraphstyle"/>
    <w:rsid w:val="00FC7C88"/>
    <w:pPr>
      <w:keepNext/>
      <w:keepLines/>
      <w:pageBreakBefore/>
      <w:spacing w:before="480"/>
      <w:jc w:val="both"/>
    </w:pPr>
    <w:rPr>
      <w:b/>
      <w:bCs/>
    </w:rPr>
  </w:style>
  <w:style w:type="paragraph" w:customStyle="1" w:styleId="HeadHatzaotHok">
    <w:name w:val="Head HatzaotHok"/>
    <w:basedOn w:val="Noparagraphstyle"/>
    <w:rsid w:val="00FC7C88"/>
    <w:pPr>
      <w:keepNext/>
      <w:keepLines/>
      <w:spacing w:before="240"/>
      <w:jc w:val="center"/>
    </w:pPr>
    <w:rPr>
      <w:b/>
      <w:bCs/>
    </w:rPr>
  </w:style>
  <w:style w:type="paragraph" w:customStyle="1" w:styleId="HeadHatzaotHok4Futer">
    <w:name w:val="Head HatzaotHok4Futer"/>
    <w:basedOn w:val="HeadHatzaotHok"/>
    <w:rsid w:val="00FC7C88"/>
    <w:pPr>
      <w:spacing w:before="120" w:after="120"/>
    </w:pPr>
    <w:rPr>
      <w:color w:val="FF0000"/>
      <w:w w:val="80"/>
    </w:rPr>
  </w:style>
  <w:style w:type="paragraph" w:styleId="a3">
    <w:name w:val="endnote text"/>
    <w:basedOn w:val="Ragil"/>
    <w:semiHidden/>
    <w:rsid w:val="00FC7C88"/>
    <w:pPr>
      <w:ind w:left="227" w:hanging="227"/>
    </w:pPr>
    <w:rPr>
      <w:sz w:val="14"/>
      <w:szCs w:val="22"/>
    </w:rPr>
  </w:style>
  <w:style w:type="paragraph" w:customStyle="1" w:styleId="TableText">
    <w:name w:val="Table Text"/>
    <w:basedOn w:val="Ragil"/>
    <w:rsid w:val="00FC7C88"/>
    <w:pPr>
      <w:keepLines/>
      <w:tabs>
        <w:tab w:val="left" w:pos="624"/>
        <w:tab w:val="left" w:pos="1247"/>
      </w:tabs>
      <w:ind w:right="57" w:firstLine="0"/>
    </w:pPr>
  </w:style>
  <w:style w:type="paragraph" w:customStyle="1" w:styleId="TableSideHeading">
    <w:name w:val="Table SideHeading"/>
    <w:basedOn w:val="TableText"/>
    <w:rsid w:val="00FC7C88"/>
  </w:style>
  <w:style w:type="paragraph" w:customStyle="1" w:styleId="TableBlock">
    <w:name w:val="Table Block"/>
    <w:basedOn w:val="TableText"/>
    <w:rsid w:val="00FC7C88"/>
    <w:pPr>
      <w:ind w:right="0"/>
      <w:jc w:val="both"/>
    </w:pPr>
  </w:style>
  <w:style w:type="paragraph" w:customStyle="1" w:styleId="TableHead">
    <w:name w:val="Table Head"/>
    <w:basedOn w:val="TableText"/>
    <w:rsid w:val="00FC7C88"/>
    <w:pPr>
      <w:ind w:right="0"/>
      <w:jc w:val="center"/>
    </w:pPr>
    <w:rPr>
      <w:b/>
      <w:bCs/>
    </w:rPr>
  </w:style>
  <w:style w:type="paragraph" w:customStyle="1" w:styleId="TableText2">
    <w:name w:val="Table Text2"/>
    <w:basedOn w:val="TableText"/>
    <w:rsid w:val="00FC7C88"/>
  </w:style>
  <w:style w:type="paragraph" w:customStyle="1" w:styleId="TableInnerSideHeading">
    <w:name w:val="Table InnerSideHeading"/>
    <w:basedOn w:val="TableSideHeading"/>
    <w:rsid w:val="00FC7C88"/>
  </w:style>
  <w:style w:type="paragraph" w:customStyle="1" w:styleId="Hesber">
    <w:name w:val="Hesber"/>
    <w:basedOn w:val="Ragil"/>
    <w:rsid w:val="00FC7C88"/>
    <w:pPr>
      <w:jc w:val="both"/>
    </w:pPr>
  </w:style>
  <w:style w:type="paragraph" w:styleId="a4">
    <w:name w:val="footnote text"/>
    <w:basedOn w:val="Ragil"/>
    <w:link w:val="a5"/>
    <w:autoRedefine/>
    <w:semiHidden/>
    <w:rsid w:val="00644940"/>
    <w:pPr>
      <w:spacing w:line="240" w:lineRule="auto"/>
      <w:ind w:left="227" w:hanging="227"/>
    </w:pPr>
    <w:rPr>
      <w:sz w:val="14"/>
      <w:szCs w:val="20"/>
    </w:rPr>
  </w:style>
  <w:style w:type="character" w:styleId="a6">
    <w:name w:val="footnote reference"/>
    <w:basedOn w:val="a0"/>
    <w:semiHidden/>
    <w:rsid w:val="00FC7C88"/>
    <w:rPr>
      <w:vertAlign w:val="superscript"/>
    </w:rPr>
  </w:style>
  <w:style w:type="paragraph" w:customStyle="1" w:styleId="HesberHeading">
    <w:name w:val="Hesber Heading"/>
    <w:basedOn w:val="Hesber"/>
    <w:rsid w:val="00FC7C88"/>
    <w:pPr>
      <w:keepNext/>
      <w:keepLines/>
      <w:spacing w:before="240"/>
      <w:ind w:firstLine="0"/>
    </w:pPr>
    <w:rPr>
      <w:b/>
      <w:bCs/>
    </w:rPr>
  </w:style>
  <w:style w:type="paragraph" w:customStyle="1" w:styleId="HesberWriters">
    <w:name w:val="Hesber Writers"/>
    <w:basedOn w:val="Hesber"/>
    <w:rsid w:val="00FC7C88"/>
    <w:pPr>
      <w:spacing w:before="120" w:after="6000"/>
      <w:ind w:left="1418" w:firstLine="0"/>
      <w:jc w:val="right"/>
    </w:pPr>
    <w:rPr>
      <w:b/>
      <w:bCs/>
    </w:rPr>
  </w:style>
  <w:style w:type="paragraph" w:customStyle="1" w:styleId="Hesber1st">
    <w:name w:val="Hesber 1st"/>
    <w:basedOn w:val="Hesber"/>
    <w:rsid w:val="00FC7C88"/>
    <w:pPr>
      <w:tabs>
        <w:tab w:val="left" w:pos="680"/>
        <w:tab w:val="left" w:pos="1020"/>
      </w:tabs>
      <w:ind w:firstLine="0"/>
    </w:pPr>
  </w:style>
  <w:style w:type="character" w:styleId="a7">
    <w:name w:val="endnote reference"/>
    <w:basedOn w:val="a0"/>
    <w:semiHidden/>
    <w:rsid w:val="00FC7C88"/>
    <w:rPr>
      <w:vertAlign w:val="superscript"/>
    </w:rPr>
  </w:style>
  <w:style w:type="paragraph" w:customStyle="1" w:styleId="TableBlockOutdent">
    <w:name w:val="Table BlockOutdent"/>
    <w:basedOn w:val="TableBlock"/>
    <w:rsid w:val="0003252C"/>
    <w:pPr>
      <w:ind w:left="624" w:hanging="624"/>
    </w:pPr>
  </w:style>
  <w:style w:type="paragraph" w:styleId="a8">
    <w:name w:val="header"/>
    <w:basedOn w:val="a"/>
    <w:rsid w:val="00FC7C88"/>
    <w:pPr>
      <w:tabs>
        <w:tab w:val="center" w:pos="4153"/>
        <w:tab w:val="right" w:pos="8306"/>
      </w:tabs>
    </w:pPr>
  </w:style>
  <w:style w:type="paragraph" w:styleId="a9">
    <w:name w:val="footer"/>
    <w:basedOn w:val="a"/>
    <w:rsid w:val="00FC7C88"/>
    <w:pPr>
      <w:tabs>
        <w:tab w:val="center" w:pos="4153"/>
        <w:tab w:val="right" w:pos="8306"/>
      </w:tabs>
    </w:pPr>
  </w:style>
  <w:style w:type="paragraph" w:customStyle="1" w:styleId="HeadDivreiHesber">
    <w:name w:val="Head DivreiHesber"/>
    <w:basedOn w:val="Ragil"/>
    <w:rsid w:val="00FC7C88"/>
    <w:pPr>
      <w:spacing w:before="360" w:after="120"/>
      <w:ind w:firstLine="0"/>
      <w:jc w:val="center"/>
    </w:pPr>
    <w:rPr>
      <w:b/>
      <w:spacing w:val="40"/>
    </w:rPr>
  </w:style>
  <w:style w:type="paragraph" w:customStyle="1" w:styleId="Ragil">
    <w:name w:val="Ragil"/>
    <w:basedOn w:val="Noparagraphstyle"/>
    <w:rsid w:val="00FC7C88"/>
    <w:pPr>
      <w:ind w:firstLine="340"/>
    </w:pPr>
  </w:style>
  <w:style w:type="character" w:styleId="aa">
    <w:name w:val="page number"/>
    <w:basedOn w:val="a0"/>
    <w:rsid w:val="00CF5BDF"/>
  </w:style>
  <w:style w:type="character" w:customStyle="1" w:styleId="a5">
    <w:name w:val="טקסט הערת שוליים תו"/>
    <w:basedOn w:val="a0"/>
    <w:link w:val="a4"/>
    <w:semiHidden/>
    <w:rsid w:val="0058586B"/>
    <w:rPr>
      <w:rFonts w:ascii="Arial" w:eastAsia="Arial Unicode MS" w:hAnsi="Arial" w:cs="David"/>
      <w:snapToGrid w:val="0"/>
      <w:color w:val="000000"/>
      <w:sz w:val="14"/>
      <w:lang w:eastAsia="ja-JP"/>
    </w:rPr>
  </w:style>
  <w:style w:type="character" w:styleId="ab">
    <w:name w:val="annotation reference"/>
    <w:basedOn w:val="a0"/>
    <w:uiPriority w:val="99"/>
    <w:semiHidden/>
    <w:unhideWhenUsed/>
    <w:rsid w:val="003F0987"/>
    <w:rPr>
      <w:sz w:val="16"/>
      <w:szCs w:val="16"/>
    </w:rPr>
  </w:style>
  <w:style w:type="paragraph" w:styleId="ac">
    <w:name w:val="List Paragraph"/>
    <w:basedOn w:val="a"/>
    <w:uiPriority w:val="34"/>
    <w:qFormat/>
    <w:rsid w:val="00726839"/>
    <w:pPr>
      <w:ind w:left="720"/>
      <w:contextualSpacing/>
    </w:pPr>
  </w:style>
  <w:style w:type="paragraph" w:styleId="ad">
    <w:name w:val="annotation text"/>
    <w:basedOn w:val="a"/>
    <w:link w:val="ae"/>
    <w:uiPriority w:val="99"/>
    <w:semiHidden/>
    <w:unhideWhenUsed/>
    <w:rsid w:val="005630F0"/>
    <w:pPr>
      <w:widowControl/>
      <w:autoSpaceDE/>
      <w:autoSpaceDN/>
      <w:adjustRightInd/>
      <w:spacing w:before="0" w:after="200" w:line="240" w:lineRule="auto"/>
      <w:ind w:firstLine="0"/>
      <w:jc w:val="left"/>
      <w:textAlignment w:val="auto"/>
    </w:pPr>
    <w:rPr>
      <w:rFonts w:asciiTheme="minorHAnsi" w:eastAsiaTheme="minorHAnsi" w:hAnsiTheme="minorHAnsi" w:cstheme="minorBidi"/>
      <w:color w:val="auto"/>
      <w:spacing w:val="0"/>
      <w:sz w:val="20"/>
      <w:szCs w:val="20"/>
      <w:lang w:eastAsia="en-US"/>
    </w:rPr>
  </w:style>
  <w:style w:type="character" w:customStyle="1" w:styleId="ae">
    <w:name w:val="טקסט הערה תו"/>
    <w:basedOn w:val="a0"/>
    <w:link w:val="ad"/>
    <w:uiPriority w:val="99"/>
    <w:semiHidden/>
    <w:rsid w:val="005630F0"/>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Noparagraphstyle"/>
    <w:pPr>
      <w:tabs>
        <w:tab w:val="left" w:pos="1191"/>
        <w:tab w:val="left" w:pos="1587"/>
      </w:tabs>
      <w:spacing w:before="240" w:after="240" w:line="480" w:lineRule="auto"/>
      <w:jc w:val="center"/>
    </w:pPr>
  </w:style>
  <w:style w:type="paragraph" w:customStyle="1" w:styleId="Cover2-HatzaotHok">
    <w:name w:val="Cover 2-HatzaotHok"/>
    <w:basedOn w:val="Cover1-Reshumot"/>
    <w:rPr>
      <w:sz w:val="36"/>
      <w:szCs w:val="52"/>
    </w:rPr>
  </w:style>
  <w:style w:type="paragraph" w:customStyle="1" w:styleId="Cover3-Haknesset">
    <w:name w:val="Cover 3-Haknesset"/>
    <w:basedOn w:val="Cover1-Reshumot"/>
    <w:rPr>
      <w:b/>
      <w:bCs/>
      <w:spacing w:val="60"/>
    </w:rPr>
  </w:style>
  <w:style w:type="paragraph" w:customStyle="1" w:styleId="Cover4-Date">
    <w:name w:val="Cover 4-Date"/>
    <w:basedOn w:val="Noparagraphstyle"/>
    <w:pPr>
      <w:pBdr>
        <w:bottom w:val="single" w:sz="4" w:space="0" w:color="auto"/>
      </w:pBdr>
      <w:tabs>
        <w:tab w:val="center" w:pos="4820"/>
        <w:tab w:val="right" w:pos="9639"/>
      </w:tabs>
      <w:spacing w:before="240" w:after="240"/>
    </w:pPr>
  </w:style>
  <w:style w:type="paragraph" w:customStyle="1" w:styleId="TOC">
    <w:name w:val="TOC"/>
    <w:basedOn w:val="Noparagraphstyle"/>
    <w:pPr>
      <w:tabs>
        <w:tab w:val="left" w:leader="dot" w:pos="8789"/>
      </w:tabs>
      <w:spacing w:before="120"/>
      <w:ind w:left="284" w:right="284"/>
    </w:pPr>
  </w:style>
  <w:style w:type="paragraph" w:customStyle="1" w:styleId="TOCpg">
    <w:name w:val="TOC pg"/>
    <w:basedOn w:val="TOC"/>
    <w:pPr>
      <w:spacing w:after="120"/>
      <w:ind w:right="567"/>
      <w:jc w:val="right"/>
    </w:pPr>
  </w:style>
  <w:style w:type="paragraph" w:customStyle="1" w:styleId="HeadMitparsemetBaze">
    <w:name w:val="Head MitparsemetBaze"/>
    <w:basedOn w:val="Noparagraphstyle"/>
    <w:pPr>
      <w:keepNext/>
      <w:keepLines/>
      <w:pageBreakBefore/>
      <w:spacing w:before="480"/>
      <w:jc w:val="both"/>
    </w:pPr>
    <w:rPr>
      <w:b/>
      <w:bCs/>
    </w:rPr>
  </w:style>
  <w:style w:type="paragraph" w:customStyle="1" w:styleId="HeadHatzaotHok">
    <w:name w:val="Head HatzaotHok"/>
    <w:basedOn w:val="Noparagraphstyle"/>
    <w:pPr>
      <w:keepNext/>
      <w:keepLines/>
      <w:spacing w:before="240"/>
      <w:jc w:val="center"/>
    </w:pPr>
    <w:rPr>
      <w:b/>
      <w:bCs/>
    </w:rPr>
  </w:style>
  <w:style w:type="paragraph" w:customStyle="1" w:styleId="HeadHatzaotHok4Futer">
    <w:name w:val="Head HatzaotHok4Futer"/>
    <w:basedOn w:val="HeadHatzaotHok"/>
    <w:pPr>
      <w:spacing w:before="120" w:after="120"/>
    </w:pPr>
    <w:rPr>
      <w:color w:val="FF0000"/>
      <w:w w:val="80"/>
    </w:rPr>
  </w:style>
  <w:style w:type="paragraph" w:styleId="a3">
    <w:name w:val="endnote text"/>
    <w:basedOn w:val="Ragil"/>
    <w:semiHidden/>
    <w:pPr>
      <w:ind w:left="227" w:hanging="227"/>
    </w:pPr>
    <w:rPr>
      <w:sz w:val="14"/>
      <w:szCs w:val="22"/>
    </w:rPr>
  </w:style>
  <w:style w:type="paragraph" w:customStyle="1" w:styleId="TableText">
    <w:name w:val="Table Text"/>
    <w:basedOn w:val="Ragil"/>
    <w:pPr>
      <w:keepLines/>
      <w:tabs>
        <w:tab w:val="left" w:pos="624"/>
        <w:tab w:val="left" w:pos="1247"/>
      </w:tabs>
      <w:ind w:right="57" w:firstLine="0"/>
    </w:pPr>
  </w:style>
  <w:style w:type="paragraph" w:customStyle="1" w:styleId="TableSideHeading">
    <w:name w:val="Table SideHeading"/>
    <w:basedOn w:val="TableText"/>
  </w:style>
  <w:style w:type="paragraph" w:customStyle="1" w:styleId="TableBlock">
    <w:name w:val="Table Block"/>
    <w:basedOn w:val="TableText"/>
    <w:pPr>
      <w:ind w:right="0"/>
      <w:jc w:val="both"/>
    </w:pPr>
  </w:style>
  <w:style w:type="paragraph" w:customStyle="1" w:styleId="TableHead">
    <w:name w:val="Table Head"/>
    <w:basedOn w:val="TableText"/>
    <w:pPr>
      <w:ind w:right="0"/>
      <w:jc w:val="center"/>
    </w:pPr>
    <w:rPr>
      <w:b/>
      <w:bCs/>
    </w:rPr>
  </w:style>
  <w:style w:type="paragraph" w:customStyle="1" w:styleId="TableText2">
    <w:name w:val="Table Text2"/>
    <w:basedOn w:val="TableText"/>
  </w:style>
  <w:style w:type="paragraph" w:customStyle="1" w:styleId="TableInnerSideHeading">
    <w:name w:val="Table InnerSideHeading"/>
    <w:basedOn w:val="TableSideHeading"/>
  </w:style>
  <w:style w:type="paragraph" w:customStyle="1" w:styleId="Hesber">
    <w:name w:val="Hesber"/>
    <w:basedOn w:val="Ragil"/>
    <w:pPr>
      <w:jc w:val="both"/>
    </w:pPr>
  </w:style>
  <w:style w:type="paragraph" w:styleId="a4">
    <w:name w:val="footnote text"/>
    <w:basedOn w:val="Ragil"/>
    <w:link w:val="a5"/>
    <w:autoRedefine/>
    <w:semiHidden/>
    <w:rsid w:val="00644940"/>
    <w:pPr>
      <w:spacing w:line="240" w:lineRule="auto"/>
      <w:ind w:left="227" w:hanging="227"/>
    </w:pPr>
    <w:rPr>
      <w:sz w:val="14"/>
      <w:szCs w:val="20"/>
    </w:rPr>
  </w:style>
  <w:style w:type="character" w:styleId="a6">
    <w:name w:val="footnote reference"/>
    <w:basedOn w:val="a0"/>
    <w:semiHidden/>
    <w:rPr>
      <w:vertAlign w:val="superscript"/>
    </w:rPr>
  </w:style>
  <w:style w:type="paragraph" w:customStyle="1" w:styleId="HesberHeading">
    <w:name w:val="Hesber Heading"/>
    <w:basedOn w:val="Hesber"/>
    <w:pPr>
      <w:keepNext/>
      <w:keepLines/>
      <w:spacing w:before="240"/>
      <w:ind w:firstLine="0"/>
    </w:pPr>
    <w:rPr>
      <w:b/>
      <w:bCs/>
    </w:rPr>
  </w:style>
  <w:style w:type="paragraph" w:customStyle="1" w:styleId="HesberWriters">
    <w:name w:val="Hesber Writers"/>
    <w:basedOn w:val="Hesber"/>
    <w:pPr>
      <w:spacing w:before="120" w:after="6000"/>
      <w:ind w:left="1418" w:firstLine="0"/>
      <w:jc w:val="right"/>
    </w:pPr>
    <w:rPr>
      <w:b/>
      <w:bCs/>
    </w:rPr>
  </w:style>
  <w:style w:type="paragraph" w:customStyle="1" w:styleId="Hesber1st">
    <w:name w:val="Hesber 1st"/>
    <w:basedOn w:val="Hesber"/>
    <w:pPr>
      <w:tabs>
        <w:tab w:val="left" w:pos="680"/>
        <w:tab w:val="left" w:pos="1020"/>
      </w:tabs>
      <w:ind w:firstLine="0"/>
    </w:pPr>
  </w:style>
  <w:style w:type="character" w:styleId="a7">
    <w:name w:val="endnote reference"/>
    <w:basedOn w:val="a0"/>
    <w:semiHidden/>
    <w:rPr>
      <w:vertAlign w:val="superscript"/>
    </w:rPr>
  </w:style>
  <w:style w:type="paragraph" w:customStyle="1" w:styleId="TableBlockOutdent">
    <w:name w:val="Table BlockOutdent"/>
    <w:basedOn w:val="TableBlock"/>
    <w:rsid w:val="0003252C"/>
    <w:pPr>
      <w:ind w:left="624" w:hanging="624"/>
    </w:pPr>
  </w:style>
  <w:style w:type="paragraph" w:styleId="a8">
    <w:name w:val="header"/>
    <w:basedOn w:val="a"/>
    <w:pPr>
      <w:tabs>
        <w:tab w:val="center" w:pos="4153"/>
        <w:tab w:val="right" w:pos="8306"/>
      </w:tabs>
    </w:pPr>
  </w:style>
  <w:style w:type="paragraph" w:styleId="a9">
    <w:name w:val="footer"/>
    <w:basedOn w:val="a"/>
    <w:pPr>
      <w:tabs>
        <w:tab w:val="center" w:pos="4153"/>
        <w:tab w:val="right" w:pos="8306"/>
      </w:tabs>
    </w:pPr>
  </w:style>
  <w:style w:type="paragraph" w:customStyle="1" w:styleId="HeadDivreiHesber">
    <w:name w:val="Head DivreiHesber"/>
    <w:basedOn w:val="Ragil"/>
    <w:pPr>
      <w:spacing w:before="360" w:after="120"/>
      <w:ind w:firstLine="0"/>
      <w:jc w:val="center"/>
    </w:pPr>
    <w:rPr>
      <w:b/>
      <w:spacing w:val="40"/>
    </w:rPr>
  </w:style>
  <w:style w:type="paragraph" w:customStyle="1" w:styleId="Ragil">
    <w:name w:val="Ragil"/>
    <w:basedOn w:val="Noparagraphstyle"/>
    <w:pPr>
      <w:ind w:firstLine="340"/>
    </w:pPr>
  </w:style>
  <w:style w:type="character" w:styleId="aa">
    <w:name w:val="page number"/>
    <w:basedOn w:val="a0"/>
    <w:rsid w:val="00CF5BDF"/>
  </w:style>
  <w:style w:type="character" w:customStyle="1" w:styleId="a5">
    <w:name w:val="טקסט הערת שוליים תו"/>
    <w:basedOn w:val="a0"/>
    <w:link w:val="a4"/>
    <w:semiHidden/>
    <w:rsid w:val="0058586B"/>
    <w:rPr>
      <w:rFonts w:ascii="Arial" w:eastAsia="Arial Unicode MS" w:hAnsi="Arial" w:cs="David"/>
      <w:snapToGrid w:val="0"/>
      <w:color w:val="000000"/>
      <w:sz w:val="14"/>
      <w:lang w:eastAsia="ja-JP"/>
    </w:rPr>
  </w:style>
  <w:style w:type="character" w:styleId="ab">
    <w:name w:val="annotation reference"/>
    <w:basedOn w:val="a0"/>
    <w:uiPriority w:val="99"/>
    <w:semiHidden/>
    <w:unhideWhenUsed/>
    <w:rsid w:val="003F0987"/>
    <w:rPr>
      <w:sz w:val="16"/>
      <w:szCs w:val="16"/>
    </w:rPr>
  </w:style>
  <w:style w:type="paragraph" w:styleId="ac">
    <w:name w:val="List Paragraph"/>
    <w:basedOn w:val="a"/>
    <w:uiPriority w:val="34"/>
    <w:qFormat/>
    <w:rsid w:val="00726839"/>
    <w:pPr>
      <w:ind w:left="720"/>
      <w:contextualSpacing/>
    </w:pPr>
  </w:style>
  <w:style w:type="paragraph" w:styleId="ad">
    <w:name w:val="annotation text"/>
    <w:basedOn w:val="a"/>
    <w:link w:val="ae"/>
    <w:uiPriority w:val="99"/>
    <w:semiHidden/>
    <w:unhideWhenUsed/>
    <w:rsid w:val="005630F0"/>
    <w:pPr>
      <w:widowControl/>
      <w:autoSpaceDE/>
      <w:autoSpaceDN/>
      <w:adjustRightInd/>
      <w:spacing w:before="0" w:after="200" w:line="240" w:lineRule="auto"/>
      <w:ind w:firstLine="0"/>
      <w:jc w:val="left"/>
      <w:textAlignment w:val="auto"/>
    </w:pPr>
    <w:rPr>
      <w:rFonts w:asciiTheme="minorHAnsi" w:eastAsiaTheme="minorHAnsi" w:hAnsiTheme="minorHAnsi" w:cstheme="minorBidi"/>
      <w:color w:val="auto"/>
      <w:spacing w:val="0"/>
      <w:sz w:val="20"/>
      <w:szCs w:val="20"/>
      <w:lang w:eastAsia="en-US"/>
    </w:rPr>
  </w:style>
  <w:style w:type="character" w:customStyle="1" w:styleId="ae">
    <w:name w:val="טקסט הערה תו"/>
    <w:basedOn w:val="a0"/>
    <w:link w:val="ad"/>
    <w:uiPriority w:val="99"/>
    <w:semiHidden/>
    <w:rsid w:val="005630F0"/>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349380526">
      <w:bodyDiv w:val="1"/>
      <w:marLeft w:val="0"/>
      <w:marRight w:val="0"/>
      <w:marTop w:val="0"/>
      <w:marBottom w:val="0"/>
      <w:divBdr>
        <w:top w:val="none" w:sz="0" w:space="0" w:color="auto"/>
        <w:left w:val="none" w:sz="0" w:space="0" w:color="auto"/>
        <w:bottom w:val="none" w:sz="0" w:space="0" w:color="auto"/>
        <w:right w:val="none" w:sz="0" w:space="0" w:color="auto"/>
      </w:divBdr>
    </w:div>
    <w:div w:id="438716261">
      <w:bodyDiv w:val="1"/>
      <w:marLeft w:val="0"/>
      <w:marRight w:val="0"/>
      <w:marTop w:val="0"/>
      <w:marBottom w:val="0"/>
      <w:divBdr>
        <w:top w:val="none" w:sz="0" w:space="0" w:color="auto"/>
        <w:left w:val="none" w:sz="0" w:space="0" w:color="auto"/>
        <w:bottom w:val="none" w:sz="0" w:space="0" w:color="auto"/>
        <w:right w:val="none" w:sz="0" w:space="0" w:color="auto"/>
      </w:divBdr>
    </w:div>
    <w:div w:id="152142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fNumber xmlns="d2589617-2f74-4077-aee7-f516ed639388">42355</RefNumber>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F3ECB-0B77-48CD-BCD3-21FFEC8CA22A}">
  <ds:schemaRefs>
    <ds:schemaRef ds:uri="http://schemas.microsoft.com/office/2006/metadata/properties"/>
    <ds:schemaRef ds:uri="d2589617-2f74-4077-aee7-f516ed639388"/>
  </ds:schemaRefs>
</ds:datastoreItem>
</file>

<file path=customXml/itemProps2.xml><?xml version="1.0" encoding="utf-8"?>
<ds:datastoreItem xmlns:ds="http://schemas.openxmlformats.org/officeDocument/2006/customXml" ds:itemID="{9012EF92-0379-4310-8D93-96CC47872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FD5F98-10D0-463A-BCDB-CC49382E1556}">
  <ds:schemaRefs>
    <ds:schemaRef ds:uri="http://schemas.microsoft.com/sharepoint/v3/contenttype/forms"/>
  </ds:schemaRefs>
</ds:datastoreItem>
</file>

<file path=customXml/itemProps4.xml><?xml version="1.0" encoding="utf-8"?>
<ds:datastoreItem xmlns:ds="http://schemas.openxmlformats.org/officeDocument/2006/customXml" ds:itemID="{33090DD9-B9A0-4982-A90D-D463444F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4981</Words>
  <Characters>24907</Characters>
  <Application>Microsoft Office Word</Application>
  <DocSecurity>0</DocSecurity>
  <Lines>207</Lines>
  <Paragraphs>59</Paragraphs>
  <ScaleCrop>false</ScaleCrop>
  <HeadingPairs>
    <vt:vector size="2" baseType="variant">
      <vt:variant>
        <vt:lpstr>שם</vt:lpstr>
      </vt:variant>
      <vt:variant>
        <vt:i4>1</vt:i4>
      </vt:variant>
    </vt:vector>
  </HeadingPairs>
  <TitlesOfParts>
    <vt:vector size="1" baseType="lpstr">
      <vt:lpstr>רשומות</vt:lpstr>
    </vt:vector>
  </TitlesOfParts>
  <Company>MOF</Company>
  <LinksUpToDate>false</LinksUpToDate>
  <CharactersWithSpaces>29829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לטלי תזכיר 2.docx</dc:title>
  <dc:creator>xxkeren</dc:creator>
  <cp:lastModifiedBy>verah</cp:lastModifiedBy>
  <cp:revision>2</cp:revision>
  <cp:lastPrinted>2015-06-23T15:56:00Z</cp:lastPrinted>
  <dcterms:created xsi:type="dcterms:W3CDTF">2015-07-01T11:26:00Z</dcterms:created>
  <dcterms:modified xsi:type="dcterms:W3CDTF">2015-07-01T11:26:00Z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