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2A" w:rsidRPr="008B712A" w:rsidRDefault="008B712A" w:rsidP="008B712A">
      <w:pPr>
        <w:jc w:val="center"/>
        <w:rPr>
          <w:rFonts w:cs="David"/>
          <w:b/>
          <w:bCs/>
          <w:sz w:val="28"/>
          <w:szCs w:val="28"/>
          <w:u w:val="single"/>
          <w:rtl/>
        </w:rPr>
      </w:pPr>
      <w:r w:rsidRPr="008B712A">
        <w:rPr>
          <w:rFonts w:cs="David" w:hint="cs"/>
          <w:b/>
          <w:bCs/>
          <w:sz w:val="28"/>
          <w:szCs w:val="28"/>
          <w:u w:val="single"/>
          <w:rtl/>
        </w:rPr>
        <w:t xml:space="preserve">סיום יחסי מפיץ </w:t>
      </w:r>
      <w:r w:rsidRPr="008B712A">
        <w:rPr>
          <w:rFonts w:cs="David"/>
          <w:b/>
          <w:bCs/>
          <w:sz w:val="28"/>
          <w:szCs w:val="28"/>
          <w:u w:val="single"/>
          <w:rtl/>
        </w:rPr>
        <w:t>–</w:t>
      </w:r>
      <w:r w:rsidRPr="008B712A">
        <w:rPr>
          <w:rFonts w:cs="David" w:hint="cs"/>
          <w:b/>
          <w:bCs/>
          <w:sz w:val="28"/>
          <w:szCs w:val="28"/>
          <w:u w:val="single"/>
          <w:rtl/>
        </w:rPr>
        <w:t xml:space="preserve"> ספק בלא הודעה מוקדמת</w:t>
      </w:r>
    </w:p>
    <w:p w:rsidR="00E97A10" w:rsidRPr="008B712A" w:rsidRDefault="008B712A" w:rsidP="008B712A">
      <w:pPr>
        <w:jc w:val="center"/>
        <w:rPr>
          <w:rFonts w:cs="David"/>
          <w:b/>
          <w:bCs/>
          <w:u w:val="single"/>
          <w:rtl/>
        </w:rPr>
      </w:pPr>
      <w:r w:rsidRPr="008B712A">
        <w:rPr>
          <w:rFonts w:cs="David" w:hint="cs"/>
          <w:b/>
          <w:bCs/>
          <w:sz w:val="28"/>
          <w:szCs w:val="28"/>
          <w:u w:val="single"/>
          <w:rtl/>
        </w:rPr>
        <w:t>קריאה להכנת הצעת חוק להסדרת זכויות מפיצים וספקים</w:t>
      </w:r>
      <w:r w:rsidR="004C6723">
        <w:rPr>
          <w:rFonts w:cs="David" w:hint="cs"/>
          <w:b/>
          <w:bCs/>
          <w:u w:val="single"/>
          <w:rtl/>
        </w:rPr>
        <w:t xml:space="preserve"> </w:t>
      </w:r>
    </w:p>
    <w:p w:rsidR="00E55067" w:rsidRPr="008B712A" w:rsidRDefault="00E55067" w:rsidP="008B712A">
      <w:pPr>
        <w:jc w:val="center"/>
        <w:rPr>
          <w:rFonts w:ascii="Arial" w:hAnsi="Arial" w:cs="David"/>
          <w:b/>
          <w:bCs/>
          <w:color w:val="1F497D"/>
          <w:sz w:val="28"/>
          <w:szCs w:val="28"/>
          <w:rtl/>
        </w:rPr>
      </w:pPr>
      <w:r w:rsidRPr="008B712A">
        <w:rPr>
          <w:rFonts w:cs="David" w:hint="cs"/>
          <w:b/>
          <w:bCs/>
          <w:sz w:val="28"/>
          <w:szCs w:val="28"/>
          <w:rtl/>
        </w:rPr>
        <w:t>מאת עו"ד רונן סטי</w:t>
      </w:r>
      <w:r w:rsidR="008B712A">
        <w:rPr>
          <w:rFonts w:cs="David" w:hint="cs"/>
          <w:b/>
          <w:bCs/>
          <w:sz w:val="28"/>
          <w:szCs w:val="28"/>
          <w:rtl/>
        </w:rPr>
        <w:t xml:space="preserve">, חבר ועדת הבוררות ויישוב סכסוכים העולמית של ה </w:t>
      </w:r>
      <w:r w:rsidR="008B712A">
        <w:rPr>
          <w:rFonts w:cs="David"/>
          <w:b/>
          <w:bCs/>
          <w:sz w:val="28"/>
          <w:szCs w:val="28"/>
          <w:rtl/>
        </w:rPr>
        <w:t>–</w:t>
      </w:r>
      <w:r w:rsidR="008B712A">
        <w:rPr>
          <w:rFonts w:cs="David" w:hint="cs"/>
          <w:b/>
          <w:bCs/>
          <w:sz w:val="28"/>
          <w:szCs w:val="28"/>
          <w:rtl/>
        </w:rPr>
        <w:t xml:space="preserve"> </w:t>
      </w:r>
      <w:r w:rsidR="008B712A">
        <w:rPr>
          <w:rFonts w:cs="David" w:hint="cs"/>
          <w:b/>
          <w:bCs/>
          <w:sz w:val="28"/>
          <w:szCs w:val="28"/>
        </w:rPr>
        <w:t>ICC</w:t>
      </w:r>
      <w:r w:rsidR="008B712A">
        <w:rPr>
          <w:rFonts w:cs="David" w:hint="cs"/>
          <w:b/>
          <w:bCs/>
          <w:sz w:val="28"/>
          <w:szCs w:val="28"/>
          <w:rtl/>
        </w:rPr>
        <w:t xml:space="preserve"> </w:t>
      </w:r>
      <w:r w:rsidRPr="008B712A">
        <w:rPr>
          <w:rFonts w:cs="David" w:hint="cs"/>
          <w:b/>
          <w:bCs/>
          <w:sz w:val="28"/>
          <w:szCs w:val="28"/>
          <w:rtl/>
        </w:rPr>
        <w:t xml:space="preserve"> ועו"ד לירן ינקוביץ</w:t>
      </w:r>
      <w:r w:rsidR="0082043D" w:rsidRPr="008B712A">
        <w:rPr>
          <w:rFonts w:ascii="Arial" w:hAnsi="Arial" w:cs="David" w:hint="cs"/>
          <w:b/>
          <w:bCs/>
          <w:sz w:val="28"/>
          <w:szCs w:val="28"/>
          <w:rtl/>
        </w:rPr>
        <w:t>, רונן סטי ושות' משרד עו"ד</w:t>
      </w:r>
    </w:p>
    <w:p w:rsidR="0082043D" w:rsidRPr="008B712A" w:rsidRDefault="0082043D" w:rsidP="00C455D8">
      <w:pPr>
        <w:ind w:left="2160" w:firstLine="720"/>
        <w:rPr>
          <w:rFonts w:ascii="Arial" w:hAnsi="Arial" w:cs="David"/>
          <w:b/>
          <w:bCs/>
          <w:sz w:val="28"/>
          <w:szCs w:val="28"/>
          <w:rtl/>
        </w:rPr>
      </w:pPr>
      <w:r w:rsidRPr="008B712A">
        <w:rPr>
          <w:rFonts w:ascii="Arial" w:hAnsi="Arial" w:cs="David" w:hint="cs"/>
          <w:b/>
          <w:bCs/>
          <w:sz w:val="28"/>
          <w:szCs w:val="28"/>
          <w:rtl/>
        </w:rPr>
        <w:t>בוררות ויישוב סכסוכים</w:t>
      </w:r>
      <w:r w:rsidR="00C455D8" w:rsidRPr="008B712A">
        <w:rPr>
          <w:rStyle w:val="aa"/>
          <w:rFonts w:ascii="Arial" w:hAnsi="Arial" w:cs="David"/>
          <w:b/>
          <w:bCs/>
          <w:sz w:val="28"/>
          <w:szCs w:val="28"/>
          <w:rtl/>
        </w:rPr>
        <w:footnoteReference w:id="1"/>
      </w:r>
    </w:p>
    <w:p w:rsidR="008B712A" w:rsidRPr="004C6723" w:rsidRDefault="008B712A" w:rsidP="008B712A">
      <w:pPr>
        <w:spacing w:after="0" w:line="360" w:lineRule="auto"/>
        <w:jc w:val="both"/>
        <w:rPr>
          <w:rFonts w:cs="David"/>
          <w:b/>
          <w:bCs/>
          <w:sz w:val="24"/>
          <w:szCs w:val="24"/>
          <w:rtl/>
        </w:rPr>
      </w:pPr>
      <w:r w:rsidRPr="004C6723">
        <w:rPr>
          <w:rFonts w:cs="David" w:hint="cs"/>
          <w:b/>
          <w:bCs/>
          <w:sz w:val="24"/>
          <w:szCs w:val="24"/>
          <w:rtl/>
        </w:rPr>
        <w:t xml:space="preserve">העולם המסחרי והבינלאומי מבוסס בעיקרו על יחסי הפצה עסקיים. כך, סין, ארה"ב ואירופה מרכזים בידיהם את כוחות הייצור ולעומתם מדינות כישראל ודומות לה מפיצות מוצרים רבים בתחומים מגוונים החל ממזון, דרך מוצרי הלבשה וכלה במוצרי מותרות יוקרתיים. יחסי הפצה קיימים רבות גם בתוך ישראל. רבות מרכישות מוצרי המזון ברשתות הפארם והמזון הנם של חברות הפצה. אלא שהמציאות המשפטית מורכבת יותר. אנשי עסקים אינם אמונים על "סגירת הקצוות" וגם אלו ש"סוגרים" הסכמים אינם דואגים לעדכן אותם בהתאם להתפתחויות העסקיות. אלה וגם אלה אינם מסדירים את ה"יום למחרת" סיום הקשר. הפסיקה בישראל קבעה כלל יסוד בדבר חובת מתן הודעה מוקדמת למפיץ טרם ניתוק קשרי ההפצה אלא שגם בכך לא די והנושא מעורר שאלות ומחלוקות עסקיות משפטיות סבוכות המוצאות דרכן לבית המשפט. הגיעה העת, אחר 20 שנה של פסיקות שונות בבתי המשפט להסדיר את סוגיית ההודעה המוקדמת ולא רק אותה בחקיקה ברורה אשר תחסוך התדיינות מיותרת ותעשה סדר בתחום. </w:t>
      </w:r>
      <w:r w:rsidR="004C6723" w:rsidRPr="004C6723">
        <w:rPr>
          <w:rFonts w:cs="David" w:hint="cs"/>
          <w:b/>
          <w:bCs/>
          <w:sz w:val="24"/>
          <w:szCs w:val="24"/>
          <w:rtl/>
        </w:rPr>
        <w:t xml:space="preserve">על כך המאמר שלפנינו. </w:t>
      </w:r>
    </w:p>
    <w:p w:rsidR="008B712A" w:rsidRPr="004C6723" w:rsidRDefault="008B712A" w:rsidP="001E122A">
      <w:pPr>
        <w:spacing w:after="0" w:line="360" w:lineRule="auto"/>
        <w:jc w:val="both"/>
        <w:rPr>
          <w:rFonts w:cs="David"/>
          <w:b/>
          <w:bCs/>
          <w:sz w:val="24"/>
          <w:szCs w:val="24"/>
          <w:rtl/>
        </w:rPr>
      </w:pPr>
    </w:p>
    <w:p w:rsidR="008B712A" w:rsidRPr="009C5D37" w:rsidRDefault="009C5D37" w:rsidP="001E122A">
      <w:pPr>
        <w:spacing w:after="0" w:line="360" w:lineRule="auto"/>
        <w:jc w:val="both"/>
        <w:rPr>
          <w:rFonts w:cs="David"/>
          <w:b/>
          <w:bCs/>
          <w:sz w:val="24"/>
          <w:szCs w:val="24"/>
          <w:u w:val="single"/>
          <w:rtl/>
        </w:rPr>
      </w:pPr>
      <w:r w:rsidRPr="009C5D37">
        <w:rPr>
          <w:rFonts w:cs="David" w:hint="cs"/>
          <w:b/>
          <w:bCs/>
          <w:sz w:val="24"/>
          <w:szCs w:val="24"/>
          <w:u w:val="single"/>
          <w:rtl/>
        </w:rPr>
        <w:t>על הפצה מסחרית ובינלאומית</w:t>
      </w:r>
    </w:p>
    <w:p w:rsidR="00BD5B8B" w:rsidRDefault="00BD5B8B" w:rsidP="001E122A">
      <w:pPr>
        <w:spacing w:after="0" w:line="360" w:lineRule="auto"/>
        <w:jc w:val="both"/>
        <w:rPr>
          <w:rFonts w:cs="David"/>
          <w:sz w:val="24"/>
          <w:szCs w:val="24"/>
          <w:rtl/>
        </w:rPr>
      </w:pPr>
      <w:r>
        <w:rPr>
          <w:rFonts w:cs="David" w:hint="cs"/>
          <w:sz w:val="24"/>
          <w:szCs w:val="24"/>
          <w:rtl/>
        </w:rPr>
        <w:t xml:space="preserve">מדי כמה דקות ברחבי העולם, נחתמים הסכמי הפצה בין ספקים ומפיצים.  </w:t>
      </w:r>
    </w:p>
    <w:p w:rsidR="001E122A" w:rsidRDefault="001E122A" w:rsidP="001E122A">
      <w:pPr>
        <w:spacing w:after="0" w:line="360" w:lineRule="auto"/>
        <w:jc w:val="both"/>
        <w:rPr>
          <w:rFonts w:cs="David"/>
          <w:sz w:val="24"/>
          <w:szCs w:val="24"/>
          <w:rtl/>
        </w:rPr>
      </w:pPr>
    </w:p>
    <w:p w:rsidR="00BD5B8B" w:rsidRDefault="00BD5B8B" w:rsidP="001E122A">
      <w:pPr>
        <w:spacing w:after="0" w:line="360" w:lineRule="auto"/>
        <w:jc w:val="both"/>
        <w:rPr>
          <w:rFonts w:cs="David"/>
          <w:sz w:val="24"/>
          <w:szCs w:val="24"/>
          <w:rtl/>
        </w:rPr>
      </w:pPr>
      <w:r>
        <w:rPr>
          <w:rFonts w:cs="David" w:hint="cs"/>
          <w:sz w:val="24"/>
          <w:szCs w:val="24"/>
          <w:rtl/>
        </w:rPr>
        <w:t xml:space="preserve">אם בעבר נדרש היה להגיע למקום מושבו של הספק או המפיץ בכדי לחתום על ההתקשרות, הרי שכיום משחלו תמורות ניכרות בדרכי ההתקשרות וההתניידות הבינלאומית, המתאפשר בין היתר בקיומם של  </w:t>
      </w:r>
      <w:r>
        <w:rPr>
          <w:rFonts w:cs="David"/>
          <w:sz w:val="24"/>
          <w:szCs w:val="24"/>
        </w:rPr>
        <w:t>VIDEO CONFER</w:t>
      </w:r>
      <w:r w:rsidR="00F73B68">
        <w:rPr>
          <w:rFonts w:cs="David"/>
          <w:sz w:val="24"/>
          <w:szCs w:val="24"/>
        </w:rPr>
        <w:t>E</w:t>
      </w:r>
      <w:r>
        <w:rPr>
          <w:rFonts w:cs="David"/>
          <w:sz w:val="24"/>
          <w:szCs w:val="24"/>
        </w:rPr>
        <w:t>NCES</w:t>
      </w:r>
      <w:r>
        <w:rPr>
          <w:rFonts w:cs="David" w:hint="cs"/>
          <w:sz w:val="24"/>
          <w:szCs w:val="24"/>
          <w:rtl/>
        </w:rPr>
        <w:t>, דואר א</w:t>
      </w:r>
      <w:r w:rsidR="00100DFB">
        <w:rPr>
          <w:rFonts w:cs="David" w:hint="cs"/>
          <w:sz w:val="24"/>
          <w:szCs w:val="24"/>
          <w:rtl/>
        </w:rPr>
        <w:t xml:space="preserve">לקטרוני, רשתות </w:t>
      </w:r>
      <w:r w:rsidR="00C7052A">
        <w:rPr>
          <w:rFonts w:cs="David" w:hint="cs"/>
          <w:sz w:val="24"/>
          <w:szCs w:val="24"/>
          <w:rtl/>
        </w:rPr>
        <w:t xml:space="preserve">חברתיות וכו', </w:t>
      </w:r>
      <w:r>
        <w:rPr>
          <w:rFonts w:cs="David" w:hint="cs"/>
          <w:sz w:val="24"/>
          <w:szCs w:val="24"/>
          <w:rtl/>
        </w:rPr>
        <w:t>הפך עולמנו ל"כפר גלובלי אחד", ולדבר השלכות ברורות על עולם הסחר הבינלאומי</w:t>
      </w:r>
      <w:r w:rsidR="00100DFB">
        <w:rPr>
          <w:rFonts w:cs="David" w:hint="cs"/>
          <w:sz w:val="24"/>
          <w:szCs w:val="24"/>
          <w:rtl/>
        </w:rPr>
        <w:t xml:space="preserve"> והמשפט</w:t>
      </w:r>
      <w:r>
        <w:rPr>
          <w:rFonts w:cs="David" w:hint="cs"/>
          <w:sz w:val="24"/>
          <w:szCs w:val="24"/>
          <w:rtl/>
        </w:rPr>
        <w:t>.</w:t>
      </w:r>
    </w:p>
    <w:p w:rsidR="001E122A" w:rsidRDefault="001E122A" w:rsidP="001E122A">
      <w:pPr>
        <w:spacing w:after="0" w:line="360" w:lineRule="auto"/>
        <w:jc w:val="both"/>
        <w:rPr>
          <w:rFonts w:cs="David"/>
          <w:sz w:val="24"/>
          <w:szCs w:val="24"/>
          <w:rtl/>
        </w:rPr>
      </w:pPr>
    </w:p>
    <w:p w:rsidR="00C05EA4" w:rsidRDefault="00BD5B8B" w:rsidP="001E122A">
      <w:pPr>
        <w:spacing w:after="0" w:line="360" w:lineRule="auto"/>
        <w:jc w:val="both"/>
        <w:rPr>
          <w:rFonts w:cs="David"/>
          <w:sz w:val="24"/>
          <w:szCs w:val="24"/>
          <w:rtl/>
        </w:rPr>
      </w:pPr>
      <w:r>
        <w:rPr>
          <w:rFonts w:cs="David" w:hint="cs"/>
          <w:sz w:val="24"/>
          <w:szCs w:val="24"/>
          <w:rtl/>
        </w:rPr>
        <w:t>מטבע הדברים, עולה השאלה כיצד ניתן להבטיח ולעגן זכויותיהם של הצדדים</w:t>
      </w:r>
      <w:r w:rsidR="00616E63">
        <w:rPr>
          <w:rFonts w:cs="David" w:hint="cs"/>
          <w:sz w:val="24"/>
          <w:szCs w:val="24"/>
          <w:rtl/>
        </w:rPr>
        <w:t xml:space="preserve"> בהסכם הפצה מוסדר</w:t>
      </w:r>
      <w:r>
        <w:rPr>
          <w:rFonts w:cs="David" w:hint="cs"/>
          <w:sz w:val="24"/>
          <w:szCs w:val="24"/>
          <w:rtl/>
        </w:rPr>
        <w:t>, במטרה לשמור</w:t>
      </w:r>
      <w:r w:rsidR="002D3051">
        <w:rPr>
          <w:rFonts w:cs="David" w:hint="cs"/>
          <w:sz w:val="24"/>
          <w:szCs w:val="24"/>
          <w:rtl/>
        </w:rPr>
        <w:t xml:space="preserve"> עד כמה שניתן</w:t>
      </w:r>
      <w:r>
        <w:rPr>
          <w:rFonts w:cs="David" w:hint="cs"/>
          <w:sz w:val="24"/>
          <w:szCs w:val="24"/>
          <w:rtl/>
        </w:rPr>
        <w:t xml:space="preserve"> על יחסי עבודה הרמוניים</w:t>
      </w:r>
      <w:r w:rsidR="002D3051">
        <w:rPr>
          <w:rFonts w:cs="David" w:hint="cs"/>
          <w:sz w:val="24"/>
          <w:szCs w:val="24"/>
          <w:rtl/>
        </w:rPr>
        <w:t xml:space="preserve"> ותקינים ולהביאם למצב שבו ישמשו הצדדים "שחקנים חוזרים" האחד לשני</w:t>
      </w:r>
      <w:r w:rsidR="00C05EA4">
        <w:rPr>
          <w:rFonts w:cs="David" w:hint="cs"/>
          <w:sz w:val="24"/>
          <w:szCs w:val="24"/>
          <w:rtl/>
        </w:rPr>
        <w:t xml:space="preserve">. </w:t>
      </w:r>
    </w:p>
    <w:p w:rsidR="001E122A" w:rsidRDefault="001E122A" w:rsidP="001E122A">
      <w:pPr>
        <w:spacing w:after="0" w:line="360" w:lineRule="auto"/>
        <w:jc w:val="both"/>
        <w:rPr>
          <w:rFonts w:cs="David"/>
          <w:sz w:val="24"/>
          <w:szCs w:val="24"/>
          <w:rtl/>
        </w:rPr>
      </w:pPr>
    </w:p>
    <w:p w:rsidR="00616E63" w:rsidRDefault="00616E63" w:rsidP="001E122A">
      <w:pPr>
        <w:spacing w:after="0" w:line="360" w:lineRule="auto"/>
        <w:jc w:val="both"/>
        <w:rPr>
          <w:rFonts w:cs="David"/>
          <w:sz w:val="24"/>
          <w:szCs w:val="24"/>
          <w:rtl/>
        </w:rPr>
      </w:pPr>
      <w:r>
        <w:rPr>
          <w:rFonts w:cs="David" w:hint="cs"/>
          <w:sz w:val="24"/>
          <w:szCs w:val="24"/>
          <w:rtl/>
        </w:rPr>
        <w:t>מרבית הסכמי ההפצה</w:t>
      </w:r>
      <w:r w:rsidR="00C7052A">
        <w:rPr>
          <w:rFonts w:cs="David" w:hint="cs"/>
          <w:sz w:val="24"/>
          <w:szCs w:val="24"/>
          <w:rtl/>
        </w:rPr>
        <w:t xml:space="preserve"> אגב </w:t>
      </w:r>
      <w:r>
        <w:rPr>
          <w:rFonts w:cs="David" w:hint="cs"/>
          <w:sz w:val="24"/>
          <w:szCs w:val="24"/>
          <w:rtl/>
        </w:rPr>
        <w:t>נעשים בעל פה</w:t>
      </w:r>
      <w:r w:rsidR="002D3051">
        <w:rPr>
          <w:rFonts w:cs="David" w:hint="cs"/>
          <w:sz w:val="24"/>
          <w:szCs w:val="24"/>
          <w:rtl/>
        </w:rPr>
        <w:t xml:space="preserve"> או באמצעות חילופי תכתובות דואר אלקטרוני בין הצדדים</w:t>
      </w:r>
      <w:r w:rsidR="00C05EA4">
        <w:rPr>
          <w:rFonts w:cs="David" w:hint="cs"/>
          <w:sz w:val="24"/>
          <w:szCs w:val="24"/>
          <w:rtl/>
        </w:rPr>
        <w:t xml:space="preserve"> ולאו דווקא באמצעות הסדרים וחוזים בכתב. זו גם אחת הסיבות הנפוצות ביותר </w:t>
      </w:r>
      <w:r w:rsidR="00C05EA4">
        <w:rPr>
          <w:rFonts w:cs="David" w:hint="cs"/>
          <w:sz w:val="24"/>
          <w:szCs w:val="24"/>
          <w:rtl/>
        </w:rPr>
        <w:lastRenderedPageBreak/>
        <w:t>לקיומם של סכסוכים רבים המתגלעים תוך כדי תנועה בין הצדדים ו</w:t>
      </w:r>
      <w:r>
        <w:rPr>
          <w:rFonts w:cs="David" w:hint="cs"/>
          <w:sz w:val="24"/>
          <w:szCs w:val="24"/>
          <w:rtl/>
        </w:rPr>
        <w:t xml:space="preserve">מונחים לפתחם של בתי המשפט. </w:t>
      </w:r>
    </w:p>
    <w:p w:rsidR="001E122A" w:rsidRDefault="001E122A" w:rsidP="001E122A">
      <w:pPr>
        <w:spacing w:after="0" w:line="360" w:lineRule="auto"/>
        <w:jc w:val="both"/>
        <w:rPr>
          <w:rFonts w:cs="David"/>
          <w:sz w:val="24"/>
          <w:szCs w:val="24"/>
          <w:rtl/>
        </w:rPr>
      </w:pPr>
    </w:p>
    <w:p w:rsidR="00C7052A" w:rsidRDefault="00C05EA4" w:rsidP="001E122A">
      <w:pPr>
        <w:spacing w:after="0" w:line="360" w:lineRule="auto"/>
        <w:jc w:val="both"/>
        <w:rPr>
          <w:rFonts w:cs="David"/>
          <w:sz w:val="24"/>
          <w:szCs w:val="24"/>
          <w:rtl/>
        </w:rPr>
      </w:pPr>
      <w:r>
        <w:rPr>
          <w:rFonts w:cs="David" w:hint="cs"/>
          <w:sz w:val="24"/>
          <w:szCs w:val="24"/>
          <w:rtl/>
        </w:rPr>
        <w:t>לדעתנו</w:t>
      </w:r>
      <w:r w:rsidR="00616E63">
        <w:rPr>
          <w:rFonts w:cs="David" w:hint="cs"/>
          <w:sz w:val="24"/>
          <w:szCs w:val="24"/>
          <w:rtl/>
        </w:rPr>
        <w:t>,</w:t>
      </w:r>
      <w:r>
        <w:rPr>
          <w:rFonts w:cs="David" w:hint="cs"/>
          <w:sz w:val="24"/>
          <w:szCs w:val="24"/>
          <w:rtl/>
        </w:rPr>
        <w:t xml:space="preserve"> באמצעות הבנייה נכונה </w:t>
      </w:r>
      <w:r w:rsidR="00616E63">
        <w:rPr>
          <w:rFonts w:cs="David" w:hint="cs"/>
          <w:sz w:val="24"/>
          <w:szCs w:val="24"/>
          <w:rtl/>
        </w:rPr>
        <w:t xml:space="preserve">ומושכלת </w:t>
      </w:r>
      <w:r>
        <w:rPr>
          <w:rFonts w:cs="David" w:hint="cs"/>
          <w:sz w:val="24"/>
          <w:szCs w:val="24"/>
          <w:rtl/>
        </w:rPr>
        <w:t xml:space="preserve">של </w:t>
      </w:r>
      <w:r w:rsidR="00B01E82">
        <w:rPr>
          <w:rFonts w:cs="David" w:hint="cs"/>
          <w:sz w:val="24"/>
          <w:szCs w:val="24"/>
          <w:rtl/>
        </w:rPr>
        <w:t>תניות שיפוט ו</w:t>
      </w:r>
      <w:r>
        <w:rPr>
          <w:rFonts w:cs="David" w:hint="cs"/>
          <w:sz w:val="24"/>
          <w:szCs w:val="24"/>
          <w:rtl/>
        </w:rPr>
        <w:t>מנגנוני יישוב סכסוכים,</w:t>
      </w:r>
      <w:r w:rsidR="00E55067">
        <w:rPr>
          <w:rFonts w:cs="David" w:hint="cs"/>
          <w:sz w:val="24"/>
          <w:szCs w:val="24"/>
          <w:rtl/>
        </w:rPr>
        <w:t xml:space="preserve"> ובכלל זה תניות גישור, בוררו</w:t>
      </w:r>
      <w:r w:rsidR="00C7052A">
        <w:rPr>
          <w:rFonts w:cs="David" w:hint="cs"/>
          <w:sz w:val="24"/>
          <w:szCs w:val="24"/>
          <w:rtl/>
        </w:rPr>
        <w:t>ת ומשאים-מתנים מתקדמים,</w:t>
      </w:r>
      <w:r w:rsidR="00616E63">
        <w:rPr>
          <w:rFonts w:cs="David" w:hint="cs"/>
          <w:sz w:val="24"/>
          <w:szCs w:val="24"/>
          <w:rtl/>
        </w:rPr>
        <w:t xml:space="preserve"> בנקל ניתן היה להימנע מתופעות מצערות אלו.</w:t>
      </w:r>
    </w:p>
    <w:p w:rsidR="00C455D8" w:rsidRDefault="00C455D8" w:rsidP="001E122A">
      <w:pPr>
        <w:spacing w:after="0" w:line="360" w:lineRule="auto"/>
        <w:jc w:val="both"/>
        <w:rPr>
          <w:rFonts w:cs="David"/>
          <w:sz w:val="24"/>
          <w:szCs w:val="24"/>
          <w:rtl/>
        </w:rPr>
      </w:pPr>
    </w:p>
    <w:p w:rsidR="00C455D8" w:rsidRDefault="00C455D8" w:rsidP="00C455D8">
      <w:pPr>
        <w:spacing w:after="0" w:line="360" w:lineRule="auto"/>
        <w:jc w:val="both"/>
        <w:rPr>
          <w:rFonts w:cs="David"/>
          <w:sz w:val="24"/>
          <w:szCs w:val="24"/>
          <w:rtl/>
        </w:rPr>
      </w:pPr>
      <w:r>
        <w:rPr>
          <w:rFonts w:cs="David" w:hint="cs"/>
          <w:sz w:val="24"/>
          <w:szCs w:val="24"/>
          <w:rtl/>
        </w:rPr>
        <w:t xml:space="preserve">נתון מדהים הוא כי כמעט מחצית מן העבודה, המניעה משאים ומתנים ויישוב סכסוכים בדרכים חלופיות, נעשית טרם כניסת הצדדים להליך מעין זה, במעמד כריתת הסכם ההתקשרות. </w:t>
      </w:r>
    </w:p>
    <w:p w:rsidR="00B83D2F" w:rsidRDefault="00B83D2F" w:rsidP="00C455D8">
      <w:pPr>
        <w:spacing w:after="0" w:line="360" w:lineRule="auto"/>
        <w:jc w:val="both"/>
        <w:rPr>
          <w:rFonts w:cs="David"/>
          <w:sz w:val="24"/>
          <w:szCs w:val="24"/>
          <w:rtl/>
        </w:rPr>
      </w:pPr>
    </w:p>
    <w:p w:rsidR="001E122A" w:rsidRDefault="00C455D8" w:rsidP="00D54129">
      <w:pPr>
        <w:spacing w:after="0" w:line="360" w:lineRule="auto"/>
        <w:jc w:val="both"/>
        <w:rPr>
          <w:rFonts w:cs="David"/>
          <w:sz w:val="24"/>
          <w:szCs w:val="24"/>
          <w:rtl/>
        </w:rPr>
      </w:pPr>
      <w:r>
        <w:rPr>
          <w:rFonts w:cs="David" w:hint="cs"/>
          <w:sz w:val="24"/>
          <w:szCs w:val="24"/>
          <w:rtl/>
        </w:rPr>
        <w:t>שימוש בתמהיל טכניקות נכון, המבוסס על ייעוץ משפטי וליווי מקצועי נכון מרא</w:t>
      </w:r>
      <w:r w:rsidR="000E2189">
        <w:rPr>
          <w:rFonts w:cs="David" w:hint="cs"/>
          <w:sz w:val="24"/>
          <w:szCs w:val="24"/>
          <w:rtl/>
        </w:rPr>
        <w:t>שית הדרך</w:t>
      </w:r>
      <w:r>
        <w:rPr>
          <w:rFonts w:cs="David" w:hint="cs"/>
          <w:sz w:val="24"/>
          <w:szCs w:val="24"/>
          <w:rtl/>
        </w:rPr>
        <w:t xml:space="preserve"> </w:t>
      </w:r>
      <w:r w:rsidR="00B83D2F">
        <w:rPr>
          <w:rFonts w:cs="David" w:hint="cs"/>
          <w:sz w:val="24"/>
          <w:szCs w:val="24"/>
          <w:rtl/>
        </w:rPr>
        <w:t xml:space="preserve"> </w:t>
      </w:r>
      <w:r w:rsidR="000E2189">
        <w:rPr>
          <w:rFonts w:ascii="Arial" w:hAnsi="Arial" w:cs="David" w:hint="cs"/>
          <w:color w:val="000000"/>
          <w:sz w:val="24"/>
          <w:szCs w:val="24"/>
          <w:rtl/>
        </w:rPr>
        <w:t>ו</w:t>
      </w:r>
      <w:r w:rsidR="00B83D2F" w:rsidRPr="00B83D2F">
        <w:rPr>
          <w:rFonts w:ascii="Arial" w:hAnsi="Arial" w:cs="David"/>
          <w:color w:val="000000"/>
          <w:sz w:val="24"/>
          <w:szCs w:val="24"/>
          <w:rtl/>
        </w:rPr>
        <w:t>תכנון מושכל ו</w:t>
      </w:r>
      <w:r w:rsidR="00B83D2F">
        <w:rPr>
          <w:rFonts w:ascii="Arial" w:hAnsi="Arial" w:cs="David" w:hint="cs"/>
          <w:color w:val="000000"/>
          <w:sz w:val="24"/>
          <w:szCs w:val="24"/>
          <w:rtl/>
        </w:rPr>
        <w:t>קפדני</w:t>
      </w:r>
      <w:r w:rsidR="000E2189">
        <w:rPr>
          <w:rFonts w:ascii="Arial" w:hAnsi="Arial" w:cs="David"/>
          <w:color w:val="000000"/>
          <w:sz w:val="24"/>
          <w:szCs w:val="24"/>
          <w:rtl/>
        </w:rPr>
        <w:t xml:space="preserve"> של הליך </w:t>
      </w:r>
      <w:r w:rsidR="00B83D2F" w:rsidRPr="00B83D2F">
        <w:rPr>
          <w:rFonts w:ascii="Arial" w:hAnsi="Arial" w:cs="David"/>
          <w:color w:val="000000"/>
          <w:sz w:val="24"/>
          <w:szCs w:val="24"/>
          <w:rtl/>
        </w:rPr>
        <w:t>בוררות</w:t>
      </w:r>
      <w:r w:rsidR="000E2189">
        <w:rPr>
          <w:rFonts w:ascii="Arial" w:hAnsi="Arial" w:cs="David" w:hint="cs"/>
          <w:color w:val="000000"/>
          <w:sz w:val="24"/>
          <w:szCs w:val="24"/>
          <w:rtl/>
        </w:rPr>
        <w:t xml:space="preserve"> עסקית</w:t>
      </w:r>
      <w:r w:rsidR="00B83D2F" w:rsidRPr="00B83D2F">
        <w:rPr>
          <w:rFonts w:ascii="Arial" w:hAnsi="Arial" w:cs="David"/>
          <w:color w:val="000000"/>
          <w:sz w:val="24"/>
          <w:szCs w:val="24"/>
          <w:rtl/>
        </w:rPr>
        <w:t xml:space="preserve"> מוקדם ככל האפשר</w:t>
      </w:r>
      <w:r w:rsidR="000E2189" w:rsidRPr="000E2189">
        <w:rPr>
          <w:rFonts w:cs="David" w:hint="cs"/>
          <w:sz w:val="24"/>
          <w:szCs w:val="24"/>
          <w:rtl/>
        </w:rPr>
        <w:t xml:space="preserve"> </w:t>
      </w:r>
      <w:r w:rsidR="000E2189">
        <w:rPr>
          <w:rFonts w:cs="David" w:hint="cs"/>
          <w:sz w:val="24"/>
          <w:szCs w:val="24"/>
          <w:rtl/>
        </w:rPr>
        <w:t xml:space="preserve">ובכלל זה </w:t>
      </w:r>
      <w:r w:rsidR="000E2189" w:rsidRPr="00B83D2F">
        <w:rPr>
          <w:rFonts w:ascii="Arial" w:hAnsi="Arial" w:cs="David"/>
          <w:color w:val="000000"/>
          <w:sz w:val="24"/>
          <w:szCs w:val="24"/>
          <w:rtl/>
        </w:rPr>
        <w:t>קביעת סדרי דיון יעילים</w:t>
      </w:r>
      <w:r w:rsidR="000E2189" w:rsidRPr="00B83D2F">
        <w:rPr>
          <w:rFonts w:ascii="Arial" w:hAnsi="Arial" w:cs="David" w:hint="cs"/>
          <w:color w:val="000000"/>
          <w:sz w:val="24"/>
          <w:szCs w:val="24"/>
          <w:rtl/>
        </w:rPr>
        <w:t>,</w:t>
      </w:r>
      <w:r w:rsidR="000E2189" w:rsidRPr="00B83D2F">
        <w:rPr>
          <w:rFonts w:ascii="Arial" w:hAnsi="Arial" w:cs="David"/>
          <w:color w:val="000000"/>
          <w:sz w:val="24"/>
          <w:szCs w:val="24"/>
          <w:rtl/>
        </w:rPr>
        <w:t xml:space="preserve"> </w:t>
      </w:r>
      <w:r w:rsidR="00B83D2F" w:rsidRPr="00B83D2F">
        <w:rPr>
          <w:rFonts w:ascii="Arial" w:hAnsi="Arial" w:cs="David"/>
          <w:color w:val="000000"/>
          <w:sz w:val="24"/>
          <w:szCs w:val="24"/>
          <w:rtl/>
        </w:rPr>
        <w:t xml:space="preserve"> הגשת כתבי טענות בליווי תצהירי אימות הכולל אפשרות השלמה וחוסך עבודה טכנית וכפולה</w:t>
      </w:r>
      <w:r w:rsidR="00B83D2F" w:rsidRPr="00B83D2F">
        <w:rPr>
          <w:rFonts w:ascii="Arial" w:hAnsi="Arial" w:cs="David" w:hint="cs"/>
          <w:color w:val="000000"/>
          <w:sz w:val="24"/>
          <w:szCs w:val="24"/>
          <w:rtl/>
        </w:rPr>
        <w:t>,</w:t>
      </w:r>
      <w:r w:rsidR="00B83D2F" w:rsidRPr="00B83D2F">
        <w:rPr>
          <w:rFonts w:ascii="Arial" w:hAnsi="Arial" w:cs="David"/>
          <w:color w:val="000000"/>
          <w:sz w:val="24"/>
          <w:szCs w:val="24"/>
          <w:rtl/>
        </w:rPr>
        <w:t xml:space="preserve"> ניסוח של המחלוקות בין הצדדים המונע הותרת מחלוקות בלתי פתורות וחוסך זמן יקר; ניהול הליכי הוכחות באופן רצוף, תוך הקצאת הזמן הנדרש</w:t>
      </w:r>
      <w:r w:rsidR="000E2189">
        <w:rPr>
          <w:rFonts w:ascii="Arial" w:hAnsi="Arial" w:cs="David" w:hint="cs"/>
          <w:color w:val="000000"/>
          <w:sz w:val="24"/>
          <w:szCs w:val="24"/>
          <w:rtl/>
        </w:rPr>
        <w:t xml:space="preserve">, יישומה של ערכאת ערעור הסכמית המשולבת בגוף </w:t>
      </w:r>
      <w:r w:rsidR="00D54129">
        <w:rPr>
          <w:rFonts w:ascii="Arial" w:hAnsi="Arial" w:cs="David" w:hint="cs"/>
          <w:color w:val="000000"/>
          <w:sz w:val="24"/>
          <w:szCs w:val="24"/>
          <w:rtl/>
        </w:rPr>
        <w:t>הסכם הבוררות</w:t>
      </w:r>
      <w:r w:rsidR="00B83D2F">
        <w:rPr>
          <w:rFonts w:ascii="Arial" w:hAnsi="Arial" w:cs="David" w:hint="cs"/>
          <w:color w:val="000000"/>
          <w:sz w:val="24"/>
          <w:szCs w:val="24"/>
          <w:rtl/>
        </w:rPr>
        <w:t xml:space="preserve">. יישום </w:t>
      </w:r>
      <w:r w:rsidR="00D54129">
        <w:rPr>
          <w:rFonts w:ascii="Arial" w:hAnsi="Arial" w:cs="David" w:hint="cs"/>
          <w:color w:val="000000"/>
          <w:sz w:val="24"/>
          <w:szCs w:val="24"/>
          <w:rtl/>
        </w:rPr>
        <w:t>תמהיל זה</w:t>
      </w:r>
      <w:r w:rsidR="00B83D2F">
        <w:rPr>
          <w:rFonts w:ascii="Arial" w:hAnsi="Arial" w:cs="Arial"/>
          <w:color w:val="000000"/>
          <w:sz w:val="18"/>
          <w:szCs w:val="18"/>
          <w:rtl/>
        </w:rPr>
        <w:t xml:space="preserve"> </w:t>
      </w:r>
      <w:r>
        <w:rPr>
          <w:rFonts w:cs="David" w:hint="cs"/>
          <w:sz w:val="24"/>
          <w:szCs w:val="24"/>
          <w:rtl/>
        </w:rPr>
        <w:t>ישיג תוצאות אפקטיביות ויביא את הצדדים להיחלץ ממשברים וקונפליקטים מהם ניתן היה להימנע מלכתחילה.</w:t>
      </w:r>
    </w:p>
    <w:p w:rsidR="00B83D2F" w:rsidRDefault="00B83D2F" w:rsidP="00910033">
      <w:pPr>
        <w:spacing w:after="0" w:line="360" w:lineRule="auto"/>
        <w:jc w:val="both"/>
        <w:rPr>
          <w:rFonts w:cs="David"/>
          <w:b/>
          <w:bCs/>
          <w:sz w:val="24"/>
          <w:szCs w:val="24"/>
          <w:rtl/>
        </w:rPr>
      </w:pPr>
    </w:p>
    <w:p w:rsidR="002D3051" w:rsidRDefault="00C05EA4" w:rsidP="009C5D37">
      <w:pPr>
        <w:spacing w:after="0" w:line="360" w:lineRule="auto"/>
        <w:jc w:val="both"/>
        <w:rPr>
          <w:rFonts w:cs="David"/>
          <w:sz w:val="24"/>
          <w:szCs w:val="24"/>
          <w:rtl/>
        </w:rPr>
      </w:pPr>
      <w:r>
        <w:rPr>
          <w:rFonts w:cs="David" w:hint="cs"/>
          <w:b/>
          <w:bCs/>
          <w:sz w:val="24"/>
          <w:szCs w:val="24"/>
          <w:rtl/>
        </w:rPr>
        <w:t xml:space="preserve">נוכח </w:t>
      </w:r>
      <w:r w:rsidR="009C5D37">
        <w:rPr>
          <w:rFonts w:cs="David" w:hint="cs"/>
          <w:b/>
          <w:bCs/>
          <w:sz w:val="24"/>
          <w:szCs w:val="24"/>
          <w:rtl/>
        </w:rPr>
        <w:t>הקשיים</w:t>
      </w:r>
      <w:r>
        <w:rPr>
          <w:rFonts w:cs="David" w:hint="cs"/>
          <w:b/>
          <w:bCs/>
          <w:sz w:val="24"/>
          <w:szCs w:val="24"/>
          <w:rtl/>
        </w:rPr>
        <w:t xml:space="preserve"> של מערכת המשפט, העמוסה לעייפה, להתמודד עם כמות הסכסוכים, אין ספק כי </w:t>
      </w:r>
      <w:r w:rsidRPr="00C05EA4">
        <w:rPr>
          <w:rFonts w:cs="David" w:hint="cs"/>
          <w:b/>
          <w:bCs/>
          <w:sz w:val="24"/>
          <w:szCs w:val="24"/>
          <w:rtl/>
        </w:rPr>
        <w:t>אנשי עסקים וסוחרים באשר הם, אינם צריכים להגיע לבית המשפט</w:t>
      </w:r>
      <w:r w:rsidR="00E55067">
        <w:rPr>
          <w:rFonts w:cs="David" w:hint="cs"/>
          <w:b/>
          <w:bCs/>
          <w:sz w:val="24"/>
          <w:szCs w:val="24"/>
          <w:rtl/>
        </w:rPr>
        <w:t xml:space="preserve"> ועליהם לבחון, מבעוד מועד, ובאמצעות ייעוץ משפטי מקדים אפקטיבי, הסדרת סכסוך עתידי באמצעות הליך בוררות נכון</w:t>
      </w:r>
      <w:r w:rsidR="00C455D8">
        <w:rPr>
          <w:rFonts w:cs="David" w:hint="cs"/>
          <w:b/>
          <w:bCs/>
          <w:sz w:val="24"/>
          <w:szCs w:val="24"/>
          <w:rtl/>
        </w:rPr>
        <w:t xml:space="preserve"> ומתוכנן בקפידה</w:t>
      </w:r>
      <w:r w:rsidR="00E55067">
        <w:rPr>
          <w:rFonts w:cs="David" w:hint="cs"/>
          <w:b/>
          <w:bCs/>
          <w:sz w:val="24"/>
          <w:szCs w:val="24"/>
          <w:rtl/>
        </w:rPr>
        <w:t>, המתנהל תחת כללים ומשנה סדורה לייעול זמן ומשאבים היקרים לצדדים, על אחת כמה וכמה עת המדובר באנשי עסקים</w:t>
      </w:r>
      <w:r w:rsidRPr="00C05EA4">
        <w:rPr>
          <w:rFonts w:cs="David" w:hint="cs"/>
          <w:b/>
          <w:bCs/>
          <w:sz w:val="24"/>
          <w:szCs w:val="24"/>
          <w:rtl/>
        </w:rPr>
        <w:t>.</w:t>
      </w:r>
      <w:r>
        <w:rPr>
          <w:rFonts w:cs="David" w:hint="cs"/>
          <w:sz w:val="24"/>
          <w:szCs w:val="24"/>
          <w:rtl/>
        </w:rPr>
        <w:t xml:space="preserve"> </w:t>
      </w:r>
      <w:r w:rsidR="00910033">
        <w:rPr>
          <w:rFonts w:cs="David" w:hint="cs"/>
          <w:sz w:val="24"/>
          <w:szCs w:val="24"/>
          <w:rtl/>
        </w:rPr>
        <w:t xml:space="preserve"> </w:t>
      </w:r>
    </w:p>
    <w:p w:rsidR="00C455D8" w:rsidRDefault="00C455D8" w:rsidP="001E122A">
      <w:pPr>
        <w:spacing w:after="0" w:line="360" w:lineRule="auto"/>
        <w:jc w:val="both"/>
        <w:rPr>
          <w:rFonts w:cs="David"/>
          <w:sz w:val="24"/>
          <w:szCs w:val="24"/>
          <w:rtl/>
        </w:rPr>
      </w:pPr>
    </w:p>
    <w:p w:rsidR="009C5D37" w:rsidRPr="009C5D37" w:rsidRDefault="009C5D37" w:rsidP="001E122A">
      <w:pPr>
        <w:spacing w:after="0" w:line="360" w:lineRule="auto"/>
        <w:jc w:val="both"/>
        <w:rPr>
          <w:rFonts w:cs="David"/>
          <w:b/>
          <w:bCs/>
          <w:sz w:val="24"/>
          <w:szCs w:val="24"/>
          <w:u w:val="single"/>
          <w:rtl/>
        </w:rPr>
      </w:pPr>
      <w:r w:rsidRPr="009C5D37">
        <w:rPr>
          <w:rFonts w:cs="David" w:hint="cs"/>
          <w:b/>
          <w:bCs/>
          <w:sz w:val="24"/>
          <w:szCs w:val="24"/>
          <w:u w:val="single"/>
          <w:rtl/>
        </w:rPr>
        <w:t>סוגיית ההודעה המוקדמת ביחסי הפצה</w:t>
      </w:r>
      <w:r>
        <w:rPr>
          <w:rFonts w:cs="David" w:hint="cs"/>
          <w:b/>
          <w:bCs/>
          <w:sz w:val="24"/>
          <w:szCs w:val="24"/>
          <w:u w:val="single"/>
          <w:rtl/>
        </w:rPr>
        <w:t xml:space="preserve"> ופסיקת בתי המשפט</w:t>
      </w:r>
    </w:p>
    <w:p w:rsidR="00C05EA4" w:rsidRDefault="00C05EA4" w:rsidP="001E122A">
      <w:pPr>
        <w:spacing w:after="0" w:line="360" w:lineRule="auto"/>
        <w:jc w:val="both"/>
        <w:rPr>
          <w:rFonts w:cs="David"/>
          <w:sz w:val="24"/>
          <w:szCs w:val="24"/>
          <w:rtl/>
        </w:rPr>
      </w:pPr>
      <w:r>
        <w:rPr>
          <w:rFonts w:cs="David" w:hint="cs"/>
          <w:sz w:val="24"/>
          <w:szCs w:val="24"/>
          <w:rtl/>
        </w:rPr>
        <w:t>אחד ממוקדי הסכסוך הגדולים והנפוצים ביותר בין הצדדים נוגע לאופן חישוב דמי הודעה מוקדמת עת מצויים הצדדים בסיומה של ההתקשרות המסחרית ביניהם</w:t>
      </w:r>
      <w:r w:rsidR="00616E63">
        <w:rPr>
          <w:rFonts w:cs="David" w:hint="cs"/>
          <w:sz w:val="24"/>
          <w:szCs w:val="24"/>
          <w:rtl/>
        </w:rPr>
        <w:t>, אשר לרוב נעשית מבלי שניתנה הודעה מוקדמת העושה צדק עם המפיץ ואיננה משקפת נאמנה את השקעותיו מול הספק.</w:t>
      </w:r>
    </w:p>
    <w:p w:rsidR="001E122A" w:rsidRDefault="001E122A" w:rsidP="001E122A">
      <w:pPr>
        <w:spacing w:after="0" w:line="360" w:lineRule="auto"/>
        <w:jc w:val="both"/>
        <w:rPr>
          <w:rFonts w:cs="David"/>
          <w:sz w:val="24"/>
          <w:szCs w:val="24"/>
          <w:rtl/>
        </w:rPr>
      </w:pPr>
    </w:p>
    <w:p w:rsidR="00C05EA4" w:rsidRDefault="00C05EA4" w:rsidP="001E122A">
      <w:pPr>
        <w:spacing w:after="0" w:line="360" w:lineRule="auto"/>
        <w:jc w:val="both"/>
        <w:rPr>
          <w:rFonts w:cs="David"/>
          <w:sz w:val="24"/>
          <w:szCs w:val="24"/>
          <w:rtl/>
        </w:rPr>
      </w:pPr>
      <w:r>
        <w:rPr>
          <w:rFonts w:cs="David" w:hint="cs"/>
          <w:sz w:val="24"/>
          <w:szCs w:val="24"/>
          <w:rtl/>
        </w:rPr>
        <w:t>הפסיקה בעניין איננה חד משמעית</w:t>
      </w:r>
      <w:r w:rsidR="001E122A">
        <w:rPr>
          <w:rFonts w:cs="David" w:hint="cs"/>
          <w:sz w:val="24"/>
          <w:szCs w:val="24"/>
          <w:rtl/>
        </w:rPr>
        <w:t>, נתונה לפרשנות ודומה כי ישנה</w:t>
      </w:r>
      <w:r>
        <w:rPr>
          <w:rFonts w:cs="David" w:hint="cs"/>
          <w:sz w:val="24"/>
          <w:szCs w:val="24"/>
          <w:rtl/>
        </w:rPr>
        <w:t xml:space="preserve"> עמימות רבתי סביב הנושא.</w:t>
      </w:r>
    </w:p>
    <w:p w:rsidR="001E122A" w:rsidRDefault="001E122A" w:rsidP="001E122A">
      <w:pPr>
        <w:spacing w:after="0" w:line="360" w:lineRule="auto"/>
        <w:jc w:val="both"/>
        <w:rPr>
          <w:rFonts w:cs="David"/>
          <w:sz w:val="24"/>
          <w:szCs w:val="24"/>
          <w:rtl/>
        </w:rPr>
      </w:pPr>
    </w:p>
    <w:p w:rsidR="0085448B" w:rsidRDefault="0085448B" w:rsidP="001E122A">
      <w:pPr>
        <w:spacing w:after="0" w:line="360" w:lineRule="auto"/>
        <w:jc w:val="both"/>
        <w:rPr>
          <w:rFonts w:cs="David"/>
          <w:sz w:val="24"/>
          <w:szCs w:val="24"/>
          <w:rtl/>
        </w:rPr>
      </w:pPr>
      <w:r>
        <w:rPr>
          <w:rFonts w:cs="David" w:hint="cs"/>
          <w:sz w:val="24"/>
          <w:szCs w:val="24"/>
          <w:rtl/>
        </w:rPr>
        <w:t xml:space="preserve">כך למשל, </w:t>
      </w:r>
      <w:r w:rsidRPr="0085448B">
        <w:rPr>
          <w:rFonts w:cs="David" w:hint="cs"/>
          <w:sz w:val="24"/>
          <w:szCs w:val="24"/>
          <w:rtl/>
        </w:rPr>
        <w:t>ב</w:t>
      </w:r>
      <w:r>
        <w:rPr>
          <w:rFonts w:cs="David" w:hint="cs"/>
          <w:sz w:val="24"/>
          <w:szCs w:val="24"/>
          <w:rtl/>
        </w:rPr>
        <w:t>ע"א 9099/96</w:t>
      </w:r>
      <w:r w:rsidRPr="0085448B">
        <w:rPr>
          <w:rFonts w:cs="David" w:hint="cs"/>
          <w:sz w:val="24"/>
          <w:szCs w:val="24"/>
          <w:rtl/>
        </w:rPr>
        <w:t xml:space="preserve"> </w:t>
      </w:r>
      <w:r w:rsidRPr="0085448B">
        <w:rPr>
          <w:rFonts w:cs="David" w:hint="cs"/>
          <w:b/>
          <w:bCs/>
          <w:sz w:val="24"/>
          <w:szCs w:val="24"/>
          <w:rtl/>
        </w:rPr>
        <w:t>ידיעות אחרונות בע"מ נ' פירסטנברג</w:t>
      </w:r>
      <w:r w:rsidRPr="0085448B">
        <w:rPr>
          <w:rFonts w:cs="David" w:hint="cs"/>
          <w:sz w:val="24"/>
          <w:szCs w:val="24"/>
          <w:rtl/>
        </w:rPr>
        <w:t xml:space="preserve"> נקבעה תקופת הודעה מוקדמת ראויה בת שנה, תוך </w:t>
      </w:r>
      <w:r>
        <w:rPr>
          <w:rFonts w:cs="David" w:hint="cs"/>
          <w:sz w:val="24"/>
          <w:szCs w:val="24"/>
          <w:rtl/>
        </w:rPr>
        <w:t>שבית המשפט בוחן שני שיקולים מרכזיים:</w:t>
      </w:r>
      <w:r w:rsidRPr="0085448B">
        <w:rPr>
          <w:rFonts w:cs="David" w:hint="cs"/>
          <w:sz w:val="24"/>
          <w:szCs w:val="24"/>
          <w:rtl/>
        </w:rPr>
        <w:t xml:space="preserve"> משך ההתקשרות בין הצדדים והיקף השקעותיו של המפיץ בהקמת מערך השיו</w:t>
      </w:r>
      <w:r>
        <w:rPr>
          <w:rFonts w:cs="David" w:hint="cs"/>
          <w:sz w:val="24"/>
          <w:szCs w:val="24"/>
          <w:rtl/>
        </w:rPr>
        <w:t>וק.</w:t>
      </w:r>
      <w:r w:rsidRPr="0085448B">
        <w:rPr>
          <w:rFonts w:cs="David" w:hint="cs"/>
          <w:sz w:val="24"/>
          <w:szCs w:val="24"/>
          <w:rtl/>
        </w:rPr>
        <w:t xml:space="preserve"> </w:t>
      </w:r>
    </w:p>
    <w:p w:rsidR="001E122A" w:rsidRDefault="001E122A" w:rsidP="001E122A">
      <w:pPr>
        <w:spacing w:after="0" w:line="360" w:lineRule="auto"/>
        <w:jc w:val="both"/>
        <w:rPr>
          <w:rFonts w:cs="David"/>
          <w:sz w:val="24"/>
          <w:szCs w:val="24"/>
          <w:rtl/>
        </w:rPr>
      </w:pPr>
    </w:p>
    <w:p w:rsidR="0085448B" w:rsidRDefault="0085448B" w:rsidP="001E122A">
      <w:pPr>
        <w:spacing w:after="0" w:line="360" w:lineRule="auto"/>
        <w:jc w:val="both"/>
        <w:rPr>
          <w:rFonts w:cs="David"/>
          <w:sz w:val="24"/>
          <w:szCs w:val="24"/>
          <w:rtl/>
        </w:rPr>
      </w:pPr>
      <w:r w:rsidRPr="0085448B">
        <w:rPr>
          <w:rFonts w:cs="David" w:hint="cs"/>
          <w:sz w:val="24"/>
          <w:szCs w:val="24"/>
          <w:rtl/>
        </w:rPr>
        <w:t xml:space="preserve">בפסק הדין </w:t>
      </w:r>
      <w:r>
        <w:rPr>
          <w:rFonts w:cs="David" w:hint="cs"/>
          <w:sz w:val="24"/>
          <w:szCs w:val="24"/>
          <w:rtl/>
        </w:rPr>
        <w:t xml:space="preserve">אומנם </w:t>
      </w:r>
      <w:r w:rsidRPr="0085448B">
        <w:rPr>
          <w:rFonts w:cs="David" w:hint="cs"/>
          <w:sz w:val="24"/>
          <w:szCs w:val="24"/>
          <w:rtl/>
        </w:rPr>
        <w:t xml:space="preserve">לא ניתנה בלעדיות מלאה למוצרי הספק אך אף על פי כן, נפסקה הודעה מוקדמת כבת שנה, הן על פי אמת מידה של התארגנות מחדש והן לפי אמת מידה של מיצוי רווחים, </w:t>
      </w:r>
      <w:r>
        <w:rPr>
          <w:rFonts w:cs="David" w:hint="cs"/>
          <w:sz w:val="24"/>
          <w:szCs w:val="24"/>
          <w:rtl/>
        </w:rPr>
        <w:t xml:space="preserve">ללמדכם אודות חשיבותה של ההודעה המוקדמת כלפי אותו מפיץ, הן במישור המשפטי והן במישור העסקי-כלכלי. </w:t>
      </w:r>
      <w:r w:rsidRPr="0085448B">
        <w:rPr>
          <w:rFonts w:cs="David" w:hint="cs"/>
          <w:sz w:val="24"/>
          <w:szCs w:val="24"/>
          <w:rtl/>
        </w:rPr>
        <w:t xml:space="preserve"> </w:t>
      </w:r>
    </w:p>
    <w:p w:rsidR="001E122A" w:rsidRPr="0085448B" w:rsidRDefault="001E122A" w:rsidP="001E122A">
      <w:pPr>
        <w:spacing w:after="0" w:line="360" w:lineRule="auto"/>
        <w:jc w:val="both"/>
        <w:rPr>
          <w:rFonts w:cs="David"/>
          <w:sz w:val="24"/>
          <w:szCs w:val="24"/>
          <w:rtl/>
        </w:rPr>
      </w:pPr>
    </w:p>
    <w:p w:rsidR="00C7052A" w:rsidRDefault="00C7052A" w:rsidP="001E122A">
      <w:pPr>
        <w:spacing w:after="0" w:line="360" w:lineRule="auto"/>
        <w:jc w:val="both"/>
        <w:rPr>
          <w:rFonts w:cs="David"/>
          <w:sz w:val="24"/>
          <w:szCs w:val="24"/>
          <w:rtl/>
        </w:rPr>
      </w:pPr>
      <w:r>
        <w:rPr>
          <w:rFonts w:cs="David" w:hint="cs"/>
          <w:sz w:val="24"/>
          <w:szCs w:val="24"/>
          <w:rtl/>
        </w:rPr>
        <w:lastRenderedPageBreak/>
        <w:t>בשל אי הסדרת יחסי</w:t>
      </w:r>
      <w:r w:rsidR="00616E63">
        <w:rPr>
          <w:rFonts w:cs="David" w:hint="cs"/>
          <w:sz w:val="24"/>
          <w:szCs w:val="24"/>
          <w:rtl/>
        </w:rPr>
        <w:t xml:space="preserve"> הפצה</w:t>
      </w:r>
      <w:r>
        <w:rPr>
          <w:rFonts w:cs="David" w:hint="cs"/>
          <w:sz w:val="24"/>
          <w:szCs w:val="24"/>
          <w:rtl/>
        </w:rPr>
        <w:t xml:space="preserve"> </w:t>
      </w:r>
      <w:r w:rsidR="00616E63">
        <w:rPr>
          <w:rFonts w:cs="David" w:hint="cs"/>
          <w:sz w:val="24"/>
          <w:szCs w:val="24"/>
          <w:rtl/>
        </w:rPr>
        <w:t>והעלאתם על הכתב</w:t>
      </w:r>
      <w:r>
        <w:rPr>
          <w:rFonts w:cs="David" w:hint="cs"/>
          <w:sz w:val="24"/>
          <w:szCs w:val="24"/>
          <w:rtl/>
        </w:rPr>
        <w:t>, לרבות תניות יישוב סכסוכים, נוטים ספקים רבים לנצל פירצה זו ולסיים יחסיהם העסקיים מבלי לתת למפיץ, שלרוב השקיע משאבים ניכרים בהחדרת והטמעת המוצרים לאזור ההפצה עליו הוא חולש, הודעה מוקדמת ראויה.</w:t>
      </w:r>
    </w:p>
    <w:p w:rsidR="001E122A" w:rsidRDefault="001E122A" w:rsidP="001E122A">
      <w:pPr>
        <w:spacing w:after="0" w:line="360" w:lineRule="auto"/>
        <w:jc w:val="both"/>
        <w:rPr>
          <w:rFonts w:cs="David"/>
          <w:sz w:val="24"/>
          <w:szCs w:val="24"/>
          <w:rtl/>
        </w:rPr>
      </w:pPr>
    </w:p>
    <w:p w:rsidR="0085448B" w:rsidRDefault="00C7052A" w:rsidP="001E122A">
      <w:pPr>
        <w:spacing w:after="0" w:line="360" w:lineRule="auto"/>
        <w:jc w:val="both"/>
        <w:rPr>
          <w:rFonts w:cs="David"/>
          <w:sz w:val="24"/>
          <w:szCs w:val="24"/>
          <w:rtl/>
        </w:rPr>
      </w:pPr>
      <w:r>
        <w:rPr>
          <w:rFonts w:cs="David" w:hint="cs"/>
          <w:sz w:val="24"/>
          <w:szCs w:val="24"/>
          <w:rtl/>
        </w:rPr>
        <w:t xml:space="preserve">בכך, למותר לציין, </w:t>
      </w:r>
      <w:r w:rsidR="0057665C">
        <w:rPr>
          <w:rFonts w:cs="David" w:hint="cs"/>
          <w:sz w:val="24"/>
          <w:szCs w:val="24"/>
          <w:rtl/>
        </w:rPr>
        <w:t>מוצא עצמו המפיץ בפני שוקת שבורה</w:t>
      </w:r>
      <w:r w:rsidR="001E122A">
        <w:rPr>
          <w:rFonts w:cs="David" w:hint="cs"/>
          <w:sz w:val="24"/>
          <w:szCs w:val="24"/>
          <w:rtl/>
        </w:rPr>
        <w:t xml:space="preserve"> של ממש</w:t>
      </w:r>
      <w:r w:rsidR="0057665C">
        <w:rPr>
          <w:rFonts w:cs="David" w:hint="cs"/>
          <w:sz w:val="24"/>
          <w:szCs w:val="24"/>
          <w:rtl/>
        </w:rPr>
        <w:t>, תוך ש</w:t>
      </w:r>
      <w:r w:rsidR="001E122A">
        <w:rPr>
          <w:rFonts w:cs="David" w:hint="cs"/>
          <w:sz w:val="24"/>
          <w:szCs w:val="24"/>
          <w:rtl/>
        </w:rPr>
        <w:t xml:space="preserve">הוא נאלץ להתמודד עם </w:t>
      </w:r>
      <w:r>
        <w:rPr>
          <w:rFonts w:cs="David" w:hint="cs"/>
          <w:sz w:val="24"/>
          <w:szCs w:val="24"/>
          <w:rtl/>
        </w:rPr>
        <w:t xml:space="preserve"> נזקים למכביר, ובכלל זה אובדן הכנסות ו/או רווחים, חנק תזרי</w:t>
      </w:r>
      <w:r w:rsidR="0057665C">
        <w:rPr>
          <w:rFonts w:cs="David" w:hint="cs"/>
          <w:sz w:val="24"/>
          <w:szCs w:val="24"/>
          <w:rtl/>
        </w:rPr>
        <w:t xml:space="preserve">מי, </w:t>
      </w:r>
      <w:r w:rsidR="00B01E82">
        <w:rPr>
          <w:rFonts w:cs="David" w:hint="cs"/>
          <w:sz w:val="24"/>
          <w:szCs w:val="24"/>
          <w:rtl/>
        </w:rPr>
        <w:t>היוותרות עם מלאי ש</w:t>
      </w:r>
      <w:r w:rsidR="001E122A">
        <w:rPr>
          <w:rFonts w:cs="David" w:hint="cs"/>
          <w:sz w:val="24"/>
          <w:szCs w:val="24"/>
          <w:rtl/>
        </w:rPr>
        <w:t xml:space="preserve">לעיתים </w:t>
      </w:r>
      <w:r w:rsidR="00B01E82">
        <w:rPr>
          <w:rFonts w:cs="David" w:hint="cs"/>
          <w:sz w:val="24"/>
          <w:szCs w:val="24"/>
          <w:rtl/>
        </w:rPr>
        <w:t xml:space="preserve">איננו ניתן להפצה או שניתן למוכרו במחירים נמוכים מאוד, </w:t>
      </w:r>
      <w:r w:rsidR="0057665C">
        <w:rPr>
          <w:rFonts w:cs="David" w:hint="cs"/>
          <w:sz w:val="24"/>
          <w:szCs w:val="24"/>
          <w:rtl/>
        </w:rPr>
        <w:t xml:space="preserve">פגיעה תדמיתית עד </w:t>
      </w:r>
      <w:r>
        <w:rPr>
          <w:rFonts w:cs="David" w:hint="cs"/>
          <w:sz w:val="24"/>
          <w:szCs w:val="24"/>
          <w:rtl/>
        </w:rPr>
        <w:t>כדי שיתוקו הכלכלי של אותו מפיץ, תלוי כמובן בחס</w:t>
      </w:r>
      <w:r w:rsidR="0057665C">
        <w:rPr>
          <w:rFonts w:cs="David" w:hint="cs"/>
          <w:sz w:val="24"/>
          <w:szCs w:val="24"/>
          <w:rtl/>
        </w:rPr>
        <w:t>ינותו ואיתנותו הכלכלית ויכולתו להשתקם במהרה.</w:t>
      </w:r>
      <w:r>
        <w:rPr>
          <w:rFonts w:cs="David" w:hint="cs"/>
          <w:sz w:val="24"/>
          <w:szCs w:val="24"/>
          <w:rtl/>
        </w:rPr>
        <w:t xml:space="preserve">  </w:t>
      </w:r>
    </w:p>
    <w:p w:rsidR="0057665C" w:rsidRDefault="0057665C" w:rsidP="001E122A">
      <w:pPr>
        <w:spacing w:after="0" w:line="360" w:lineRule="auto"/>
        <w:jc w:val="both"/>
        <w:rPr>
          <w:rFonts w:cs="David"/>
          <w:sz w:val="24"/>
          <w:szCs w:val="24"/>
          <w:rtl/>
        </w:rPr>
      </w:pPr>
    </w:p>
    <w:p w:rsidR="005C14B3" w:rsidRDefault="00C7052A" w:rsidP="001E122A">
      <w:pPr>
        <w:spacing w:after="0" w:line="360" w:lineRule="auto"/>
        <w:jc w:val="both"/>
        <w:rPr>
          <w:rFonts w:cs="David"/>
          <w:sz w:val="24"/>
          <w:szCs w:val="24"/>
          <w:rtl/>
        </w:rPr>
      </w:pPr>
      <w:r>
        <w:rPr>
          <w:rFonts w:cs="David" w:hint="cs"/>
          <w:sz w:val="24"/>
          <w:szCs w:val="24"/>
          <w:rtl/>
        </w:rPr>
        <w:t xml:space="preserve">בית המשפט העליון בפסיקותיו בנושא הכיר </w:t>
      </w:r>
      <w:r w:rsidRPr="002D3051">
        <w:rPr>
          <w:rFonts w:cs="David" w:hint="cs"/>
          <w:sz w:val="24"/>
          <w:szCs w:val="24"/>
          <w:rtl/>
        </w:rPr>
        <w:t>בתופעה מקוממת זו של סיום ההתקשרות מצד הספק</w:t>
      </w:r>
      <w:r w:rsidRPr="002D3051">
        <w:rPr>
          <w:rFonts w:hint="cs"/>
          <w:sz w:val="24"/>
          <w:szCs w:val="24"/>
          <w:rtl/>
        </w:rPr>
        <w:t xml:space="preserve"> </w:t>
      </w:r>
      <w:r w:rsidRPr="002D3051">
        <w:rPr>
          <w:rFonts w:cs="David" w:hint="cs"/>
          <w:sz w:val="24"/>
          <w:szCs w:val="24"/>
          <w:rtl/>
        </w:rPr>
        <w:t xml:space="preserve">לאחר בניית שוק על ידי המפיצה. </w:t>
      </w:r>
    </w:p>
    <w:p w:rsidR="0057665C" w:rsidRDefault="0057665C" w:rsidP="001E122A">
      <w:pPr>
        <w:spacing w:after="0" w:line="360" w:lineRule="auto"/>
        <w:jc w:val="both"/>
        <w:rPr>
          <w:rFonts w:cs="David"/>
          <w:sz w:val="24"/>
          <w:szCs w:val="24"/>
          <w:rtl/>
        </w:rPr>
      </w:pPr>
    </w:p>
    <w:p w:rsidR="005C14B3" w:rsidRDefault="005C14B3" w:rsidP="001E122A">
      <w:pPr>
        <w:spacing w:after="0" w:line="360" w:lineRule="auto"/>
        <w:jc w:val="both"/>
        <w:rPr>
          <w:rFonts w:cs="David"/>
          <w:sz w:val="24"/>
          <w:szCs w:val="24"/>
          <w:rtl/>
        </w:rPr>
      </w:pPr>
      <w:r w:rsidRPr="005C14B3">
        <w:rPr>
          <w:rFonts w:cs="David" w:hint="cs"/>
          <w:sz w:val="24"/>
          <w:szCs w:val="24"/>
          <w:rtl/>
        </w:rPr>
        <w:t xml:space="preserve">בע"א 442/85, </w:t>
      </w:r>
      <w:r w:rsidRPr="005C14B3">
        <w:rPr>
          <w:rFonts w:cs="David" w:hint="cs"/>
          <w:b/>
          <w:bCs/>
          <w:sz w:val="24"/>
          <w:szCs w:val="24"/>
          <w:rtl/>
        </w:rPr>
        <w:t>זוהר נ' מעבדות טרבנול (ישראל) בע"מ</w:t>
      </w:r>
      <w:r w:rsidR="00C7052A" w:rsidRPr="005C14B3">
        <w:rPr>
          <w:rFonts w:cs="David" w:hint="cs"/>
          <w:sz w:val="24"/>
          <w:szCs w:val="24"/>
          <w:rtl/>
        </w:rPr>
        <w:t>,</w:t>
      </w:r>
      <w:r w:rsidR="00C7052A">
        <w:rPr>
          <w:rFonts w:cs="David" w:hint="cs"/>
          <w:sz w:val="24"/>
          <w:szCs w:val="24"/>
          <w:rtl/>
        </w:rPr>
        <w:t xml:space="preserve"> ההלכה המרכזית והרווחת ב</w:t>
      </w:r>
      <w:r w:rsidR="00616E63">
        <w:rPr>
          <w:rFonts w:cs="David" w:hint="cs"/>
          <w:sz w:val="24"/>
          <w:szCs w:val="24"/>
          <w:rtl/>
        </w:rPr>
        <w:t xml:space="preserve">עניין זה, </w:t>
      </w:r>
      <w:r w:rsidRPr="005C14B3">
        <w:rPr>
          <w:rFonts w:cs="David" w:hint="cs"/>
          <w:sz w:val="24"/>
          <w:szCs w:val="24"/>
          <w:rtl/>
        </w:rPr>
        <w:t xml:space="preserve">נקבעה הלכה יסודית ומרכזית המסדירה </w:t>
      </w:r>
      <w:r w:rsidR="00C86E1B">
        <w:rPr>
          <w:rFonts w:cs="David" w:hint="cs"/>
          <w:sz w:val="24"/>
          <w:szCs w:val="24"/>
          <w:rtl/>
        </w:rPr>
        <w:t>את סוגיית יחסי ספק-מפיץ ואת דין ההודעה המוקדמת בדבר סיום הסכם הפצה.</w:t>
      </w:r>
    </w:p>
    <w:p w:rsidR="001E122A" w:rsidRPr="005C14B3" w:rsidRDefault="001E122A" w:rsidP="001E122A">
      <w:pPr>
        <w:spacing w:after="0" w:line="360" w:lineRule="auto"/>
        <w:jc w:val="both"/>
        <w:rPr>
          <w:rFonts w:cs="David"/>
          <w:sz w:val="24"/>
          <w:szCs w:val="24"/>
          <w:rtl/>
        </w:rPr>
      </w:pPr>
    </w:p>
    <w:p w:rsidR="00CA4A72" w:rsidRDefault="007252C8" w:rsidP="001E122A">
      <w:pPr>
        <w:spacing w:after="0" w:line="360" w:lineRule="auto"/>
        <w:jc w:val="both"/>
        <w:rPr>
          <w:rFonts w:cs="David"/>
          <w:sz w:val="24"/>
          <w:szCs w:val="24"/>
          <w:rtl/>
        </w:rPr>
      </w:pPr>
      <w:r>
        <w:rPr>
          <w:rFonts w:cs="David" w:hint="cs"/>
          <w:sz w:val="24"/>
          <w:szCs w:val="24"/>
          <w:rtl/>
        </w:rPr>
        <w:t>ה</w:t>
      </w:r>
      <w:r w:rsidR="00C7052A">
        <w:rPr>
          <w:rFonts w:cs="David" w:hint="cs"/>
          <w:sz w:val="24"/>
          <w:szCs w:val="24"/>
          <w:rtl/>
        </w:rPr>
        <w:t xml:space="preserve">נשיא </w:t>
      </w:r>
      <w:r>
        <w:rPr>
          <w:rFonts w:cs="David" w:hint="cs"/>
          <w:sz w:val="24"/>
          <w:szCs w:val="24"/>
          <w:rtl/>
        </w:rPr>
        <w:t xml:space="preserve">(בדימוס) </w:t>
      </w:r>
      <w:r w:rsidR="00C7052A">
        <w:rPr>
          <w:rFonts w:cs="David" w:hint="cs"/>
          <w:sz w:val="24"/>
          <w:szCs w:val="24"/>
          <w:rtl/>
        </w:rPr>
        <w:t xml:space="preserve">ברק </w:t>
      </w:r>
      <w:r w:rsidR="005C14B3">
        <w:rPr>
          <w:rFonts w:cs="David" w:hint="cs"/>
          <w:sz w:val="24"/>
          <w:szCs w:val="24"/>
          <w:rtl/>
        </w:rPr>
        <w:t xml:space="preserve">הביע שם </w:t>
      </w:r>
      <w:r w:rsidR="00616E63">
        <w:rPr>
          <w:rFonts w:cs="David" w:hint="cs"/>
          <w:sz w:val="24"/>
          <w:szCs w:val="24"/>
          <w:rtl/>
        </w:rPr>
        <w:t xml:space="preserve">את מורת-רוחו ביחס להתנהלות </w:t>
      </w:r>
      <w:r w:rsidR="005C14B3">
        <w:rPr>
          <w:rFonts w:cs="David" w:hint="cs"/>
          <w:sz w:val="24"/>
          <w:szCs w:val="24"/>
          <w:rtl/>
        </w:rPr>
        <w:t>שבה מודיעים</w:t>
      </w:r>
      <w:r w:rsidR="00616E63">
        <w:rPr>
          <w:rFonts w:cs="David" w:hint="cs"/>
          <w:sz w:val="24"/>
          <w:szCs w:val="24"/>
          <w:rtl/>
        </w:rPr>
        <w:t xml:space="preserve"> ספקים</w:t>
      </w:r>
      <w:r w:rsidR="005C14B3">
        <w:rPr>
          <w:rFonts w:cs="David" w:hint="cs"/>
          <w:sz w:val="24"/>
          <w:szCs w:val="24"/>
          <w:rtl/>
        </w:rPr>
        <w:t>, באופן חד צדדי ופתאומי, על סיום היחסים העסקיים ושלל בתוקף מצב שבו</w:t>
      </w:r>
      <w:r w:rsidR="00616E63">
        <w:rPr>
          <w:rFonts w:cs="David" w:hint="cs"/>
          <w:sz w:val="24"/>
          <w:szCs w:val="24"/>
          <w:rtl/>
        </w:rPr>
        <w:t xml:space="preserve"> הספק יחכה עד אשר משווק </w:t>
      </w:r>
    </w:p>
    <w:p w:rsidR="00CA4A72" w:rsidRDefault="00CA4A72" w:rsidP="001E122A">
      <w:pPr>
        <w:spacing w:after="0" w:line="360" w:lineRule="auto"/>
        <w:jc w:val="both"/>
        <w:rPr>
          <w:rFonts w:cs="David"/>
          <w:sz w:val="24"/>
          <w:szCs w:val="24"/>
          <w:rtl/>
        </w:rPr>
      </w:pPr>
    </w:p>
    <w:p w:rsidR="00616E63" w:rsidRDefault="00616E63" w:rsidP="001E122A">
      <w:pPr>
        <w:spacing w:after="0" w:line="360" w:lineRule="auto"/>
        <w:jc w:val="both"/>
        <w:rPr>
          <w:rFonts w:cs="David"/>
          <w:sz w:val="24"/>
          <w:szCs w:val="24"/>
          <w:rtl/>
        </w:rPr>
      </w:pPr>
      <w:r>
        <w:rPr>
          <w:rFonts w:cs="David" w:hint="cs"/>
          <w:sz w:val="24"/>
          <w:szCs w:val="24"/>
          <w:rtl/>
        </w:rPr>
        <w:t xml:space="preserve">כזה יפתח ויבנה בעמלו ובהשקעתו את המוניטין והשוק למוצריו, ובהשלימו את המלאכה וכשהוא מצפה ליהנות מפרי עבודתו, יפקיע את ההנאה מידי המפיץ על ידי ביטול הסכם השיווק וישווק את המוצרים בעצמו או באמצעות מפיץ חלופי בחוסכו בכך את הרווח או העמלה. </w:t>
      </w:r>
    </w:p>
    <w:p w:rsidR="001E122A" w:rsidRDefault="001E122A" w:rsidP="001E122A">
      <w:pPr>
        <w:spacing w:after="0" w:line="360" w:lineRule="auto"/>
        <w:jc w:val="both"/>
        <w:rPr>
          <w:rFonts w:cs="David"/>
          <w:sz w:val="24"/>
          <w:szCs w:val="24"/>
          <w:rtl/>
        </w:rPr>
      </w:pPr>
    </w:p>
    <w:p w:rsidR="00C86E1B" w:rsidRDefault="00616E63" w:rsidP="001E122A">
      <w:pPr>
        <w:spacing w:after="0" w:line="360" w:lineRule="auto"/>
        <w:jc w:val="both"/>
        <w:rPr>
          <w:rFonts w:cs="David"/>
          <w:sz w:val="24"/>
          <w:szCs w:val="24"/>
          <w:rtl/>
        </w:rPr>
      </w:pPr>
      <w:r>
        <w:rPr>
          <w:rFonts w:cs="David" w:hint="cs"/>
          <w:sz w:val="24"/>
          <w:szCs w:val="24"/>
          <w:rtl/>
        </w:rPr>
        <w:t>הדבר אינו עולה בקנה אחד עם חוש הצדק, תום לב ואיננו מתיישב עם ההגינות המסחרית ומאפשר ביתר-קלות עשיית עושר שלא כדין לטובת הספק, תוך פגיעה אנושה במושכלות יסוד של דיני החוזים ובאינטרס ההסתמכות והציפייה של המפיץ.</w:t>
      </w:r>
      <w:r w:rsidR="00C86E1B">
        <w:rPr>
          <w:rFonts w:cs="David" w:hint="cs"/>
          <w:sz w:val="24"/>
          <w:szCs w:val="24"/>
          <w:rtl/>
        </w:rPr>
        <w:t xml:space="preserve"> </w:t>
      </w:r>
    </w:p>
    <w:p w:rsidR="001E122A" w:rsidRDefault="001E122A" w:rsidP="001E122A">
      <w:pPr>
        <w:spacing w:after="0" w:line="360" w:lineRule="auto"/>
        <w:jc w:val="both"/>
        <w:rPr>
          <w:rFonts w:cs="David"/>
          <w:sz w:val="24"/>
          <w:szCs w:val="24"/>
          <w:rtl/>
        </w:rPr>
      </w:pPr>
    </w:p>
    <w:p w:rsidR="00646B6D" w:rsidRDefault="00646B6D" w:rsidP="001E122A">
      <w:pPr>
        <w:spacing w:after="0" w:line="360" w:lineRule="auto"/>
        <w:jc w:val="both"/>
        <w:rPr>
          <w:rFonts w:cs="David"/>
          <w:sz w:val="24"/>
          <w:szCs w:val="24"/>
          <w:rtl/>
        </w:rPr>
      </w:pPr>
      <w:r w:rsidRPr="00646B6D">
        <w:rPr>
          <w:rFonts w:cs="David"/>
          <w:sz w:val="24"/>
          <w:szCs w:val="24"/>
          <w:rtl/>
        </w:rPr>
        <w:t xml:space="preserve">מקום בו לא ניתנה הודעה מוקדמת, זמן סביר מראש, </w:t>
      </w:r>
      <w:r>
        <w:rPr>
          <w:rFonts w:cs="David" w:hint="cs"/>
          <w:sz w:val="24"/>
          <w:szCs w:val="24"/>
          <w:rtl/>
        </w:rPr>
        <w:t>הרי שבהחלט מהווה הדבר</w:t>
      </w:r>
      <w:r w:rsidRPr="00646B6D">
        <w:rPr>
          <w:rFonts w:cs="David"/>
          <w:sz w:val="24"/>
          <w:szCs w:val="24"/>
          <w:rtl/>
        </w:rPr>
        <w:t xml:space="preserve"> הפרה</w:t>
      </w:r>
      <w:r>
        <w:rPr>
          <w:rFonts w:cs="David" w:hint="cs"/>
          <w:sz w:val="24"/>
          <w:szCs w:val="24"/>
          <w:rtl/>
        </w:rPr>
        <w:t xml:space="preserve"> בוטה</w:t>
      </w:r>
      <w:r>
        <w:rPr>
          <w:rFonts w:cs="David"/>
          <w:sz w:val="24"/>
          <w:szCs w:val="24"/>
          <w:rtl/>
        </w:rPr>
        <w:t xml:space="preserve"> של ה</w:t>
      </w:r>
      <w:r>
        <w:rPr>
          <w:rFonts w:cs="David" w:hint="cs"/>
          <w:sz w:val="24"/>
          <w:szCs w:val="24"/>
          <w:rtl/>
        </w:rPr>
        <w:t>סכם ההפצה</w:t>
      </w:r>
      <w:r>
        <w:rPr>
          <w:rFonts w:cs="David"/>
          <w:sz w:val="24"/>
          <w:szCs w:val="24"/>
          <w:rtl/>
        </w:rPr>
        <w:t xml:space="preserve"> מצד ה</w:t>
      </w:r>
      <w:r>
        <w:rPr>
          <w:rFonts w:cs="David" w:hint="cs"/>
          <w:sz w:val="24"/>
          <w:szCs w:val="24"/>
          <w:rtl/>
        </w:rPr>
        <w:t>ספק</w:t>
      </w:r>
      <w:r w:rsidR="001E122A">
        <w:rPr>
          <w:rFonts w:cs="David" w:hint="cs"/>
          <w:sz w:val="24"/>
          <w:szCs w:val="24"/>
          <w:rtl/>
        </w:rPr>
        <w:t xml:space="preserve"> ורמיסה של נורמות הגינות ותום לב בסיסיות</w:t>
      </w:r>
      <w:r w:rsidRPr="00646B6D">
        <w:rPr>
          <w:rFonts w:cs="David"/>
          <w:sz w:val="24"/>
          <w:szCs w:val="24"/>
          <w:rtl/>
        </w:rPr>
        <w:t>, המזכה את המפיץ בפיצוי בגין כל נזק שנגרם לו עקב הפרה זו</w:t>
      </w:r>
      <w:r>
        <w:rPr>
          <w:rFonts w:cs="David" w:hint="cs"/>
          <w:sz w:val="24"/>
          <w:szCs w:val="24"/>
          <w:rtl/>
        </w:rPr>
        <w:t>.</w:t>
      </w:r>
    </w:p>
    <w:p w:rsidR="001E122A" w:rsidRPr="00646B6D" w:rsidRDefault="001E122A" w:rsidP="001E122A">
      <w:pPr>
        <w:spacing w:after="0" w:line="360" w:lineRule="auto"/>
        <w:jc w:val="both"/>
        <w:rPr>
          <w:rFonts w:cs="David"/>
          <w:sz w:val="24"/>
          <w:szCs w:val="24"/>
          <w:rtl/>
        </w:rPr>
      </w:pPr>
    </w:p>
    <w:p w:rsidR="00C86E1B" w:rsidRDefault="005C14B3" w:rsidP="001E122A">
      <w:pPr>
        <w:spacing w:after="0" w:line="360" w:lineRule="auto"/>
        <w:jc w:val="both"/>
        <w:rPr>
          <w:rFonts w:cs="David"/>
          <w:sz w:val="24"/>
          <w:szCs w:val="24"/>
          <w:rtl/>
        </w:rPr>
      </w:pPr>
      <w:r>
        <w:rPr>
          <w:rFonts w:cs="David" w:hint="cs"/>
          <w:sz w:val="24"/>
          <w:szCs w:val="24"/>
          <w:rtl/>
        </w:rPr>
        <w:t xml:space="preserve">ואכן </w:t>
      </w:r>
      <w:r w:rsidR="00C86E1B">
        <w:rPr>
          <w:rFonts w:cs="David" w:hint="cs"/>
          <w:sz w:val="24"/>
          <w:szCs w:val="24"/>
          <w:rtl/>
        </w:rPr>
        <w:t>הן הפסיקה והן הספרות המשפטית, קבעו</w:t>
      </w:r>
      <w:r>
        <w:rPr>
          <w:rFonts w:cs="David" w:hint="cs"/>
          <w:sz w:val="24"/>
          <w:szCs w:val="24"/>
          <w:rtl/>
        </w:rPr>
        <w:t xml:space="preserve"> מספר קריטריונים מנחים לקביעת סבירות התקופה למתן הודעה מוקדמת, על מנת לאפשר למפיץ ליהנות מפרי השקעתו בזמן, בכסף ובעבודה ולאפשר לו לקטוף את פרי מאמציו בביסוס ולעיתים פיתוח שוק, יש מאין, ולהתארגן לסיום ההסכם כיאות תוך חיפוש ספק אחר תחתיו.</w:t>
      </w:r>
    </w:p>
    <w:p w:rsidR="003052CA" w:rsidRDefault="003052CA" w:rsidP="001E122A">
      <w:pPr>
        <w:spacing w:after="0" w:line="360" w:lineRule="auto"/>
        <w:jc w:val="both"/>
        <w:rPr>
          <w:rFonts w:cs="David"/>
          <w:sz w:val="24"/>
          <w:szCs w:val="24"/>
          <w:rtl/>
        </w:rPr>
      </w:pPr>
    </w:p>
    <w:p w:rsidR="003052CA" w:rsidRPr="004C6723" w:rsidRDefault="003052CA" w:rsidP="00DF6336">
      <w:pPr>
        <w:spacing w:after="0" w:line="360" w:lineRule="auto"/>
        <w:jc w:val="both"/>
        <w:rPr>
          <w:rFonts w:cs="David"/>
          <w:sz w:val="24"/>
          <w:szCs w:val="24"/>
          <w:rtl/>
        </w:rPr>
      </w:pPr>
      <w:r w:rsidRPr="004C6723">
        <w:rPr>
          <w:rFonts w:cs="David" w:hint="cs"/>
          <w:sz w:val="24"/>
          <w:szCs w:val="24"/>
          <w:rtl/>
        </w:rPr>
        <w:t xml:space="preserve">דר' אורי בן אוליאל </w:t>
      </w:r>
      <w:r w:rsidR="00344514" w:rsidRPr="004C6723">
        <w:rPr>
          <w:rFonts w:cs="David" w:hint="cs"/>
          <w:sz w:val="24"/>
          <w:szCs w:val="24"/>
          <w:rtl/>
        </w:rPr>
        <w:t>הנחשב למוביל בתחום זה באקדמיה וכן מרצה בבית הספר למשפטים במרכז האקדמי למשפט ולעסקים</w:t>
      </w:r>
      <w:r w:rsidR="005F1756">
        <w:rPr>
          <w:rFonts w:cs="David" w:hint="cs"/>
          <w:sz w:val="24"/>
          <w:szCs w:val="24"/>
          <w:rtl/>
        </w:rPr>
        <w:t xml:space="preserve">, </w:t>
      </w:r>
      <w:r w:rsidRPr="004C6723">
        <w:rPr>
          <w:rFonts w:cs="David" w:hint="cs"/>
          <w:sz w:val="24"/>
          <w:szCs w:val="24"/>
          <w:rtl/>
        </w:rPr>
        <w:t>מסכם את הלכת זוהר באופן ברור וחד:</w:t>
      </w:r>
    </w:p>
    <w:p w:rsidR="003052CA" w:rsidRPr="004C6723" w:rsidRDefault="003052CA" w:rsidP="001E122A">
      <w:pPr>
        <w:spacing w:after="0" w:line="360" w:lineRule="auto"/>
        <w:jc w:val="both"/>
        <w:rPr>
          <w:rFonts w:cs="David"/>
          <w:sz w:val="24"/>
          <w:szCs w:val="24"/>
          <w:rtl/>
        </w:rPr>
      </w:pPr>
    </w:p>
    <w:p w:rsidR="003052CA" w:rsidRPr="004C6723" w:rsidRDefault="003052CA" w:rsidP="003052CA">
      <w:pPr>
        <w:spacing w:after="0" w:line="360" w:lineRule="auto"/>
        <w:jc w:val="both"/>
        <w:rPr>
          <w:rFonts w:cs="David"/>
          <w:b/>
          <w:bCs/>
          <w:sz w:val="24"/>
          <w:szCs w:val="24"/>
          <w:rtl/>
        </w:rPr>
      </w:pPr>
      <w:r w:rsidRPr="004C6723">
        <w:rPr>
          <w:rFonts w:cs="David" w:hint="cs"/>
          <w:b/>
          <w:bCs/>
          <w:sz w:val="24"/>
          <w:szCs w:val="24"/>
          <w:rtl/>
        </w:rPr>
        <w:t>"ספק אשר מבקש לסיים את חוזה הפצה שלא נקבע מעוד לסיומו חייב לתת למפיץ הודעה מוקדמת על סיום ההסכם זמן סביר לפני סיומו בפועל."</w:t>
      </w:r>
    </w:p>
    <w:p w:rsidR="00344514" w:rsidRPr="004C6723" w:rsidRDefault="00344514" w:rsidP="00344514">
      <w:pPr>
        <w:rPr>
          <w:rFonts w:cs="David"/>
          <w:sz w:val="24"/>
          <w:szCs w:val="24"/>
          <w:rtl/>
        </w:rPr>
      </w:pPr>
    </w:p>
    <w:p w:rsidR="00344514" w:rsidRPr="00344514" w:rsidRDefault="003052CA" w:rsidP="00344514">
      <w:pPr>
        <w:rPr>
          <w:rFonts w:cs="David"/>
          <w:sz w:val="24"/>
          <w:szCs w:val="24"/>
        </w:rPr>
      </w:pPr>
      <w:r w:rsidRPr="004C6723">
        <w:rPr>
          <w:rFonts w:cs="David" w:hint="cs"/>
          <w:sz w:val="24"/>
          <w:szCs w:val="24"/>
          <w:rtl/>
        </w:rPr>
        <w:t>ראה, דר' בן אוליאל, הודעה מוקדמת על סיום ח</w:t>
      </w:r>
      <w:r w:rsidR="00344514" w:rsidRPr="004C6723">
        <w:rPr>
          <w:rFonts w:cs="David" w:hint="cs"/>
          <w:sz w:val="24"/>
          <w:szCs w:val="24"/>
          <w:rtl/>
        </w:rPr>
        <w:t>ו</w:t>
      </w:r>
      <w:r w:rsidRPr="004C6723">
        <w:rPr>
          <w:rFonts w:cs="David" w:hint="cs"/>
          <w:sz w:val="24"/>
          <w:szCs w:val="24"/>
          <w:rtl/>
        </w:rPr>
        <w:t xml:space="preserve">זה הפצה: עמימות הדין </w:t>
      </w:r>
      <w:r w:rsidR="00344514" w:rsidRPr="004C6723">
        <w:rPr>
          <w:rFonts w:cs="David" w:hint="cs"/>
          <w:sz w:val="24"/>
          <w:szCs w:val="24"/>
          <w:rtl/>
        </w:rPr>
        <w:t>וה</w:t>
      </w:r>
      <w:r w:rsidRPr="004C6723">
        <w:rPr>
          <w:rFonts w:cs="David" w:hint="cs"/>
          <w:sz w:val="24"/>
          <w:szCs w:val="24"/>
          <w:rtl/>
        </w:rPr>
        <w:t xml:space="preserve">צורך בהסדר חקיקתי, </w:t>
      </w:r>
      <w:r w:rsidR="00344514" w:rsidRPr="004C6723">
        <w:rPr>
          <w:rFonts w:cs="David" w:hint="cs"/>
          <w:sz w:val="24"/>
          <w:szCs w:val="24"/>
          <w:rtl/>
        </w:rPr>
        <w:t>חוקים, כרך ו, 2014, עמ' 171-203, עמ' 173.</w:t>
      </w:r>
      <w:r w:rsidR="00344514" w:rsidRPr="00344514">
        <w:rPr>
          <w:rFonts w:cs="David" w:hint="cs"/>
          <w:sz w:val="24"/>
          <w:szCs w:val="24"/>
          <w:rtl/>
        </w:rPr>
        <w:t xml:space="preserve"> </w:t>
      </w:r>
    </w:p>
    <w:p w:rsidR="001E122A" w:rsidRDefault="001E122A" w:rsidP="001E122A">
      <w:pPr>
        <w:spacing w:after="0" w:line="360" w:lineRule="auto"/>
        <w:jc w:val="both"/>
        <w:rPr>
          <w:rFonts w:cs="David"/>
          <w:sz w:val="24"/>
          <w:szCs w:val="24"/>
          <w:rtl/>
        </w:rPr>
      </w:pPr>
    </w:p>
    <w:p w:rsidR="0057665C" w:rsidRDefault="00C86E1B" w:rsidP="001E122A">
      <w:pPr>
        <w:spacing w:after="0" w:line="360" w:lineRule="auto"/>
        <w:jc w:val="both"/>
        <w:rPr>
          <w:rFonts w:cs="David"/>
          <w:sz w:val="24"/>
          <w:szCs w:val="24"/>
          <w:rtl/>
        </w:rPr>
      </w:pPr>
      <w:r>
        <w:rPr>
          <w:rFonts w:cs="David" w:hint="cs"/>
          <w:sz w:val="24"/>
          <w:szCs w:val="24"/>
          <w:rtl/>
        </w:rPr>
        <w:t>בין הערב הרב של השיקולים, ניתן למצוא שיקולים של משך ההתקשרות בין הצדדים, היקף המשאבים שה</w:t>
      </w:r>
      <w:r w:rsidR="00B01E82">
        <w:rPr>
          <w:rFonts w:cs="David" w:hint="cs"/>
          <w:sz w:val="24"/>
          <w:szCs w:val="24"/>
          <w:rtl/>
        </w:rPr>
        <w:t xml:space="preserve">שקיע המפיץ, שיעור הרווחים שהמפיץ הספיק להפיק עד להודעה המוקדמת, גודל שוק הלקוחות שבו הופץ המוצר, מידת הבלעדיות שהתקיימו בין הצדדים, מידת יציבות היחסים בין המפיץ לספק , מידת התחרות ביחס </w:t>
      </w:r>
      <w:r w:rsidR="004A4DB7">
        <w:rPr>
          <w:rFonts w:cs="David" w:hint="cs"/>
          <w:sz w:val="24"/>
          <w:szCs w:val="24"/>
          <w:rtl/>
        </w:rPr>
        <w:t>למוצר שביסוד הסכם ההפצה וכו'. הרשימה איננה סגורה.</w:t>
      </w:r>
    </w:p>
    <w:p w:rsidR="001E122A" w:rsidRDefault="001E122A" w:rsidP="001E122A">
      <w:pPr>
        <w:spacing w:after="0" w:line="360" w:lineRule="auto"/>
        <w:jc w:val="both"/>
        <w:rPr>
          <w:rFonts w:cs="David"/>
          <w:sz w:val="24"/>
          <w:szCs w:val="24"/>
          <w:rtl/>
        </w:rPr>
      </w:pPr>
    </w:p>
    <w:p w:rsidR="00646B6D" w:rsidRDefault="00646B6D" w:rsidP="001E122A">
      <w:pPr>
        <w:spacing w:after="0" w:line="360" w:lineRule="auto"/>
        <w:jc w:val="both"/>
        <w:rPr>
          <w:rFonts w:cs="David"/>
          <w:sz w:val="24"/>
          <w:szCs w:val="24"/>
          <w:rtl/>
        </w:rPr>
      </w:pPr>
      <w:r w:rsidRPr="001E122A">
        <w:rPr>
          <w:rFonts w:ascii="Arial" w:hAnsi="Arial" w:cs="David"/>
          <w:sz w:val="24"/>
          <w:szCs w:val="24"/>
          <w:rtl/>
        </w:rPr>
        <w:t>משמעות הדברים הינה כי הספק חייב להביא בחשבון, בעת ביטול ההסכם וקביעת תקופת ההודעה המוקדמת, את הציפייה הלגיטימית של המפיץ</w:t>
      </w:r>
      <w:r w:rsidRPr="001E122A">
        <w:rPr>
          <w:rFonts w:ascii="Arial" w:hAnsi="Arial" w:cs="David" w:hint="cs"/>
          <w:sz w:val="24"/>
          <w:szCs w:val="24"/>
          <w:rtl/>
        </w:rPr>
        <w:t>:</w:t>
      </w:r>
      <w:r w:rsidRPr="001E122A">
        <w:rPr>
          <w:rFonts w:ascii="Arial" w:hAnsi="Arial" w:cs="David"/>
          <w:sz w:val="24"/>
          <w:szCs w:val="24"/>
          <w:rtl/>
        </w:rPr>
        <w:t xml:space="preserve"> להשיב לעצמו את ההשקעות, אשר השקיע בקידום מוצרי הספק ולכסות את הוצאותיו; להפיק רווח סביר מן החוזה ולקטוף את פירות השקעתו ומאמציו, ולו באופן חלקי; ולהתארגן למציאת עסק אחר במקום זה שבוטל</w:t>
      </w:r>
      <w:r w:rsidR="001E122A">
        <w:rPr>
          <w:rFonts w:ascii="Arial" w:hAnsi="Arial" w:cs="David" w:hint="cs"/>
          <w:sz w:val="24"/>
          <w:szCs w:val="24"/>
          <w:rtl/>
        </w:rPr>
        <w:t>.</w:t>
      </w:r>
    </w:p>
    <w:p w:rsidR="001E122A" w:rsidRDefault="001E122A" w:rsidP="001E122A">
      <w:pPr>
        <w:spacing w:after="0" w:line="360" w:lineRule="auto"/>
        <w:jc w:val="both"/>
        <w:rPr>
          <w:rFonts w:cs="David"/>
          <w:sz w:val="24"/>
          <w:szCs w:val="24"/>
          <w:rtl/>
        </w:rPr>
      </w:pPr>
    </w:p>
    <w:p w:rsidR="009C5D37" w:rsidRPr="009C5D37" w:rsidRDefault="009C5D37" w:rsidP="001E122A">
      <w:pPr>
        <w:spacing w:after="0" w:line="360" w:lineRule="auto"/>
        <w:jc w:val="both"/>
        <w:rPr>
          <w:rFonts w:cs="David"/>
          <w:b/>
          <w:bCs/>
          <w:sz w:val="24"/>
          <w:szCs w:val="24"/>
          <w:u w:val="single"/>
          <w:rtl/>
        </w:rPr>
      </w:pPr>
      <w:r w:rsidRPr="009C5D37">
        <w:rPr>
          <w:rFonts w:cs="David" w:hint="cs"/>
          <w:b/>
          <w:bCs/>
          <w:sz w:val="24"/>
          <w:szCs w:val="24"/>
          <w:u w:val="single"/>
          <w:rtl/>
        </w:rPr>
        <w:t>הצורך בהסדר חקיקתי</w:t>
      </w:r>
    </w:p>
    <w:p w:rsidR="00646B6D" w:rsidRDefault="00646B6D" w:rsidP="001E122A">
      <w:pPr>
        <w:spacing w:after="0" w:line="360" w:lineRule="auto"/>
        <w:jc w:val="both"/>
        <w:rPr>
          <w:rFonts w:cs="David"/>
          <w:sz w:val="24"/>
          <w:szCs w:val="24"/>
          <w:rtl/>
        </w:rPr>
      </w:pPr>
      <w:r>
        <w:rPr>
          <w:rFonts w:cs="David" w:hint="cs"/>
          <w:sz w:val="24"/>
          <w:szCs w:val="24"/>
          <w:rtl/>
        </w:rPr>
        <w:t xml:space="preserve">מעניין הוא כי חרף עמדות ברורות ונחרצות </w:t>
      </w:r>
      <w:r w:rsidR="001E122A">
        <w:rPr>
          <w:rFonts w:cs="David" w:hint="cs"/>
          <w:sz w:val="24"/>
          <w:szCs w:val="24"/>
          <w:rtl/>
        </w:rPr>
        <w:t xml:space="preserve">אלו </w:t>
      </w:r>
      <w:r>
        <w:rPr>
          <w:rFonts w:cs="David" w:hint="cs"/>
          <w:sz w:val="24"/>
          <w:szCs w:val="24"/>
          <w:rtl/>
        </w:rPr>
        <w:t xml:space="preserve">של בית המשפט העליון, </w:t>
      </w:r>
      <w:r w:rsidR="001E122A">
        <w:rPr>
          <w:rFonts w:cs="David" w:hint="cs"/>
          <w:sz w:val="24"/>
          <w:szCs w:val="24"/>
          <w:rtl/>
        </w:rPr>
        <w:t xml:space="preserve">בבחינת "חקיקה שיפוטית" של ממש, </w:t>
      </w:r>
      <w:r>
        <w:rPr>
          <w:rFonts w:cs="David" w:hint="cs"/>
          <w:sz w:val="24"/>
          <w:szCs w:val="24"/>
          <w:rtl/>
        </w:rPr>
        <w:t>ממשיכים סכסוכים אלו להתגלות באורח תדיר על פתח דלתו של בית המשפט ונדמה שכל עוד לא יוסדר העניין בחקיקה, ימשיכו ספקים ומפיצים להתנצח ביניהם, חודשים עד כדי שנים רבות והתוצאות לכך ידועות.</w:t>
      </w:r>
    </w:p>
    <w:p w:rsidR="004A4DB7" w:rsidRDefault="004A4DB7" w:rsidP="001E122A">
      <w:pPr>
        <w:spacing w:after="0" w:line="360" w:lineRule="auto"/>
        <w:jc w:val="both"/>
        <w:rPr>
          <w:rFonts w:cs="David"/>
          <w:sz w:val="24"/>
          <w:szCs w:val="24"/>
          <w:rtl/>
        </w:rPr>
      </w:pPr>
    </w:p>
    <w:p w:rsidR="003052CA" w:rsidRDefault="003052CA" w:rsidP="008B712A">
      <w:pPr>
        <w:spacing w:after="0" w:line="360" w:lineRule="auto"/>
        <w:jc w:val="both"/>
        <w:rPr>
          <w:rFonts w:cs="David"/>
          <w:sz w:val="24"/>
          <w:szCs w:val="24"/>
          <w:rtl/>
        </w:rPr>
      </w:pPr>
      <w:r>
        <w:rPr>
          <w:rFonts w:cs="David" w:hint="cs"/>
          <w:sz w:val="24"/>
          <w:szCs w:val="24"/>
          <w:rtl/>
        </w:rPr>
        <w:t>כדב</w:t>
      </w:r>
      <w:r w:rsidR="008B712A">
        <w:rPr>
          <w:rFonts w:cs="David" w:hint="cs"/>
          <w:sz w:val="24"/>
          <w:szCs w:val="24"/>
          <w:rtl/>
        </w:rPr>
        <w:t>רי</w:t>
      </w:r>
      <w:r>
        <w:rPr>
          <w:rFonts w:cs="David" w:hint="cs"/>
          <w:sz w:val="24"/>
          <w:szCs w:val="24"/>
          <w:rtl/>
        </w:rPr>
        <w:t xml:space="preserve"> דר' בן אוליאל </w:t>
      </w:r>
      <w:r w:rsidR="003D5FEF">
        <w:rPr>
          <w:rFonts w:cs="David" w:hint="cs"/>
          <w:sz w:val="24"/>
          <w:szCs w:val="24"/>
          <w:rtl/>
        </w:rPr>
        <w:t xml:space="preserve">במאמרו </w:t>
      </w:r>
      <w:r>
        <w:rPr>
          <w:rFonts w:cs="David" w:hint="cs"/>
          <w:sz w:val="24"/>
          <w:szCs w:val="24"/>
          <w:rtl/>
        </w:rPr>
        <w:t>חרף היותם של סכסוכים אלה סכסוכים תדירים</w:t>
      </w:r>
      <w:r w:rsidR="003D5FEF">
        <w:rPr>
          <w:rFonts w:cs="David" w:hint="cs"/>
          <w:sz w:val="24"/>
          <w:szCs w:val="24"/>
          <w:rtl/>
        </w:rPr>
        <w:t>,</w:t>
      </w:r>
      <w:r>
        <w:rPr>
          <w:rFonts w:cs="David" w:hint="cs"/>
          <w:sz w:val="24"/>
          <w:szCs w:val="24"/>
          <w:rtl/>
        </w:rPr>
        <w:t xml:space="preserve"> הסדרתם הסופית בפסיקה מאז הלכת זוהר טרם הושלמה:</w:t>
      </w:r>
    </w:p>
    <w:p w:rsidR="003052CA" w:rsidRDefault="003052CA" w:rsidP="001E122A">
      <w:pPr>
        <w:spacing w:after="0" w:line="360" w:lineRule="auto"/>
        <w:jc w:val="both"/>
        <w:rPr>
          <w:rFonts w:cs="David"/>
          <w:sz w:val="24"/>
          <w:szCs w:val="24"/>
          <w:rtl/>
        </w:rPr>
      </w:pPr>
    </w:p>
    <w:p w:rsidR="003D5FEF" w:rsidRPr="009C5D37" w:rsidRDefault="003D5FEF" w:rsidP="003D5FEF">
      <w:pPr>
        <w:spacing w:after="0" w:line="360" w:lineRule="auto"/>
        <w:jc w:val="both"/>
        <w:rPr>
          <w:rFonts w:cs="David"/>
          <w:sz w:val="24"/>
          <w:szCs w:val="24"/>
          <w:rtl/>
        </w:rPr>
      </w:pPr>
      <w:r w:rsidRPr="009C5D37">
        <w:rPr>
          <w:rFonts w:cs="David" w:hint="cs"/>
          <w:sz w:val="24"/>
          <w:szCs w:val="24"/>
          <w:rtl/>
        </w:rPr>
        <w:t>על כן, אין ספק כי משך הזמן הדרוש להודעה מוקדמת חייב להיות כזה שיביא בחשבון את כל אותם שיקולים שנמנו דלעיל, על מנת שלא להביא ליתרון מסחרי לטובת מי מהצדדים ועשיית איזון הולם וראוי. לולא זאת, מוטב יהיה על אותו מפיץ מקומי המתכנן למסד קשר עסקי עם יצרן מחו"ל, לשקול פעמיים את כדאיות העסקה. הדבר מתחייב מאחריותו של אותו מפיץ לעסקיו השונים, לקוחותיו, ספקיו ובני ביתו.</w:t>
      </w:r>
    </w:p>
    <w:p w:rsidR="003D5FEF" w:rsidRPr="004C6723" w:rsidRDefault="003D5FEF" w:rsidP="001E122A">
      <w:pPr>
        <w:spacing w:after="0" w:line="360" w:lineRule="auto"/>
        <w:jc w:val="both"/>
        <w:rPr>
          <w:rFonts w:cs="David"/>
          <w:b/>
          <w:bCs/>
          <w:sz w:val="24"/>
          <w:szCs w:val="24"/>
          <w:rtl/>
        </w:rPr>
      </w:pPr>
    </w:p>
    <w:p w:rsidR="003052CA" w:rsidRPr="00344514" w:rsidRDefault="008B712A" w:rsidP="008B712A">
      <w:pPr>
        <w:spacing w:after="0" w:line="360" w:lineRule="auto"/>
        <w:jc w:val="both"/>
        <w:rPr>
          <w:rFonts w:cs="David"/>
          <w:b/>
          <w:bCs/>
          <w:sz w:val="24"/>
          <w:szCs w:val="24"/>
          <w:rtl/>
        </w:rPr>
      </w:pPr>
      <w:r w:rsidRPr="004C6723">
        <w:rPr>
          <w:rFonts w:cs="David" w:hint="cs"/>
          <w:b/>
          <w:bCs/>
          <w:sz w:val="24"/>
          <w:szCs w:val="24"/>
          <w:rtl/>
        </w:rPr>
        <w:t>"</w:t>
      </w:r>
      <w:r w:rsidR="003052CA" w:rsidRPr="004C6723">
        <w:rPr>
          <w:rFonts w:cs="David" w:hint="cs"/>
          <w:b/>
          <w:bCs/>
          <w:sz w:val="24"/>
          <w:szCs w:val="24"/>
          <w:rtl/>
        </w:rPr>
        <w:t>אפשר לומר כי מבחינה עניינית קיימות בפסיקה, בעיקרו של דבר, שתי גישות מרכזיות; גישה אחת מתמקדת בחשיבות קיומו של פרק זמן סביר בין מ</w:t>
      </w:r>
      <w:r w:rsidR="003D5FEF" w:rsidRPr="004C6723">
        <w:rPr>
          <w:rFonts w:cs="David" w:hint="cs"/>
          <w:b/>
          <w:bCs/>
          <w:sz w:val="24"/>
          <w:szCs w:val="24"/>
          <w:rtl/>
        </w:rPr>
        <w:t>ו</w:t>
      </w:r>
      <w:r w:rsidR="003052CA" w:rsidRPr="004C6723">
        <w:rPr>
          <w:rFonts w:cs="David" w:hint="cs"/>
          <w:b/>
          <w:bCs/>
          <w:sz w:val="24"/>
          <w:szCs w:val="24"/>
          <w:rtl/>
        </w:rPr>
        <w:t>עד ההודעה על סיום ההסכם לבין מועד סיום ההתקשרות, אשר יאפשר למפיץ להתארגן לקראת סיום ההסכם (זוהי הגישה הראשונה). גישה שניה מבקשת לתת משקל גם לקיומו של פרק זמן סביר בין מ</w:t>
      </w:r>
      <w:r w:rsidR="003D5FEF" w:rsidRPr="004C6723">
        <w:rPr>
          <w:rFonts w:cs="David" w:hint="cs"/>
          <w:b/>
          <w:bCs/>
          <w:sz w:val="24"/>
          <w:szCs w:val="24"/>
          <w:rtl/>
        </w:rPr>
        <w:t>ו</w:t>
      </w:r>
      <w:r w:rsidR="003052CA" w:rsidRPr="004C6723">
        <w:rPr>
          <w:rFonts w:cs="David" w:hint="cs"/>
          <w:b/>
          <w:bCs/>
          <w:sz w:val="24"/>
          <w:szCs w:val="24"/>
          <w:rtl/>
        </w:rPr>
        <w:t>עד כריתת ההסכם לבין סיומו, וזאת כדי לאפשר למפיץ להפיק רווח מ</w:t>
      </w:r>
      <w:r w:rsidR="003D5FEF" w:rsidRPr="004C6723">
        <w:rPr>
          <w:rFonts w:cs="David" w:hint="cs"/>
          <w:b/>
          <w:bCs/>
          <w:sz w:val="24"/>
          <w:szCs w:val="24"/>
          <w:rtl/>
        </w:rPr>
        <w:t>ה</w:t>
      </w:r>
      <w:r w:rsidR="003052CA" w:rsidRPr="004C6723">
        <w:rPr>
          <w:rFonts w:cs="David" w:hint="cs"/>
          <w:b/>
          <w:bCs/>
          <w:sz w:val="24"/>
          <w:szCs w:val="24"/>
          <w:rtl/>
        </w:rPr>
        <w:t>שקעותיו (גישה זו משתקפת בגישה השניה והשלישית). נדמה כי חו</w:t>
      </w:r>
      <w:r w:rsidRPr="004C6723">
        <w:rPr>
          <w:rFonts w:cs="David" w:hint="cs"/>
          <w:b/>
          <w:bCs/>
          <w:sz w:val="24"/>
          <w:szCs w:val="24"/>
          <w:rtl/>
        </w:rPr>
        <w:t>ס</w:t>
      </w:r>
      <w:r w:rsidR="003052CA" w:rsidRPr="004C6723">
        <w:rPr>
          <w:rFonts w:cs="David" w:hint="cs"/>
          <w:b/>
          <w:bCs/>
          <w:sz w:val="24"/>
          <w:szCs w:val="24"/>
          <w:rtl/>
        </w:rPr>
        <w:t>ר הבהירות בפסיקה באשר לתכ</w:t>
      </w:r>
      <w:r w:rsidR="003D5FEF" w:rsidRPr="004C6723">
        <w:rPr>
          <w:rFonts w:cs="David" w:hint="cs"/>
          <w:b/>
          <w:bCs/>
          <w:sz w:val="24"/>
          <w:szCs w:val="24"/>
          <w:rtl/>
        </w:rPr>
        <w:t>ל</w:t>
      </w:r>
      <w:r w:rsidR="003052CA" w:rsidRPr="004C6723">
        <w:rPr>
          <w:rFonts w:cs="David" w:hint="cs"/>
          <w:b/>
          <w:bCs/>
          <w:sz w:val="24"/>
          <w:szCs w:val="24"/>
          <w:rtl/>
        </w:rPr>
        <w:t>יות ההודעה המוקדמת ומשקלן היחס</w:t>
      </w:r>
      <w:r w:rsidR="003D5FEF" w:rsidRPr="004C6723">
        <w:rPr>
          <w:rFonts w:cs="David" w:hint="cs"/>
          <w:b/>
          <w:bCs/>
          <w:sz w:val="24"/>
          <w:szCs w:val="24"/>
          <w:rtl/>
        </w:rPr>
        <w:t>י</w:t>
      </w:r>
      <w:r w:rsidR="003052CA" w:rsidRPr="004C6723">
        <w:rPr>
          <w:rFonts w:cs="David" w:hint="cs"/>
          <w:b/>
          <w:bCs/>
          <w:sz w:val="24"/>
          <w:szCs w:val="24"/>
          <w:rtl/>
        </w:rPr>
        <w:t xml:space="preserve"> נובע בין היתר מהעובדה כי בדין המצוי לא נעשה הבחנה ברורה וחדה בין הכללים המשפטיים שנועד</w:t>
      </w:r>
      <w:r w:rsidR="003D5FEF" w:rsidRPr="004C6723">
        <w:rPr>
          <w:rFonts w:cs="David" w:hint="cs"/>
          <w:b/>
          <w:bCs/>
          <w:sz w:val="24"/>
          <w:szCs w:val="24"/>
          <w:rtl/>
        </w:rPr>
        <w:t>ו</w:t>
      </w:r>
      <w:r w:rsidR="003052CA" w:rsidRPr="004C6723">
        <w:rPr>
          <w:rFonts w:cs="David" w:hint="cs"/>
          <w:b/>
          <w:bCs/>
          <w:sz w:val="24"/>
          <w:szCs w:val="24"/>
          <w:rtl/>
        </w:rPr>
        <w:t xml:space="preserve"> להגן על האינטרס של המפיץ להת</w:t>
      </w:r>
      <w:r w:rsidR="003D5FEF" w:rsidRPr="004C6723">
        <w:rPr>
          <w:rFonts w:cs="David" w:hint="cs"/>
          <w:b/>
          <w:bCs/>
          <w:sz w:val="24"/>
          <w:szCs w:val="24"/>
          <w:rtl/>
        </w:rPr>
        <w:t>א</w:t>
      </w:r>
      <w:r w:rsidR="003052CA" w:rsidRPr="004C6723">
        <w:rPr>
          <w:rFonts w:cs="David" w:hint="cs"/>
          <w:b/>
          <w:bCs/>
          <w:sz w:val="24"/>
          <w:szCs w:val="24"/>
          <w:rtl/>
        </w:rPr>
        <w:t>רגן לקראת סיום ההסכם לבין הכללים המשפטיים בנוש</w:t>
      </w:r>
      <w:r w:rsidR="003D5FEF" w:rsidRPr="004C6723">
        <w:rPr>
          <w:rFonts w:cs="David" w:hint="cs"/>
          <w:b/>
          <w:bCs/>
          <w:sz w:val="24"/>
          <w:szCs w:val="24"/>
          <w:rtl/>
        </w:rPr>
        <w:t>א</w:t>
      </w:r>
      <w:r w:rsidR="003052CA" w:rsidRPr="004C6723">
        <w:rPr>
          <w:rFonts w:cs="David" w:hint="cs"/>
          <w:b/>
          <w:bCs/>
          <w:sz w:val="24"/>
          <w:szCs w:val="24"/>
          <w:rtl/>
        </w:rPr>
        <w:t xml:space="preserve"> </w:t>
      </w:r>
      <w:r w:rsidR="003D5FEF" w:rsidRPr="004C6723">
        <w:rPr>
          <w:rFonts w:cs="David" w:hint="cs"/>
          <w:b/>
          <w:bCs/>
          <w:sz w:val="24"/>
          <w:szCs w:val="24"/>
          <w:rtl/>
        </w:rPr>
        <w:t>שנועדו</w:t>
      </w:r>
      <w:r w:rsidR="003052CA" w:rsidRPr="004C6723">
        <w:rPr>
          <w:rFonts w:cs="David" w:hint="cs"/>
          <w:b/>
          <w:bCs/>
          <w:sz w:val="24"/>
          <w:szCs w:val="24"/>
          <w:rtl/>
        </w:rPr>
        <w:t xml:space="preserve"> להגן על אינטר</w:t>
      </w:r>
      <w:r w:rsidR="003D5FEF" w:rsidRPr="004C6723">
        <w:rPr>
          <w:rFonts w:cs="David" w:hint="cs"/>
          <w:b/>
          <w:bCs/>
          <w:sz w:val="24"/>
          <w:szCs w:val="24"/>
          <w:rtl/>
        </w:rPr>
        <w:t>ס</w:t>
      </w:r>
      <w:r w:rsidR="003052CA" w:rsidRPr="004C6723">
        <w:rPr>
          <w:rFonts w:cs="David" w:hint="cs"/>
          <w:b/>
          <w:bCs/>
          <w:sz w:val="24"/>
          <w:szCs w:val="24"/>
          <w:rtl/>
        </w:rPr>
        <w:t xml:space="preserve"> המפיץ בקבלת הזדמנות להפיק רווח מהשקעותיו. </w:t>
      </w:r>
      <w:r w:rsidR="003052CA" w:rsidRPr="004C6723">
        <w:rPr>
          <w:rFonts w:cs="David" w:hint="cs"/>
          <w:b/>
          <w:bCs/>
          <w:sz w:val="24"/>
          <w:szCs w:val="24"/>
          <w:rtl/>
        </w:rPr>
        <w:lastRenderedPageBreak/>
        <w:t>שני האינטרסים הללו, על אף השוני ביניהם, זו</w:t>
      </w:r>
      <w:r w:rsidR="003D5FEF" w:rsidRPr="004C6723">
        <w:rPr>
          <w:rFonts w:cs="David" w:hint="cs"/>
          <w:b/>
          <w:bCs/>
          <w:sz w:val="24"/>
          <w:szCs w:val="24"/>
          <w:rtl/>
        </w:rPr>
        <w:t>כ</w:t>
      </w:r>
      <w:r w:rsidR="003052CA" w:rsidRPr="004C6723">
        <w:rPr>
          <w:rFonts w:cs="David" w:hint="cs"/>
          <w:b/>
          <w:bCs/>
          <w:sz w:val="24"/>
          <w:szCs w:val="24"/>
          <w:rtl/>
        </w:rPr>
        <w:t>ים להתייחס</w:t>
      </w:r>
      <w:r w:rsidR="003D5FEF" w:rsidRPr="004C6723">
        <w:rPr>
          <w:rFonts w:cs="David" w:hint="cs"/>
          <w:b/>
          <w:bCs/>
          <w:sz w:val="24"/>
          <w:szCs w:val="24"/>
          <w:rtl/>
        </w:rPr>
        <w:t>ות</w:t>
      </w:r>
      <w:r w:rsidR="003052CA" w:rsidRPr="004C6723">
        <w:rPr>
          <w:rFonts w:cs="David" w:hint="cs"/>
          <w:b/>
          <w:bCs/>
          <w:sz w:val="24"/>
          <w:szCs w:val="24"/>
          <w:rtl/>
        </w:rPr>
        <w:t xml:space="preserve"> בכלל משפטי יחיד, קרי הכלל המחייב את ספק במתן הודעה מקודמת בזמן ראוי."</w:t>
      </w:r>
    </w:p>
    <w:p w:rsidR="003052CA" w:rsidRDefault="00344514" w:rsidP="00344514">
      <w:pPr>
        <w:spacing w:after="0" w:line="360" w:lineRule="auto"/>
        <w:jc w:val="both"/>
        <w:rPr>
          <w:rFonts w:cs="David"/>
          <w:sz w:val="24"/>
          <w:szCs w:val="24"/>
          <w:rtl/>
        </w:rPr>
      </w:pPr>
      <w:r>
        <w:rPr>
          <w:rFonts w:cs="David" w:hint="cs"/>
          <w:sz w:val="24"/>
          <w:szCs w:val="24"/>
          <w:rtl/>
        </w:rPr>
        <w:t>ראה שם, עמ' 175 ל</w:t>
      </w:r>
      <w:r w:rsidR="003052CA">
        <w:rPr>
          <w:rFonts w:cs="David" w:hint="cs"/>
          <w:sz w:val="24"/>
          <w:szCs w:val="24"/>
          <w:rtl/>
        </w:rPr>
        <w:t xml:space="preserve">מאמרו </w:t>
      </w:r>
      <w:r>
        <w:rPr>
          <w:rFonts w:cs="David" w:hint="cs"/>
          <w:sz w:val="24"/>
          <w:szCs w:val="24"/>
          <w:rtl/>
        </w:rPr>
        <w:t xml:space="preserve">של דר' בן אוליאל. </w:t>
      </w:r>
    </w:p>
    <w:p w:rsidR="003052CA" w:rsidRDefault="003052CA" w:rsidP="001E122A">
      <w:pPr>
        <w:spacing w:after="0" w:line="360" w:lineRule="auto"/>
        <w:jc w:val="both"/>
        <w:rPr>
          <w:rFonts w:cs="David"/>
          <w:sz w:val="24"/>
          <w:szCs w:val="24"/>
          <w:rtl/>
        </w:rPr>
      </w:pPr>
    </w:p>
    <w:p w:rsidR="00B83D2F" w:rsidRDefault="00646B6D" w:rsidP="004A4DB7">
      <w:pPr>
        <w:spacing w:after="0" w:line="360" w:lineRule="auto"/>
        <w:jc w:val="both"/>
        <w:rPr>
          <w:rFonts w:cs="David"/>
          <w:sz w:val="24"/>
          <w:szCs w:val="24"/>
          <w:rtl/>
        </w:rPr>
      </w:pPr>
      <w:r>
        <w:rPr>
          <w:rFonts w:cs="David" w:hint="cs"/>
          <w:sz w:val="24"/>
          <w:szCs w:val="24"/>
          <w:rtl/>
        </w:rPr>
        <w:t>לדעתנו,</w:t>
      </w:r>
      <w:r w:rsidR="00B01E82">
        <w:rPr>
          <w:rFonts w:cs="David" w:hint="cs"/>
          <w:sz w:val="24"/>
          <w:szCs w:val="24"/>
          <w:rtl/>
        </w:rPr>
        <w:t xml:space="preserve"> </w:t>
      </w:r>
      <w:r w:rsidR="0057665C">
        <w:rPr>
          <w:rFonts w:cs="David" w:hint="cs"/>
          <w:sz w:val="24"/>
          <w:szCs w:val="24"/>
          <w:rtl/>
        </w:rPr>
        <w:t xml:space="preserve">תכנון </w:t>
      </w:r>
      <w:r w:rsidR="00A666CF">
        <w:rPr>
          <w:rFonts w:cs="David" w:hint="cs"/>
          <w:sz w:val="24"/>
          <w:szCs w:val="24"/>
          <w:rtl/>
        </w:rPr>
        <w:t xml:space="preserve">מושכל ומתוכנן </w:t>
      </w:r>
      <w:r w:rsidR="0057665C">
        <w:rPr>
          <w:rFonts w:cs="David" w:hint="cs"/>
          <w:sz w:val="24"/>
          <w:szCs w:val="24"/>
          <w:rtl/>
        </w:rPr>
        <w:t xml:space="preserve">מראש של אותם מוקשים פוטנציאליים, </w:t>
      </w:r>
      <w:r w:rsidR="004A4DB7">
        <w:rPr>
          <w:rFonts w:cs="David" w:hint="cs"/>
          <w:sz w:val="24"/>
          <w:szCs w:val="24"/>
          <w:rtl/>
        </w:rPr>
        <w:t xml:space="preserve">וביניהם תיחום והגדרה ברורה של משך הזמן הדרוש להודעה מוקדמת, </w:t>
      </w:r>
      <w:r w:rsidR="0057665C">
        <w:rPr>
          <w:rFonts w:cs="David" w:hint="cs"/>
          <w:sz w:val="24"/>
          <w:szCs w:val="24"/>
          <w:rtl/>
        </w:rPr>
        <w:t>על ידי מתן ייעוץ וליווי משפטי שוטף,</w:t>
      </w:r>
      <w:r w:rsidRPr="00646B6D">
        <w:rPr>
          <w:rFonts w:cs="David" w:hint="cs"/>
          <w:sz w:val="24"/>
          <w:szCs w:val="24"/>
          <w:rtl/>
        </w:rPr>
        <w:t xml:space="preserve"> </w:t>
      </w:r>
      <w:r w:rsidR="004A4DB7">
        <w:rPr>
          <w:rFonts w:cs="David" w:hint="cs"/>
          <w:sz w:val="24"/>
          <w:szCs w:val="24"/>
          <w:rtl/>
        </w:rPr>
        <w:t>ובין היתר,</w:t>
      </w:r>
      <w:r w:rsidR="0057665C">
        <w:rPr>
          <w:rFonts w:cs="David" w:hint="cs"/>
          <w:sz w:val="24"/>
          <w:szCs w:val="24"/>
          <w:rtl/>
        </w:rPr>
        <w:t xml:space="preserve"> הסדרת </w:t>
      </w:r>
      <w:r>
        <w:rPr>
          <w:rFonts w:cs="David" w:hint="cs"/>
          <w:sz w:val="24"/>
          <w:szCs w:val="24"/>
          <w:rtl/>
        </w:rPr>
        <w:t xml:space="preserve">הסכמי הפצה הכוללים </w:t>
      </w:r>
      <w:r w:rsidR="00F46650">
        <w:rPr>
          <w:rFonts w:cs="David" w:hint="cs"/>
          <w:sz w:val="24"/>
          <w:szCs w:val="24"/>
          <w:rtl/>
        </w:rPr>
        <w:t xml:space="preserve">מנגנוני בוררות, </w:t>
      </w:r>
      <w:r>
        <w:rPr>
          <w:rFonts w:cs="David" w:hint="cs"/>
          <w:sz w:val="24"/>
          <w:szCs w:val="24"/>
          <w:rtl/>
        </w:rPr>
        <w:t>לרבות</w:t>
      </w:r>
      <w:r w:rsidR="00F46650">
        <w:rPr>
          <w:rFonts w:cs="David" w:hint="cs"/>
          <w:sz w:val="24"/>
          <w:szCs w:val="24"/>
          <w:rtl/>
        </w:rPr>
        <w:t xml:space="preserve"> בוררות בינלאומית</w:t>
      </w:r>
      <w:r w:rsidR="004921E5">
        <w:rPr>
          <w:rFonts w:cs="David" w:hint="cs"/>
          <w:sz w:val="24"/>
          <w:szCs w:val="24"/>
          <w:rtl/>
        </w:rPr>
        <w:t xml:space="preserve"> במידת הצורך</w:t>
      </w:r>
      <w:r w:rsidR="00F46650">
        <w:rPr>
          <w:rFonts w:cs="David" w:hint="cs"/>
          <w:sz w:val="24"/>
          <w:szCs w:val="24"/>
          <w:rtl/>
        </w:rPr>
        <w:t>,</w:t>
      </w:r>
      <w:r w:rsidR="00B01E82">
        <w:rPr>
          <w:rFonts w:cs="David" w:hint="cs"/>
          <w:sz w:val="24"/>
          <w:szCs w:val="24"/>
          <w:rtl/>
        </w:rPr>
        <w:t xml:space="preserve"> </w:t>
      </w:r>
      <w:r w:rsidR="0057665C">
        <w:rPr>
          <w:rFonts w:cs="David" w:hint="cs"/>
          <w:sz w:val="24"/>
          <w:szCs w:val="24"/>
          <w:rtl/>
        </w:rPr>
        <w:t xml:space="preserve">או </w:t>
      </w:r>
    </w:p>
    <w:p w:rsidR="00C455D8" w:rsidRDefault="0057665C" w:rsidP="004A4DB7">
      <w:pPr>
        <w:spacing w:after="0" w:line="360" w:lineRule="auto"/>
        <w:jc w:val="both"/>
        <w:rPr>
          <w:rFonts w:cs="David"/>
          <w:sz w:val="24"/>
          <w:szCs w:val="24"/>
          <w:rtl/>
        </w:rPr>
      </w:pPr>
      <w:r>
        <w:rPr>
          <w:rFonts w:cs="David" w:hint="cs"/>
          <w:sz w:val="24"/>
          <w:szCs w:val="24"/>
          <w:rtl/>
        </w:rPr>
        <w:t>גישור מתקדמים</w:t>
      </w:r>
      <w:r w:rsidR="00646B6D">
        <w:rPr>
          <w:rFonts w:cs="David" w:hint="cs"/>
          <w:sz w:val="24"/>
          <w:szCs w:val="24"/>
          <w:rtl/>
        </w:rPr>
        <w:t xml:space="preserve"> </w:t>
      </w:r>
      <w:r>
        <w:rPr>
          <w:rFonts w:cs="David" w:hint="cs"/>
          <w:sz w:val="24"/>
          <w:szCs w:val="24"/>
          <w:rtl/>
        </w:rPr>
        <w:t>יביאו את הצדדי</w:t>
      </w:r>
      <w:r w:rsidR="00B01E82">
        <w:rPr>
          <w:rFonts w:cs="David" w:hint="cs"/>
          <w:sz w:val="24"/>
          <w:szCs w:val="24"/>
          <w:rtl/>
        </w:rPr>
        <w:t>ם</w:t>
      </w:r>
      <w:r>
        <w:rPr>
          <w:rFonts w:cs="David" w:hint="cs"/>
          <w:sz w:val="24"/>
          <w:szCs w:val="24"/>
          <w:rtl/>
        </w:rPr>
        <w:t xml:space="preserve"> למצות את הסכסוכים, ככל שיעלו על הפרק, מבלי להידרש ולהטריח עצמם בבתי משפט</w:t>
      </w:r>
      <w:r w:rsidR="00C86E1B">
        <w:rPr>
          <w:rFonts w:cs="David" w:hint="cs"/>
          <w:sz w:val="24"/>
          <w:szCs w:val="24"/>
          <w:rtl/>
        </w:rPr>
        <w:t>, חדשות לבקרים</w:t>
      </w:r>
      <w:r w:rsidR="007252C8">
        <w:rPr>
          <w:rFonts w:cs="David" w:hint="cs"/>
          <w:sz w:val="24"/>
          <w:szCs w:val="24"/>
          <w:rtl/>
        </w:rPr>
        <w:t xml:space="preserve"> ולמשך זמן ממושך, הנפרש לעיתים תכופות על פני שנים.</w:t>
      </w:r>
    </w:p>
    <w:p w:rsidR="00382C00" w:rsidRDefault="00382C00" w:rsidP="004A4DB7">
      <w:pPr>
        <w:spacing w:after="0" w:line="360" w:lineRule="auto"/>
        <w:jc w:val="both"/>
        <w:rPr>
          <w:rFonts w:cs="David"/>
          <w:sz w:val="24"/>
          <w:szCs w:val="24"/>
          <w:rtl/>
        </w:rPr>
      </w:pPr>
    </w:p>
    <w:p w:rsidR="0094388F" w:rsidRDefault="0094388F" w:rsidP="0094388F">
      <w:pPr>
        <w:spacing w:after="0" w:line="360" w:lineRule="auto"/>
        <w:jc w:val="both"/>
        <w:rPr>
          <w:rFonts w:cs="David"/>
          <w:sz w:val="24"/>
          <w:szCs w:val="24"/>
          <w:rtl/>
        </w:rPr>
      </w:pPr>
      <w:r>
        <w:rPr>
          <w:rFonts w:cs="David" w:hint="cs"/>
          <w:sz w:val="24"/>
          <w:szCs w:val="24"/>
          <w:rtl/>
        </w:rPr>
        <w:t>ניסיון משרדנו רב-השנים מוכיח פעם אחר פעם שהבוררות ככלי לפתרון סכסוכים מסחריים הינה דה-פקטו דרך עדיפה, באופן מובהק,  על פני ניהול התדיינות בבתי-משפט במשך שנים רבות.</w:t>
      </w:r>
    </w:p>
    <w:p w:rsidR="0094388F" w:rsidRDefault="0094388F" w:rsidP="0094388F">
      <w:pPr>
        <w:spacing w:after="0" w:line="360" w:lineRule="auto"/>
        <w:jc w:val="both"/>
        <w:rPr>
          <w:rFonts w:cs="David"/>
          <w:sz w:val="24"/>
          <w:szCs w:val="24"/>
          <w:rtl/>
        </w:rPr>
      </w:pPr>
    </w:p>
    <w:p w:rsidR="00C455D8" w:rsidRDefault="00C455D8" w:rsidP="00382C00">
      <w:pPr>
        <w:spacing w:after="0" w:line="360" w:lineRule="auto"/>
        <w:jc w:val="both"/>
        <w:rPr>
          <w:rFonts w:cs="David"/>
          <w:sz w:val="24"/>
          <w:szCs w:val="24"/>
          <w:rtl/>
        </w:rPr>
      </w:pPr>
      <w:r>
        <w:rPr>
          <w:rFonts w:cs="David" w:hint="cs"/>
          <w:sz w:val="24"/>
          <w:szCs w:val="24"/>
          <w:rtl/>
        </w:rPr>
        <w:t xml:space="preserve">הקניית כלים מעשיים לעוסקים בתחומים אלה למניעת ופיתרון סכסוכים שונים להם נדרשים ומניעתם מבעוד מועד, החל ממועד עריכת ההסכם, דרך ההתנהלות השוטפת במיילים ועד למועד הפרידה, לרבות חובת הודעה מוקדמת ומשמעותה המשפטית יניבו פירות בכל האספקטים- </w:t>
      </w:r>
    </w:p>
    <w:p w:rsidR="00910033" w:rsidRDefault="00C455D8" w:rsidP="00C455D8">
      <w:pPr>
        <w:spacing w:after="0" w:line="360" w:lineRule="auto"/>
        <w:jc w:val="both"/>
        <w:rPr>
          <w:rFonts w:cs="David"/>
          <w:sz w:val="24"/>
          <w:szCs w:val="24"/>
          <w:rtl/>
        </w:rPr>
      </w:pPr>
      <w:r>
        <w:rPr>
          <w:rFonts w:cs="David" w:hint="cs"/>
          <w:sz w:val="24"/>
          <w:szCs w:val="24"/>
          <w:rtl/>
        </w:rPr>
        <w:t>עסקיים, כלכליים, משפטיים וחברתיים כאחד וישרישו נורמות אמון בין בעלי עסקים בעצימות גבוהה.</w:t>
      </w:r>
      <w:r w:rsidR="001E122A">
        <w:rPr>
          <w:rFonts w:cs="David" w:hint="cs"/>
          <w:sz w:val="24"/>
          <w:szCs w:val="24"/>
          <w:rtl/>
        </w:rPr>
        <w:t xml:space="preserve"> </w:t>
      </w:r>
      <w:r w:rsidR="00910033">
        <w:rPr>
          <w:rFonts w:cs="David" w:hint="cs"/>
          <w:sz w:val="24"/>
          <w:szCs w:val="24"/>
          <w:rtl/>
        </w:rPr>
        <w:t xml:space="preserve"> </w:t>
      </w:r>
      <w:r>
        <w:rPr>
          <w:rFonts w:cs="David" w:hint="cs"/>
          <w:sz w:val="24"/>
          <w:szCs w:val="24"/>
          <w:rtl/>
        </w:rPr>
        <w:t>והתוצאות מדברות בעד עצמן.</w:t>
      </w:r>
    </w:p>
    <w:p w:rsidR="001E122A" w:rsidRDefault="001E122A" w:rsidP="001E122A">
      <w:pPr>
        <w:spacing w:after="0" w:line="360" w:lineRule="auto"/>
        <w:jc w:val="both"/>
        <w:rPr>
          <w:rFonts w:cs="David"/>
          <w:sz w:val="24"/>
          <w:szCs w:val="24"/>
          <w:rtl/>
        </w:rPr>
      </w:pPr>
    </w:p>
    <w:p w:rsidR="0057665C" w:rsidRDefault="000E2189" w:rsidP="000E2189">
      <w:pPr>
        <w:spacing w:after="0" w:line="360" w:lineRule="auto"/>
        <w:jc w:val="both"/>
        <w:rPr>
          <w:rFonts w:cs="David"/>
          <w:sz w:val="24"/>
          <w:szCs w:val="24"/>
          <w:rtl/>
        </w:rPr>
      </w:pPr>
      <w:r>
        <w:rPr>
          <w:rFonts w:cs="David" w:hint="cs"/>
          <w:sz w:val="24"/>
          <w:szCs w:val="24"/>
          <w:rtl/>
        </w:rPr>
        <w:t xml:space="preserve">בעידן החדש, המאופיין בשוק עסקים דינמי, </w:t>
      </w:r>
      <w:r w:rsidR="001E122A">
        <w:rPr>
          <w:rFonts w:cs="David" w:hint="cs"/>
          <w:sz w:val="24"/>
          <w:szCs w:val="24"/>
          <w:rtl/>
        </w:rPr>
        <w:t>תחרותי</w:t>
      </w:r>
      <w:r>
        <w:rPr>
          <w:rFonts w:cs="David" w:hint="cs"/>
          <w:sz w:val="24"/>
          <w:szCs w:val="24"/>
          <w:rtl/>
        </w:rPr>
        <w:t xml:space="preserve"> ומשתנה</w:t>
      </w:r>
      <w:r w:rsidR="001E122A">
        <w:rPr>
          <w:rFonts w:cs="David" w:hint="cs"/>
          <w:sz w:val="24"/>
          <w:szCs w:val="24"/>
          <w:rtl/>
        </w:rPr>
        <w:t xml:space="preserve"> כדוגמת עולם העסקים הישראלי, בו זמן וכסף הם מצרכים נדירים, נדמה </w:t>
      </w:r>
      <w:r>
        <w:rPr>
          <w:rFonts w:cs="David" w:hint="cs"/>
          <w:sz w:val="24"/>
          <w:szCs w:val="24"/>
          <w:rtl/>
        </w:rPr>
        <w:t>שבחירה בחלופה של יישוב סכסוכים מחוץ לבית המשפט</w:t>
      </w:r>
      <w:r w:rsidR="001E122A">
        <w:rPr>
          <w:rFonts w:cs="David" w:hint="cs"/>
          <w:sz w:val="24"/>
          <w:szCs w:val="24"/>
          <w:rtl/>
        </w:rPr>
        <w:t xml:space="preserve"> מתבקש</w:t>
      </w:r>
      <w:r>
        <w:rPr>
          <w:rFonts w:cs="David" w:hint="cs"/>
          <w:sz w:val="24"/>
          <w:szCs w:val="24"/>
          <w:rtl/>
        </w:rPr>
        <w:t>ת</w:t>
      </w:r>
      <w:r w:rsidR="00646B6D">
        <w:rPr>
          <w:rFonts w:cs="David" w:hint="cs"/>
          <w:sz w:val="24"/>
          <w:szCs w:val="24"/>
          <w:rtl/>
        </w:rPr>
        <w:t xml:space="preserve"> </w:t>
      </w:r>
      <w:r w:rsidR="001E122A">
        <w:rPr>
          <w:rFonts w:cs="David" w:hint="cs"/>
          <w:sz w:val="24"/>
          <w:szCs w:val="24"/>
          <w:rtl/>
        </w:rPr>
        <w:t>.</w:t>
      </w:r>
    </w:p>
    <w:p w:rsidR="003D5FEF" w:rsidRDefault="003D5FEF" w:rsidP="000E2189">
      <w:pPr>
        <w:spacing w:after="0" w:line="360" w:lineRule="auto"/>
        <w:jc w:val="both"/>
        <w:rPr>
          <w:rFonts w:cs="David"/>
          <w:sz w:val="24"/>
          <w:szCs w:val="24"/>
          <w:rtl/>
        </w:rPr>
      </w:pPr>
    </w:p>
    <w:p w:rsidR="004C6723" w:rsidRDefault="003D5FEF" w:rsidP="00D67B97">
      <w:pPr>
        <w:spacing w:after="0" w:line="360" w:lineRule="auto"/>
        <w:jc w:val="both"/>
        <w:rPr>
          <w:rFonts w:cs="David"/>
          <w:sz w:val="24"/>
          <w:szCs w:val="24"/>
          <w:rtl/>
        </w:rPr>
      </w:pPr>
      <w:r w:rsidRPr="009C5D37">
        <w:rPr>
          <w:rFonts w:cs="David" w:hint="cs"/>
          <w:sz w:val="24"/>
          <w:szCs w:val="24"/>
          <w:rtl/>
        </w:rPr>
        <w:t xml:space="preserve">על רקע כל אלו אנו סבורים כי נושא יחסי מפיץ </w:t>
      </w:r>
      <w:r w:rsidRPr="009C5D37">
        <w:rPr>
          <w:rFonts w:cs="David"/>
          <w:sz w:val="24"/>
          <w:szCs w:val="24"/>
          <w:rtl/>
        </w:rPr>
        <w:t>–</w:t>
      </w:r>
      <w:r w:rsidRPr="009C5D37">
        <w:rPr>
          <w:rFonts w:cs="David" w:hint="cs"/>
          <w:sz w:val="24"/>
          <w:szCs w:val="24"/>
          <w:rtl/>
        </w:rPr>
        <w:t xml:space="preserve"> יצרן/ספק ראוי להסדרת חקיקתית. הסדרה חקיקתית תסדיר יחסים אלו ובכלל זאת את כל נ</w:t>
      </w:r>
      <w:r w:rsidR="00D67B97" w:rsidRPr="009C5D37">
        <w:rPr>
          <w:rFonts w:cs="David" w:hint="cs"/>
          <w:sz w:val="24"/>
          <w:szCs w:val="24"/>
          <w:rtl/>
        </w:rPr>
        <w:t>ו</w:t>
      </w:r>
      <w:r w:rsidRPr="009C5D37">
        <w:rPr>
          <w:rFonts w:cs="David" w:hint="cs"/>
          <w:sz w:val="24"/>
          <w:szCs w:val="24"/>
          <w:rtl/>
        </w:rPr>
        <w:t>שא ההודעה המוקדמת. על כך ניתן ללמוד גזירה שווה מפעילות מוצלחת של לשכת המסחר בישראל אשר פעלה נמרצות עד לאישור</w:t>
      </w:r>
      <w:r w:rsidR="004C6723" w:rsidRPr="009C5D37">
        <w:rPr>
          <w:rFonts w:cs="David" w:hint="cs"/>
          <w:sz w:val="24"/>
          <w:szCs w:val="24"/>
          <w:rtl/>
        </w:rPr>
        <w:t xml:space="preserve"> חוק חוזה סוכנות (סוכן מסחרי וספק), התשנ"ב </w:t>
      </w:r>
      <w:r w:rsidR="004C6723" w:rsidRPr="009C5D37">
        <w:rPr>
          <w:rFonts w:cs="David"/>
          <w:sz w:val="24"/>
          <w:szCs w:val="24"/>
          <w:rtl/>
        </w:rPr>
        <w:t>–</w:t>
      </w:r>
      <w:r w:rsidR="004C6723" w:rsidRPr="009C5D37">
        <w:rPr>
          <w:rFonts w:cs="David" w:hint="cs"/>
          <w:sz w:val="24"/>
          <w:szCs w:val="24"/>
          <w:rtl/>
        </w:rPr>
        <w:t xml:space="preserve"> 2012:</w:t>
      </w:r>
    </w:p>
    <w:p w:rsidR="004C6723" w:rsidRDefault="004C6723" w:rsidP="00D67B97">
      <w:pPr>
        <w:spacing w:after="0" w:line="360" w:lineRule="auto"/>
        <w:jc w:val="both"/>
        <w:rPr>
          <w:rFonts w:cs="David"/>
          <w:sz w:val="24"/>
          <w:szCs w:val="24"/>
          <w:rtl/>
        </w:rPr>
      </w:pPr>
    </w:p>
    <w:p w:rsidR="004C6723" w:rsidRPr="00D9448B" w:rsidRDefault="004C6723" w:rsidP="004C6723">
      <w:pPr>
        <w:spacing w:after="0" w:line="360" w:lineRule="auto"/>
        <w:jc w:val="both"/>
        <w:rPr>
          <w:rFonts w:cs="David"/>
          <w:b/>
          <w:bCs/>
          <w:sz w:val="24"/>
          <w:szCs w:val="24"/>
          <w:rtl/>
        </w:rPr>
      </w:pPr>
      <w:r w:rsidRPr="00D9448B">
        <w:rPr>
          <w:rFonts w:cs="David" w:hint="cs"/>
          <w:b/>
          <w:bCs/>
          <w:sz w:val="24"/>
          <w:szCs w:val="24"/>
          <w:rtl/>
        </w:rPr>
        <w:t>סיום חוזה סוכנות לתקופה בלתי קצובה:</w:t>
      </w:r>
    </w:p>
    <w:p w:rsidR="004C6723" w:rsidRPr="00D9448B" w:rsidRDefault="004C6723" w:rsidP="004C6723">
      <w:pPr>
        <w:pStyle w:val="P000"/>
        <w:tabs>
          <w:tab w:val="clear" w:pos="624"/>
          <w:tab w:val="left" w:pos="935"/>
        </w:tabs>
        <w:spacing w:before="72"/>
        <w:ind w:left="935" w:right="1134" w:hanging="426"/>
        <w:rPr>
          <w:rStyle w:val="default"/>
          <w:rFonts w:cs="David"/>
          <w:b/>
          <w:bCs/>
          <w:sz w:val="24"/>
          <w:szCs w:val="24"/>
          <w:rtl/>
        </w:rPr>
      </w:pPr>
      <w:r w:rsidRPr="00D9448B">
        <w:rPr>
          <w:rStyle w:val="default"/>
          <w:rFonts w:cs="David" w:hint="cs"/>
          <w:b/>
          <w:bCs/>
          <w:sz w:val="24"/>
          <w:szCs w:val="24"/>
          <w:rtl/>
        </w:rPr>
        <w:t>4.</w:t>
      </w:r>
      <w:r w:rsidRPr="00D9448B">
        <w:rPr>
          <w:rStyle w:val="default"/>
          <w:rFonts w:cs="David" w:hint="cs"/>
          <w:b/>
          <w:bCs/>
          <w:sz w:val="24"/>
          <w:szCs w:val="24"/>
          <w:rtl/>
        </w:rPr>
        <w:tab/>
        <w:t>(א)</w:t>
      </w:r>
      <w:r w:rsidRPr="00D9448B">
        <w:rPr>
          <w:rStyle w:val="default"/>
          <w:rFonts w:cs="David" w:hint="cs"/>
          <w:b/>
          <w:bCs/>
          <w:sz w:val="24"/>
          <w:szCs w:val="24"/>
          <w:rtl/>
        </w:rPr>
        <w:tab/>
        <w:t>צד לחוזה סוכנות לתקופה בלתי קצובה רשאי לסיימו בהודעה מוקדמת לצד האחר בתוך זמן סביר מראש ובכתב, ובלבד שתקופת ההודעה המוקדמת לא תפחת מאלה, לפי העניין:</w:t>
      </w:r>
    </w:p>
    <w:p w:rsidR="004C6723" w:rsidRPr="00D9448B" w:rsidRDefault="004C6723" w:rsidP="004C6723">
      <w:pPr>
        <w:pStyle w:val="P000"/>
        <w:tabs>
          <w:tab w:val="clear" w:pos="624"/>
          <w:tab w:val="left" w:pos="935"/>
        </w:tabs>
        <w:spacing w:before="72"/>
        <w:ind w:left="935" w:right="1134" w:hanging="426"/>
        <w:rPr>
          <w:rStyle w:val="default"/>
          <w:rFonts w:cs="David"/>
          <w:b/>
          <w:bCs/>
          <w:sz w:val="24"/>
          <w:szCs w:val="24"/>
          <w:rtl/>
        </w:rPr>
      </w:pPr>
      <w:r w:rsidRPr="00D9448B">
        <w:rPr>
          <w:rStyle w:val="default"/>
          <w:rFonts w:cs="David" w:hint="cs"/>
          <w:b/>
          <w:bCs/>
          <w:sz w:val="24"/>
          <w:szCs w:val="24"/>
          <w:rtl/>
        </w:rPr>
        <w:t>(1)</w:t>
      </w:r>
      <w:r w:rsidRPr="00D9448B">
        <w:rPr>
          <w:rStyle w:val="default"/>
          <w:rFonts w:cs="David" w:hint="cs"/>
          <w:b/>
          <w:bCs/>
          <w:sz w:val="24"/>
          <w:szCs w:val="24"/>
          <w:rtl/>
        </w:rPr>
        <w:tab/>
        <w:t xml:space="preserve">במהלך ששת החודשים הראשונים מיום תחילת החוזה </w:t>
      </w:r>
      <w:r w:rsidRPr="00D9448B">
        <w:rPr>
          <w:rStyle w:val="default"/>
          <w:rFonts w:cs="David"/>
          <w:b/>
          <w:bCs/>
          <w:sz w:val="24"/>
          <w:szCs w:val="24"/>
          <w:rtl/>
        </w:rPr>
        <w:t>–</w:t>
      </w:r>
      <w:r w:rsidRPr="00D9448B">
        <w:rPr>
          <w:rStyle w:val="default"/>
          <w:rFonts w:cs="David" w:hint="cs"/>
          <w:b/>
          <w:bCs/>
          <w:sz w:val="24"/>
          <w:szCs w:val="24"/>
          <w:rtl/>
        </w:rPr>
        <w:t xml:space="preserve"> שבועיים;</w:t>
      </w:r>
    </w:p>
    <w:p w:rsidR="004C6723" w:rsidRPr="00D9448B" w:rsidRDefault="004C6723" w:rsidP="004C6723">
      <w:pPr>
        <w:pStyle w:val="P000"/>
        <w:tabs>
          <w:tab w:val="clear" w:pos="624"/>
          <w:tab w:val="left" w:pos="935"/>
        </w:tabs>
        <w:spacing w:before="72"/>
        <w:ind w:left="935" w:right="1134" w:hanging="426"/>
        <w:rPr>
          <w:rStyle w:val="default"/>
          <w:rFonts w:cs="David"/>
          <w:b/>
          <w:bCs/>
          <w:sz w:val="24"/>
          <w:szCs w:val="24"/>
          <w:rtl/>
        </w:rPr>
      </w:pPr>
      <w:r w:rsidRPr="00D9448B">
        <w:rPr>
          <w:rStyle w:val="default"/>
          <w:rFonts w:cs="David" w:hint="cs"/>
          <w:b/>
          <w:bCs/>
          <w:sz w:val="24"/>
          <w:szCs w:val="24"/>
          <w:rtl/>
        </w:rPr>
        <w:t>(2)</w:t>
      </w:r>
      <w:r w:rsidRPr="00D9448B">
        <w:rPr>
          <w:rStyle w:val="default"/>
          <w:rFonts w:cs="David" w:hint="cs"/>
          <w:b/>
          <w:bCs/>
          <w:sz w:val="24"/>
          <w:szCs w:val="24"/>
          <w:rtl/>
        </w:rPr>
        <w:tab/>
        <w:t xml:space="preserve">במהלך התקופה שתחילתה בחודש השביעי מיום תחילת החוזה עד תום השנה הראשונה מאותו מועד </w:t>
      </w:r>
      <w:r w:rsidRPr="00D9448B">
        <w:rPr>
          <w:rStyle w:val="default"/>
          <w:rFonts w:cs="David"/>
          <w:b/>
          <w:bCs/>
          <w:sz w:val="24"/>
          <w:szCs w:val="24"/>
          <w:rtl/>
        </w:rPr>
        <w:t>–</w:t>
      </w:r>
      <w:r w:rsidRPr="00D9448B">
        <w:rPr>
          <w:rStyle w:val="default"/>
          <w:rFonts w:cs="David" w:hint="cs"/>
          <w:b/>
          <w:bCs/>
          <w:sz w:val="24"/>
          <w:szCs w:val="24"/>
          <w:rtl/>
        </w:rPr>
        <w:t xml:space="preserve"> חודש;</w:t>
      </w:r>
    </w:p>
    <w:p w:rsidR="004C6723" w:rsidRPr="00D9448B" w:rsidRDefault="004C6723" w:rsidP="004C6723">
      <w:pPr>
        <w:pStyle w:val="P000"/>
        <w:tabs>
          <w:tab w:val="clear" w:pos="624"/>
          <w:tab w:val="left" w:pos="935"/>
        </w:tabs>
        <w:spacing w:before="72"/>
        <w:ind w:left="935" w:right="1134" w:hanging="426"/>
        <w:rPr>
          <w:rStyle w:val="default"/>
          <w:rFonts w:cs="David"/>
          <w:b/>
          <w:bCs/>
          <w:sz w:val="24"/>
          <w:szCs w:val="24"/>
          <w:rtl/>
        </w:rPr>
      </w:pPr>
      <w:r w:rsidRPr="00D9448B">
        <w:rPr>
          <w:rStyle w:val="default"/>
          <w:rFonts w:cs="David" w:hint="cs"/>
          <w:b/>
          <w:bCs/>
          <w:sz w:val="24"/>
          <w:szCs w:val="24"/>
          <w:rtl/>
        </w:rPr>
        <w:t>(3)</w:t>
      </w:r>
      <w:r w:rsidRPr="00D9448B">
        <w:rPr>
          <w:rStyle w:val="default"/>
          <w:rFonts w:cs="David" w:hint="cs"/>
          <w:b/>
          <w:bCs/>
          <w:sz w:val="24"/>
          <w:szCs w:val="24"/>
          <w:rtl/>
        </w:rPr>
        <w:tab/>
        <w:t xml:space="preserve">במהלך השנה השנייה מיום תחילת החוזה </w:t>
      </w:r>
      <w:r w:rsidRPr="00D9448B">
        <w:rPr>
          <w:rStyle w:val="default"/>
          <w:rFonts w:cs="David"/>
          <w:b/>
          <w:bCs/>
          <w:sz w:val="24"/>
          <w:szCs w:val="24"/>
          <w:rtl/>
        </w:rPr>
        <w:t>–</w:t>
      </w:r>
      <w:r w:rsidRPr="00D9448B">
        <w:rPr>
          <w:rStyle w:val="default"/>
          <w:rFonts w:cs="David" w:hint="cs"/>
          <w:b/>
          <w:bCs/>
          <w:sz w:val="24"/>
          <w:szCs w:val="24"/>
          <w:rtl/>
        </w:rPr>
        <w:t xml:space="preserve"> חודשיים;</w:t>
      </w:r>
    </w:p>
    <w:p w:rsidR="004C6723" w:rsidRPr="00D9448B" w:rsidRDefault="004C6723" w:rsidP="004C6723">
      <w:pPr>
        <w:pStyle w:val="P000"/>
        <w:tabs>
          <w:tab w:val="clear" w:pos="624"/>
          <w:tab w:val="left" w:pos="935"/>
        </w:tabs>
        <w:spacing w:before="72"/>
        <w:ind w:left="935" w:right="1134" w:hanging="426"/>
        <w:rPr>
          <w:rStyle w:val="default"/>
          <w:rFonts w:cs="David"/>
          <w:b/>
          <w:bCs/>
          <w:sz w:val="24"/>
          <w:szCs w:val="24"/>
          <w:rtl/>
        </w:rPr>
      </w:pPr>
      <w:r w:rsidRPr="00D9448B">
        <w:rPr>
          <w:rStyle w:val="default"/>
          <w:rFonts w:cs="David" w:hint="cs"/>
          <w:b/>
          <w:bCs/>
          <w:sz w:val="24"/>
          <w:szCs w:val="24"/>
          <w:rtl/>
        </w:rPr>
        <w:t>(4)</w:t>
      </w:r>
      <w:r w:rsidRPr="00D9448B">
        <w:rPr>
          <w:rStyle w:val="default"/>
          <w:rFonts w:cs="David" w:hint="cs"/>
          <w:b/>
          <w:bCs/>
          <w:sz w:val="24"/>
          <w:szCs w:val="24"/>
          <w:rtl/>
        </w:rPr>
        <w:tab/>
        <w:t xml:space="preserve">במהלך השנה השלישית מיום תחילת החוזה </w:t>
      </w:r>
      <w:r w:rsidRPr="00D9448B">
        <w:rPr>
          <w:rStyle w:val="default"/>
          <w:rFonts w:cs="David"/>
          <w:b/>
          <w:bCs/>
          <w:sz w:val="24"/>
          <w:szCs w:val="24"/>
          <w:rtl/>
        </w:rPr>
        <w:t>–</w:t>
      </w:r>
      <w:r w:rsidRPr="00D9448B">
        <w:rPr>
          <w:rStyle w:val="default"/>
          <w:rFonts w:cs="David" w:hint="cs"/>
          <w:b/>
          <w:bCs/>
          <w:sz w:val="24"/>
          <w:szCs w:val="24"/>
          <w:rtl/>
        </w:rPr>
        <w:t xml:space="preserve"> שלושה חודשים;</w:t>
      </w:r>
    </w:p>
    <w:p w:rsidR="004C6723" w:rsidRPr="00D9448B" w:rsidRDefault="004C6723" w:rsidP="004C6723">
      <w:pPr>
        <w:pStyle w:val="P000"/>
        <w:tabs>
          <w:tab w:val="clear" w:pos="624"/>
          <w:tab w:val="left" w:pos="935"/>
        </w:tabs>
        <w:spacing w:before="72"/>
        <w:ind w:left="935" w:right="1134" w:hanging="426"/>
        <w:rPr>
          <w:rStyle w:val="default"/>
          <w:rFonts w:cs="David"/>
          <w:b/>
          <w:bCs/>
          <w:sz w:val="24"/>
          <w:szCs w:val="24"/>
          <w:rtl/>
        </w:rPr>
      </w:pPr>
      <w:r w:rsidRPr="00D9448B">
        <w:rPr>
          <w:rStyle w:val="default"/>
          <w:rFonts w:cs="David" w:hint="cs"/>
          <w:b/>
          <w:bCs/>
          <w:sz w:val="24"/>
          <w:szCs w:val="24"/>
          <w:rtl/>
        </w:rPr>
        <w:t>(5)</w:t>
      </w:r>
      <w:r w:rsidRPr="00D9448B">
        <w:rPr>
          <w:rStyle w:val="default"/>
          <w:rFonts w:cs="David" w:hint="cs"/>
          <w:b/>
          <w:bCs/>
          <w:sz w:val="24"/>
          <w:szCs w:val="24"/>
          <w:rtl/>
        </w:rPr>
        <w:tab/>
        <w:t xml:space="preserve">במהלך השנה הרביעית מיום תחילת החוזה </w:t>
      </w:r>
      <w:r w:rsidRPr="00D9448B">
        <w:rPr>
          <w:rStyle w:val="default"/>
          <w:rFonts w:cs="David"/>
          <w:b/>
          <w:bCs/>
          <w:sz w:val="24"/>
          <w:szCs w:val="24"/>
          <w:rtl/>
        </w:rPr>
        <w:t>–</w:t>
      </w:r>
      <w:r w:rsidRPr="00D9448B">
        <w:rPr>
          <w:rStyle w:val="default"/>
          <w:rFonts w:cs="David" w:hint="cs"/>
          <w:b/>
          <w:bCs/>
          <w:sz w:val="24"/>
          <w:szCs w:val="24"/>
          <w:rtl/>
        </w:rPr>
        <w:t xml:space="preserve"> ארבעה חודשים;</w:t>
      </w:r>
    </w:p>
    <w:p w:rsidR="004C6723" w:rsidRPr="00D9448B" w:rsidRDefault="004C6723" w:rsidP="004C6723">
      <w:pPr>
        <w:pStyle w:val="P000"/>
        <w:tabs>
          <w:tab w:val="clear" w:pos="624"/>
          <w:tab w:val="left" w:pos="935"/>
        </w:tabs>
        <w:spacing w:before="72"/>
        <w:ind w:left="935" w:right="1134" w:hanging="426"/>
        <w:rPr>
          <w:rStyle w:val="default"/>
          <w:rFonts w:cs="David"/>
          <w:b/>
          <w:bCs/>
          <w:sz w:val="24"/>
          <w:szCs w:val="24"/>
          <w:rtl/>
        </w:rPr>
      </w:pPr>
      <w:r w:rsidRPr="00D9448B">
        <w:rPr>
          <w:rStyle w:val="default"/>
          <w:rFonts w:cs="David" w:hint="cs"/>
          <w:b/>
          <w:bCs/>
          <w:sz w:val="24"/>
          <w:szCs w:val="24"/>
          <w:rtl/>
        </w:rPr>
        <w:t>(6)</w:t>
      </w:r>
      <w:r w:rsidRPr="00D9448B">
        <w:rPr>
          <w:rStyle w:val="default"/>
          <w:rFonts w:cs="David" w:hint="cs"/>
          <w:b/>
          <w:bCs/>
          <w:sz w:val="24"/>
          <w:szCs w:val="24"/>
          <w:rtl/>
        </w:rPr>
        <w:tab/>
        <w:t xml:space="preserve">במהלך השנה החמישית מיום תחילת החוזה </w:t>
      </w:r>
      <w:r w:rsidRPr="00D9448B">
        <w:rPr>
          <w:rStyle w:val="default"/>
          <w:rFonts w:cs="David"/>
          <w:b/>
          <w:bCs/>
          <w:sz w:val="24"/>
          <w:szCs w:val="24"/>
          <w:rtl/>
        </w:rPr>
        <w:t>–</w:t>
      </w:r>
      <w:r w:rsidRPr="00D9448B">
        <w:rPr>
          <w:rStyle w:val="default"/>
          <w:rFonts w:cs="David" w:hint="cs"/>
          <w:b/>
          <w:bCs/>
          <w:sz w:val="24"/>
          <w:szCs w:val="24"/>
          <w:rtl/>
        </w:rPr>
        <w:t xml:space="preserve"> חמישה חודשים;</w:t>
      </w:r>
    </w:p>
    <w:p w:rsidR="004C6723" w:rsidRPr="00D9448B" w:rsidRDefault="004C6723" w:rsidP="004C6723">
      <w:pPr>
        <w:pStyle w:val="P000"/>
        <w:tabs>
          <w:tab w:val="clear" w:pos="624"/>
          <w:tab w:val="left" w:pos="935"/>
        </w:tabs>
        <w:spacing w:before="72"/>
        <w:ind w:left="935" w:right="1134" w:hanging="426"/>
        <w:rPr>
          <w:rStyle w:val="default"/>
          <w:rFonts w:cs="David"/>
          <w:b/>
          <w:bCs/>
          <w:sz w:val="24"/>
          <w:szCs w:val="24"/>
          <w:rtl/>
        </w:rPr>
      </w:pPr>
      <w:r w:rsidRPr="00D9448B">
        <w:rPr>
          <w:rStyle w:val="default"/>
          <w:rFonts w:cs="David" w:hint="cs"/>
          <w:b/>
          <w:bCs/>
          <w:sz w:val="24"/>
          <w:szCs w:val="24"/>
          <w:rtl/>
        </w:rPr>
        <w:t>(7)</w:t>
      </w:r>
      <w:r w:rsidRPr="00D9448B">
        <w:rPr>
          <w:rStyle w:val="default"/>
          <w:rFonts w:cs="David" w:hint="cs"/>
          <w:b/>
          <w:bCs/>
          <w:sz w:val="24"/>
          <w:szCs w:val="24"/>
          <w:rtl/>
        </w:rPr>
        <w:tab/>
        <w:t xml:space="preserve">במהלך השנה השישית מיום תחילת החוזה ואילך </w:t>
      </w:r>
      <w:r w:rsidRPr="00D9448B">
        <w:rPr>
          <w:rStyle w:val="default"/>
          <w:rFonts w:cs="David"/>
          <w:b/>
          <w:bCs/>
          <w:sz w:val="24"/>
          <w:szCs w:val="24"/>
          <w:rtl/>
        </w:rPr>
        <w:t>–</w:t>
      </w:r>
      <w:r w:rsidRPr="00D9448B">
        <w:rPr>
          <w:rStyle w:val="default"/>
          <w:rFonts w:cs="David" w:hint="cs"/>
          <w:b/>
          <w:bCs/>
          <w:sz w:val="24"/>
          <w:szCs w:val="24"/>
          <w:rtl/>
        </w:rPr>
        <w:t xml:space="preserve"> שישה חודשים.</w:t>
      </w:r>
    </w:p>
    <w:p w:rsidR="004C6723" w:rsidRPr="00D9448B" w:rsidRDefault="004C6723" w:rsidP="004C6723">
      <w:pPr>
        <w:pStyle w:val="P000"/>
        <w:tabs>
          <w:tab w:val="clear" w:pos="624"/>
          <w:tab w:val="left" w:pos="935"/>
        </w:tabs>
        <w:spacing w:before="72"/>
        <w:ind w:left="935" w:right="1134" w:hanging="426"/>
        <w:rPr>
          <w:rStyle w:val="default"/>
          <w:rFonts w:cs="David"/>
          <w:b/>
          <w:bCs/>
          <w:sz w:val="24"/>
          <w:szCs w:val="24"/>
          <w:rtl/>
        </w:rPr>
      </w:pPr>
      <w:r w:rsidRPr="00D9448B">
        <w:rPr>
          <w:rStyle w:val="default"/>
          <w:rFonts w:cs="David" w:hint="cs"/>
          <w:b/>
          <w:bCs/>
          <w:sz w:val="24"/>
          <w:szCs w:val="24"/>
          <w:rtl/>
        </w:rPr>
        <w:tab/>
        <w:t>(ב)</w:t>
      </w:r>
      <w:r w:rsidRPr="00D9448B">
        <w:rPr>
          <w:rStyle w:val="default"/>
          <w:rFonts w:cs="David" w:hint="cs"/>
          <w:b/>
          <w:bCs/>
          <w:sz w:val="24"/>
          <w:szCs w:val="24"/>
          <w:rtl/>
        </w:rPr>
        <w:tab/>
        <w:t xml:space="preserve">קבעו צדדים לחוזה סוכנות תקופות הודעה מוקדמת ארוכות מאלה הקבועות בסעיף קטן (א), לא תפחת תקופת ההודעה המוקדמת שתחול </w:t>
      </w:r>
      <w:r w:rsidRPr="00D9448B">
        <w:rPr>
          <w:rStyle w:val="default"/>
          <w:rFonts w:cs="David" w:hint="cs"/>
          <w:b/>
          <w:bCs/>
          <w:sz w:val="24"/>
          <w:szCs w:val="24"/>
          <w:rtl/>
        </w:rPr>
        <w:lastRenderedPageBreak/>
        <w:t>על סיום החוזה על ידי הספק מתקופת ההודעה המוקדמת שתחול על סיום החוזה על ידי הסוכן המסחרי</w:t>
      </w:r>
      <w:r w:rsidR="009C5D37">
        <w:rPr>
          <w:rStyle w:val="default"/>
          <w:rFonts w:cs="David" w:hint="cs"/>
          <w:b/>
          <w:bCs/>
          <w:sz w:val="24"/>
          <w:szCs w:val="24"/>
          <w:rtl/>
        </w:rPr>
        <w:t xml:space="preserve"> וגו'."</w:t>
      </w:r>
      <w:r w:rsidRPr="00D9448B">
        <w:rPr>
          <w:rStyle w:val="default"/>
          <w:rFonts w:cs="David" w:hint="cs"/>
          <w:b/>
          <w:bCs/>
          <w:sz w:val="24"/>
          <w:szCs w:val="24"/>
          <w:rtl/>
        </w:rPr>
        <w:t>.</w:t>
      </w:r>
    </w:p>
    <w:p w:rsidR="004C6723" w:rsidRDefault="004C6723" w:rsidP="004C6723">
      <w:pPr>
        <w:tabs>
          <w:tab w:val="left" w:pos="935"/>
        </w:tabs>
        <w:spacing w:after="0" w:line="360" w:lineRule="auto"/>
        <w:ind w:left="935" w:hanging="426"/>
        <w:jc w:val="both"/>
        <w:rPr>
          <w:rFonts w:cs="David"/>
          <w:b/>
          <w:bCs/>
          <w:sz w:val="24"/>
          <w:szCs w:val="24"/>
          <w:rtl/>
        </w:rPr>
      </w:pPr>
    </w:p>
    <w:p w:rsidR="00D9448B" w:rsidRPr="009C5D37" w:rsidRDefault="00D9448B" w:rsidP="009C5D37">
      <w:pPr>
        <w:tabs>
          <w:tab w:val="left" w:pos="-58"/>
        </w:tabs>
        <w:spacing w:after="0" w:line="360" w:lineRule="auto"/>
        <w:ind w:left="-58"/>
        <w:jc w:val="both"/>
        <w:rPr>
          <w:rFonts w:cs="David"/>
          <w:sz w:val="24"/>
          <w:szCs w:val="24"/>
          <w:rtl/>
        </w:rPr>
      </w:pPr>
      <w:r w:rsidRPr="009C5D37">
        <w:rPr>
          <w:rFonts w:cs="David" w:hint="cs"/>
          <w:sz w:val="24"/>
          <w:szCs w:val="24"/>
          <w:rtl/>
        </w:rPr>
        <w:t>חוק זה עשוי לחזק את מעמדם של המפיצים</w:t>
      </w:r>
      <w:r w:rsidR="009C5D37" w:rsidRPr="009C5D37">
        <w:rPr>
          <w:rFonts w:cs="David" w:hint="cs"/>
          <w:sz w:val="24"/>
          <w:szCs w:val="24"/>
          <w:rtl/>
        </w:rPr>
        <w:t xml:space="preserve"> אלא שאלה ראויים גם להסדרה ברורה של זכויותיהם. </w:t>
      </w:r>
      <w:r w:rsidR="009C5D37">
        <w:rPr>
          <w:rFonts w:cs="David" w:hint="cs"/>
          <w:sz w:val="24"/>
          <w:szCs w:val="24"/>
          <w:rtl/>
        </w:rPr>
        <w:t>כאשר מדובר במפיצים אשר עמלו בהשקעות נכבדות לקיים קו הפצה בינלאומי, או מקומי הרי שראוי כי ההודעה המוקדמת ותחשיב הפיצויים יקחו זאת בחשבון לעומת הקבוע בחוק הנ"ל.</w:t>
      </w:r>
    </w:p>
    <w:p w:rsidR="005F1756" w:rsidRDefault="005F1756" w:rsidP="003D5FEF">
      <w:pPr>
        <w:spacing w:after="0" w:line="360" w:lineRule="auto"/>
        <w:jc w:val="both"/>
        <w:rPr>
          <w:rFonts w:cs="David"/>
          <w:sz w:val="24"/>
          <w:szCs w:val="24"/>
        </w:rPr>
      </w:pPr>
    </w:p>
    <w:p w:rsidR="00886CCF" w:rsidRPr="00886CCF" w:rsidRDefault="00886CCF" w:rsidP="003D5FEF">
      <w:pPr>
        <w:spacing w:after="0" w:line="360" w:lineRule="auto"/>
        <w:jc w:val="both"/>
        <w:rPr>
          <w:rFonts w:cs="David"/>
          <w:sz w:val="24"/>
          <w:szCs w:val="24"/>
          <w:rtl/>
        </w:rPr>
      </w:pPr>
      <w:r w:rsidRPr="00886CCF">
        <w:rPr>
          <w:rFonts w:cs="David" w:hint="cs"/>
          <w:sz w:val="24"/>
          <w:szCs w:val="24"/>
          <w:rtl/>
        </w:rPr>
        <w:t>אין ספק כי חוק זה תורם לוודאות רבה בתחום חוזי הסוכנות. אלא שעולם ההפצה בישראל גדול ומקיף ובוודאי שלא פחות חשוב.</w:t>
      </w:r>
    </w:p>
    <w:p w:rsidR="00886CCF" w:rsidRPr="00886CCF" w:rsidRDefault="00886CCF" w:rsidP="003D5FEF">
      <w:pPr>
        <w:spacing w:after="0" w:line="360" w:lineRule="auto"/>
        <w:jc w:val="both"/>
        <w:rPr>
          <w:rFonts w:cs="David"/>
          <w:sz w:val="24"/>
          <w:szCs w:val="24"/>
          <w:rtl/>
        </w:rPr>
      </w:pPr>
    </w:p>
    <w:p w:rsidR="00886CCF" w:rsidRPr="004C6723" w:rsidRDefault="00886CCF" w:rsidP="00D67B97">
      <w:pPr>
        <w:spacing w:after="0" w:line="360" w:lineRule="auto"/>
        <w:jc w:val="both"/>
        <w:rPr>
          <w:rFonts w:cs="David"/>
          <w:sz w:val="24"/>
          <w:szCs w:val="24"/>
          <w:rtl/>
        </w:rPr>
      </w:pPr>
      <w:r w:rsidRPr="004C6723">
        <w:rPr>
          <w:rFonts w:cs="David" w:hint="cs"/>
          <w:sz w:val="24"/>
          <w:szCs w:val="24"/>
          <w:rtl/>
        </w:rPr>
        <w:t>דר' בן אוליאל במאמרו המקיף אשר ממנו הבאנו לעיל מציע זו הפעם הראשונה פתרון ב</w:t>
      </w:r>
      <w:r w:rsidR="00D67B97" w:rsidRPr="004C6723">
        <w:rPr>
          <w:rFonts w:cs="David" w:hint="cs"/>
          <w:sz w:val="24"/>
          <w:szCs w:val="24"/>
          <w:rtl/>
        </w:rPr>
        <w:t>רו</w:t>
      </w:r>
      <w:r w:rsidRPr="004C6723">
        <w:rPr>
          <w:rFonts w:cs="David" w:hint="cs"/>
          <w:sz w:val="24"/>
          <w:szCs w:val="24"/>
          <w:rtl/>
        </w:rPr>
        <w:t>ר וחקיקתי לת</w:t>
      </w:r>
      <w:r w:rsidR="00D67B97" w:rsidRPr="004C6723">
        <w:rPr>
          <w:rFonts w:cs="David" w:hint="cs"/>
          <w:sz w:val="24"/>
          <w:szCs w:val="24"/>
          <w:rtl/>
        </w:rPr>
        <w:t>ח</w:t>
      </w:r>
      <w:r w:rsidRPr="004C6723">
        <w:rPr>
          <w:rFonts w:cs="David" w:hint="cs"/>
          <w:sz w:val="24"/>
          <w:szCs w:val="24"/>
          <w:rtl/>
        </w:rPr>
        <w:t>ום זה. כדבריו:</w:t>
      </w:r>
    </w:p>
    <w:p w:rsidR="00886CCF" w:rsidRPr="004C6723" w:rsidRDefault="00886CCF" w:rsidP="00886CCF">
      <w:pPr>
        <w:spacing w:after="0" w:line="360" w:lineRule="auto"/>
        <w:jc w:val="both"/>
        <w:rPr>
          <w:rFonts w:cs="David"/>
          <w:b/>
          <w:bCs/>
          <w:sz w:val="24"/>
          <w:szCs w:val="24"/>
          <w:rtl/>
        </w:rPr>
      </w:pPr>
    </w:p>
    <w:p w:rsidR="00886CCF" w:rsidRPr="004C6723" w:rsidRDefault="00886CCF" w:rsidP="00886CCF">
      <w:pPr>
        <w:spacing w:after="0" w:line="360" w:lineRule="auto"/>
        <w:jc w:val="both"/>
        <w:rPr>
          <w:rFonts w:cs="David"/>
          <w:b/>
          <w:bCs/>
          <w:sz w:val="24"/>
          <w:szCs w:val="24"/>
          <w:rtl/>
        </w:rPr>
      </w:pPr>
      <w:r w:rsidRPr="004C6723">
        <w:rPr>
          <w:rFonts w:cs="David" w:hint="cs"/>
          <w:b/>
          <w:bCs/>
          <w:sz w:val="24"/>
          <w:szCs w:val="24"/>
          <w:rtl/>
        </w:rPr>
        <w:t>"בשל העמימות שמאפיינת את פסיקת בתי המשפט בסוגיית ההודעה המוקדמת, יוצע בפרק זה להסדיר את הנושא בחקיקה...ראוי לקבוע מפורשות בחקיקה מהי תקופת ההודעה המוקדמת. דרך זו מקובלת במדינות רבות בעולם, באשר להסכמי שיווק שונים".</w:t>
      </w:r>
    </w:p>
    <w:p w:rsidR="00344514" w:rsidRDefault="00344514" w:rsidP="00886CCF">
      <w:pPr>
        <w:spacing w:after="0" w:line="360" w:lineRule="auto"/>
        <w:jc w:val="both"/>
        <w:rPr>
          <w:rFonts w:cs="David"/>
          <w:b/>
          <w:bCs/>
          <w:sz w:val="24"/>
          <w:szCs w:val="24"/>
          <w:rtl/>
        </w:rPr>
      </w:pPr>
      <w:r w:rsidRPr="004C6723">
        <w:rPr>
          <w:rFonts w:cs="David" w:hint="cs"/>
          <w:b/>
          <w:bCs/>
          <w:sz w:val="24"/>
          <w:szCs w:val="24"/>
          <w:rtl/>
        </w:rPr>
        <w:t>ראה דיון נרחב ומעמיק במאמרו של דר' בן אוליאל עמ' 186-202.</w:t>
      </w:r>
      <w:r>
        <w:rPr>
          <w:rFonts w:cs="David" w:hint="cs"/>
          <w:b/>
          <w:bCs/>
          <w:sz w:val="24"/>
          <w:szCs w:val="24"/>
          <w:rtl/>
        </w:rPr>
        <w:t xml:space="preserve"> </w:t>
      </w:r>
    </w:p>
    <w:p w:rsidR="00886CCF" w:rsidRDefault="00886CCF" w:rsidP="00886CCF">
      <w:pPr>
        <w:spacing w:after="0" w:line="360" w:lineRule="auto"/>
        <w:jc w:val="both"/>
        <w:rPr>
          <w:rFonts w:cs="David"/>
          <w:b/>
          <w:bCs/>
          <w:sz w:val="24"/>
          <w:szCs w:val="24"/>
          <w:rtl/>
        </w:rPr>
      </w:pPr>
    </w:p>
    <w:p w:rsidR="00C05EA4" w:rsidRPr="00D67B97" w:rsidRDefault="00886CCF" w:rsidP="009C5D37">
      <w:pPr>
        <w:spacing w:after="0" w:line="360" w:lineRule="auto"/>
        <w:jc w:val="both"/>
        <w:rPr>
          <w:rFonts w:cs="David"/>
          <w:sz w:val="24"/>
          <w:szCs w:val="24"/>
          <w:rtl/>
        </w:rPr>
      </w:pPr>
      <w:r w:rsidRPr="00D67B97">
        <w:rPr>
          <w:rFonts w:cs="David" w:hint="cs"/>
          <w:sz w:val="24"/>
          <w:szCs w:val="24"/>
          <w:rtl/>
        </w:rPr>
        <w:t xml:space="preserve">בהמשך מתייחס בן אוליאל לשאלת קביעת תקופות מדודות, זכות לפיצויים לכל מי שאף לא זכה לקצור את פירותיו מהסכם ההפצה ונושאי ליבה נוספים חשובים. </w:t>
      </w:r>
      <w:r w:rsidR="00D67B97">
        <w:rPr>
          <w:rFonts w:cs="David" w:hint="cs"/>
          <w:sz w:val="24"/>
          <w:szCs w:val="24"/>
          <w:rtl/>
        </w:rPr>
        <w:t xml:space="preserve">אנו סבורים כי יש לתת תוכן ביוזמה זו. כך, </w:t>
      </w:r>
      <w:r w:rsidRPr="00D67B97">
        <w:rPr>
          <w:rFonts w:cs="David" w:hint="cs"/>
          <w:sz w:val="24"/>
          <w:szCs w:val="24"/>
          <w:rtl/>
        </w:rPr>
        <w:t xml:space="preserve">מהלך משותף של לשכת עורכי הדין עם לשכת המסחר בכנסת </w:t>
      </w:r>
      <w:r w:rsidR="00D67B97">
        <w:rPr>
          <w:rFonts w:cs="David" w:hint="cs"/>
          <w:sz w:val="24"/>
          <w:szCs w:val="24"/>
          <w:rtl/>
        </w:rPr>
        <w:t xml:space="preserve">יחד עם גורמים מומחים באקדמיה והמחוקק הנכבד </w:t>
      </w:r>
      <w:r w:rsidRPr="00D67B97">
        <w:rPr>
          <w:rFonts w:cs="David" w:hint="cs"/>
          <w:sz w:val="24"/>
          <w:szCs w:val="24"/>
          <w:rtl/>
        </w:rPr>
        <w:t>עשוי ליצור מפנה ולחזק את הוודאות החשובה בתחום זה.</w:t>
      </w:r>
    </w:p>
    <w:p w:rsidR="00C05EA4" w:rsidRPr="00D67B97" w:rsidRDefault="00C05EA4" w:rsidP="002D3051">
      <w:pPr>
        <w:jc w:val="both"/>
        <w:rPr>
          <w:rFonts w:cs="David"/>
          <w:sz w:val="24"/>
          <w:szCs w:val="24"/>
          <w:rtl/>
        </w:rPr>
      </w:pPr>
    </w:p>
    <w:p w:rsidR="00C05EA4" w:rsidRDefault="00C05EA4" w:rsidP="002D3051">
      <w:pPr>
        <w:jc w:val="both"/>
        <w:rPr>
          <w:rFonts w:cs="David"/>
          <w:sz w:val="24"/>
          <w:szCs w:val="24"/>
          <w:rtl/>
        </w:rPr>
      </w:pPr>
    </w:p>
    <w:p w:rsidR="00944E61" w:rsidRPr="0068077B" w:rsidRDefault="0068077B" w:rsidP="00FA1879">
      <w:pPr>
        <w:rPr>
          <w:rFonts w:cs="David"/>
          <w:sz w:val="24"/>
          <w:szCs w:val="24"/>
          <w:rtl/>
        </w:rPr>
      </w:pPr>
      <w:r w:rsidRPr="0068077B">
        <w:rPr>
          <w:rStyle w:val="af4"/>
          <w:rFonts w:cs="David"/>
          <w:color w:val="000000"/>
          <w:sz w:val="24"/>
          <w:szCs w:val="24"/>
          <w:rtl/>
        </w:rPr>
        <w:t>המאמר אינו מתיימר למצות את הדיון בנושא. אין לראות במאמר זה ייעוץ משפטי ו/או תחליף לייעוץ משפטי.</w:t>
      </w:r>
    </w:p>
    <w:p w:rsidR="006A32EF" w:rsidRDefault="006A32EF" w:rsidP="00BD5B8B">
      <w:pPr>
        <w:rPr>
          <w:sz w:val="24"/>
          <w:szCs w:val="24"/>
          <w:rtl/>
        </w:rPr>
      </w:pPr>
    </w:p>
    <w:p w:rsidR="006E44D9" w:rsidRDefault="006E44D9" w:rsidP="00FA1879">
      <w:pPr>
        <w:rPr>
          <w:sz w:val="24"/>
          <w:szCs w:val="24"/>
          <w:rtl/>
        </w:rPr>
      </w:pPr>
    </w:p>
    <w:p w:rsidR="006E44D9" w:rsidRDefault="006E44D9" w:rsidP="00FA1879">
      <w:pPr>
        <w:rPr>
          <w:sz w:val="24"/>
          <w:szCs w:val="24"/>
          <w:rtl/>
        </w:rPr>
      </w:pPr>
    </w:p>
    <w:p w:rsidR="00BC3B3E" w:rsidRDefault="00BC3B3E" w:rsidP="006E44D9">
      <w:pPr>
        <w:pStyle w:val="p00"/>
        <w:bidi/>
        <w:spacing w:before="72" w:beforeAutospacing="0" w:after="0" w:afterAutospacing="0"/>
        <w:ind w:right="86"/>
        <w:jc w:val="both"/>
        <w:rPr>
          <w:rFonts w:cs="David"/>
          <w:b/>
          <w:bCs/>
          <w:u w:val="single"/>
          <w:rtl/>
        </w:rPr>
      </w:pPr>
    </w:p>
    <w:p w:rsidR="00BC3B3E" w:rsidRDefault="00BC3B3E" w:rsidP="00BC3B3E">
      <w:pPr>
        <w:pStyle w:val="p00"/>
        <w:bidi/>
        <w:spacing w:before="72" w:beforeAutospacing="0" w:after="0" w:afterAutospacing="0"/>
        <w:ind w:right="86"/>
        <w:jc w:val="both"/>
        <w:rPr>
          <w:rFonts w:cs="David"/>
          <w:b/>
          <w:bCs/>
          <w:u w:val="single"/>
          <w:rtl/>
        </w:rPr>
      </w:pPr>
    </w:p>
    <w:p w:rsidR="00BC3B3E" w:rsidRDefault="00BC3B3E" w:rsidP="00BC3B3E">
      <w:pPr>
        <w:pStyle w:val="p00"/>
        <w:bidi/>
        <w:spacing w:before="72" w:beforeAutospacing="0" w:after="0" w:afterAutospacing="0"/>
        <w:ind w:right="86"/>
        <w:jc w:val="both"/>
        <w:rPr>
          <w:rFonts w:cs="David"/>
          <w:b/>
          <w:bCs/>
          <w:u w:val="single"/>
          <w:rtl/>
        </w:rPr>
      </w:pPr>
    </w:p>
    <w:p w:rsidR="00BC3B3E" w:rsidRDefault="00BC3B3E" w:rsidP="00BC3B3E">
      <w:pPr>
        <w:pStyle w:val="p00"/>
        <w:bidi/>
        <w:spacing w:before="72" w:beforeAutospacing="0" w:after="0" w:afterAutospacing="0"/>
        <w:ind w:right="86"/>
        <w:jc w:val="both"/>
        <w:rPr>
          <w:rFonts w:cs="David"/>
          <w:b/>
          <w:bCs/>
          <w:u w:val="single"/>
          <w:rtl/>
        </w:rPr>
      </w:pPr>
    </w:p>
    <w:p w:rsidR="00BC3B3E" w:rsidRDefault="00BC3B3E" w:rsidP="00BC3B3E">
      <w:pPr>
        <w:pStyle w:val="p00"/>
        <w:bidi/>
        <w:spacing w:before="72" w:beforeAutospacing="0" w:after="0" w:afterAutospacing="0"/>
        <w:ind w:right="86"/>
        <w:jc w:val="both"/>
        <w:rPr>
          <w:rFonts w:cs="David"/>
          <w:b/>
          <w:bCs/>
          <w:u w:val="single"/>
          <w:rtl/>
        </w:rPr>
      </w:pPr>
    </w:p>
    <w:p w:rsidR="00BC3B3E" w:rsidRDefault="00BC3B3E" w:rsidP="00BC3B3E">
      <w:pPr>
        <w:pStyle w:val="p00"/>
        <w:bidi/>
        <w:spacing w:before="72" w:beforeAutospacing="0" w:after="0" w:afterAutospacing="0"/>
        <w:ind w:right="86"/>
        <w:jc w:val="both"/>
        <w:rPr>
          <w:rFonts w:cs="David"/>
          <w:b/>
          <w:bCs/>
          <w:u w:val="single"/>
          <w:rtl/>
        </w:rPr>
      </w:pPr>
    </w:p>
    <w:p w:rsidR="00BC3B3E" w:rsidRPr="0034759F" w:rsidRDefault="00BC3B3E" w:rsidP="00FA1879">
      <w:pPr>
        <w:rPr>
          <w:rFonts w:cs="David"/>
          <w:sz w:val="24"/>
          <w:szCs w:val="24"/>
        </w:rPr>
      </w:pPr>
    </w:p>
    <w:sectPr w:rsidR="00BC3B3E" w:rsidRPr="0034759F" w:rsidSect="00C455D8">
      <w:footerReference w:type="default" r:id="rId8"/>
      <w:pgSz w:w="11906" w:h="16838"/>
      <w:pgMar w:top="72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A1E" w:rsidRDefault="00C36A1E" w:rsidP="009F7F1F">
      <w:pPr>
        <w:spacing w:after="0" w:line="240" w:lineRule="auto"/>
      </w:pPr>
      <w:r>
        <w:separator/>
      </w:r>
    </w:p>
  </w:endnote>
  <w:endnote w:type="continuationSeparator" w:id="0">
    <w:p w:rsidR="00C36A1E" w:rsidRDefault="00C36A1E" w:rsidP="009F7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4866119"/>
      <w:docPartObj>
        <w:docPartGallery w:val="Page Numbers (Bottom of Page)"/>
        <w:docPartUnique/>
      </w:docPartObj>
    </w:sdtPr>
    <w:sdtContent>
      <w:p w:rsidR="00D9448B" w:rsidRDefault="00410C08">
        <w:pPr>
          <w:pStyle w:val="a6"/>
          <w:jc w:val="center"/>
        </w:pPr>
        <w:fldSimple w:instr=" PAGE   \* MERGEFORMAT ">
          <w:r w:rsidR="00F73B68" w:rsidRPr="00F73B68">
            <w:rPr>
              <w:rFonts w:cs="Calibri"/>
              <w:noProof/>
              <w:rtl/>
              <w:lang w:val="he-IL"/>
            </w:rPr>
            <w:t>1</w:t>
          </w:r>
        </w:fldSimple>
      </w:p>
    </w:sdtContent>
  </w:sdt>
  <w:p w:rsidR="00D9448B" w:rsidRDefault="00D944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A1E" w:rsidRDefault="00C36A1E" w:rsidP="009F7F1F">
      <w:pPr>
        <w:spacing w:after="0" w:line="240" w:lineRule="auto"/>
      </w:pPr>
      <w:r>
        <w:separator/>
      </w:r>
    </w:p>
  </w:footnote>
  <w:footnote w:type="continuationSeparator" w:id="0">
    <w:p w:rsidR="00C36A1E" w:rsidRDefault="00C36A1E" w:rsidP="009F7F1F">
      <w:pPr>
        <w:spacing w:after="0" w:line="240" w:lineRule="auto"/>
      </w:pPr>
      <w:r>
        <w:continuationSeparator/>
      </w:r>
    </w:p>
  </w:footnote>
  <w:footnote w:id="1">
    <w:p w:rsidR="00D9448B" w:rsidRDefault="00D9448B" w:rsidP="004C6723">
      <w:pPr>
        <w:pStyle w:val="a8"/>
        <w:ind w:left="86" w:hanging="86"/>
        <w:jc w:val="both"/>
        <w:rPr>
          <w:rFonts w:ascii="Arial" w:hAnsi="Arial" w:cs="David"/>
          <w:rtl/>
        </w:rPr>
      </w:pPr>
      <w:r>
        <w:rPr>
          <w:rStyle w:val="aa"/>
        </w:rPr>
        <w:footnoteRef/>
      </w:r>
      <w:r>
        <w:rPr>
          <w:rtl/>
        </w:rPr>
        <w:t xml:space="preserve"> </w:t>
      </w:r>
      <w:r w:rsidRPr="007252C8">
        <w:rPr>
          <w:rFonts w:ascii="Arial" w:hAnsi="Arial" w:cs="David"/>
          <w:rtl/>
        </w:rPr>
        <w:t>רונן סטי ושות', משרד עו"ד בוררות ויישוב סכסוכים ה</w:t>
      </w:r>
      <w:r w:rsidRPr="007252C8">
        <w:rPr>
          <w:rFonts w:ascii="Arial" w:hAnsi="Arial" w:cs="David" w:hint="cs"/>
          <w:rtl/>
        </w:rPr>
        <w:t>עוסק</w:t>
      </w:r>
      <w:r w:rsidRPr="007252C8">
        <w:rPr>
          <w:rFonts w:ascii="Arial" w:hAnsi="Arial" w:cs="David"/>
          <w:rtl/>
        </w:rPr>
        <w:t xml:space="preserve"> </w:t>
      </w:r>
      <w:r w:rsidRPr="007252C8">
        <w:rPr>
          <w:rFonts w:ascii="Arial" w:hAnsi="Arial" w:cs="David" w:hint="cs"/>
          <w:rtl/>
        </w:rPr>
        <w:t xml:space="preserve">בתחום המסחרי </w:t>
      </w:r>
      <w:r>
        <w:rPr>
          <w:rFonts w:ascii="Arial" w:hAnsi="Arial" w:cs="David" w:hint="cs"/>
          <w:rtl/>
        </w:rPr>
        <w:t xml:space="preserve">והבינ"ל </w:t>
      </w:r>
      <w:r w:rsidRPr="007252C8">
        <w:rPr>
          <w:rFonts w:ascii="Arial" w:hAnsi="Arial" w:cs="David" w:hint="cs"/>
          <w:rtl/>
        </w:rPr>
        <w:t>ומתמחה בפתרון סכסוכים משפטיים</w:t>
      </w:r>
      <w:r>
        <w:rPr>
          <w:rFonts w:ascii="Arial" w:hAnsi="Arial" w:cs="David" w:hint="cs"/>
          <w:rtl/>
        </w:rPr>
        <w:t xml:space="preserve"> ו</w:t>
      </w:r>
      <w:r w:rsidRPr="007252C8">
        <w:rPr>
          <w:rFonts w:ascii="Arial" w:hAnsi="Arial" w:cs="David" w:hint="cs"/>
          <w:rtl/>
        </w:rPr>
        <w:t>בפרט בתחומי ההפצה</w:t>
      </w:r>
      <w:r>
        <w:rPr>
          <w:rFonts w:ascii="Arial" w:hAnsi="Arial" w:cs="David" w:hint="cs"/>
          <w:rtl/>
        </w:rPr>
        <w:t>.</w:t>
      </w:r>
      <w:r w:rsidRPr="007252C8">
        <w:rPr>
          <w:rFonts w:ascii="Arial" w:hAnsi="Arial" w:cs="David" w:hint="cs"/>
          <w:rtl/>
        </w:rPr>
        <w:t xml:space="preserve"> בין אם תוך ניהול ובין באמצעות הליכי בוררות, מו"מ וגישור משפטי. </w:t>
      </w:r>
    </w:p>
    <w:p w:rsidR="00D9448B" w:rsidRPr="007252C8" w:rsidRDefault="00D9448B" w:rsidP="00382C00">
      <w:pPr>
        <w:pStyle w:val="a8"/>
        <w:ind w:left="86"/>
        <w:jc w:val="both"/>
        <w:rPr>
          <w:rFonts w:ascii="Arial" w:hAnsi="Arial" w:cs="David"/>
          <w:rtl/>
        </w:rPr>
      </w:pPr>
      <w:r w:rsidRPr="007252C8">
        <w:rPr>
          <w:rFonts w:ascii="Arial" w:hAnsi="Arial" w:cs="David" w:hint="cs"/>
          <w:rtl/>
        </w:rPr>
        <w:t>עו"ד רונן סטי הינו יו"ר הפורום ליישוב סכסוכים בדרכים חלופיות (</w:t>
      </w:r>
      <w:r w:rsidRPr="007252C8">
        <w:rPr>
          <w:rFonts w:ascii="Arial" w:hAnsi="Arial" w:cs="David"/>
        </w:rPr>
        <w:t>A.D.R</w:t>
      </w:r>
      <w:r w:rsidRPr="007252C8">
        <w:rPr>
          <w:rFonts w:ascii="Arial" w:hAnsi="Arial" w:cs="David" w:hint="cs"/>
          <w:rtl/>
        </w:rPr>
        <w:t xml:space="preserve">) בלשכת עורכי הדין ובעל תפקידים מן השורה הראשונה בזירת הבוררות הבינלאומית בכפר הגלובאלי. עם השנים והניסיון המצטבר במאות הליכי גישור ובוררות נמנה עו"ד סטי על שורת המגשרים והבוררים הבכירים בישראל. </w:t>
      </w:r>
    </w:p>
    <w:p w:rsidR="00D9448B" w:rsidRDefault="00D9448B" w:rsidP="004C6723">
      <w:pPr>
        <w:pStyle w:val="a8"/>
        <w:ind w:left="86" w:hanging="86"/>
        <w:jc w:val="both"/>
        <w:rPr>
          <w:rFonts w:ascii="Arial" w:hAnsi="Arial" w:cs="David"/>
          <w:rtl/>
        </w:rPr>
      </w:pPr>
      <w:r w:rsidRPr="007252C8">
        <w:rPr>
          <w:rFonts w:ascii="Arial" w:hAnsi="Arial" w:cs="David"/>
          <w:rtl/>
        </w:rPr>
        <w:t xml:space="preserve"> </w:t>
      </w:r>
      <w:r w:rsidRPr="007252C8">
        <w:rPr>
          <w:rFonts w:ascii="Arial" w:hAnsi="Arial" w:cs="David"/>
        </w:rPr>
        <w:t>web:</w:t>
      </w:r>
      <w:r>
        <w:rPr>
          <w:rFonts w:ascii="Arial" w:hAnsi="Arial" w:cs="David"/>
        </w:rPr>
        <w:t xml:space="preserve"> </w:t>
      </w:r>
      <w:r w:rsidRPr="004C6723">
        <w:rPr>
          <w:rFonts w:ascii="Arial" w:hAnsi="Arial" w:cs="David"/>
          <w:u w:val="single"/>
        </w:rPr>
        <w:t>www. setty-law.com</w:t>
      </w:r>
    </w:p>
    <w:p w:rsidR="00D9448B" w:rsidRDefault="00D9448B" w:rsidP="00C455D8">
      <w:pPr>
        <w:pStyle w:val="a8"/>
        <w:ind w:left="86" w:hanging="86"/>
        <w:jc w:val="both"/>
        <w:rPr>
          <w:rFonts w:ascii="Arial" w:hAnsi="Arial" w:cs="David"/>
          <w:rtl/>
        </w:rPr>
      </w:pPr>
      <w:r w:rsidRPr="007252C8">
        <w:rPr>
          <w:rFonts w:ascii="Arial" w:hAnsi="Arial" w:cs="David"/>
          <w:rtl/>
        </w:rPr>
        <w:t xml:space="preserve">, </w:t>
      </w:r>
      <w:r w:rsidRPr="007252C8">
        <w:rPr>
          <w:rFonts w:ascii="Arial" w:hAnsi="Arial" w:cs="David"/>
        </w:rPr>
        <w:t xml:space="preserve">Email: </w:t>
      </w:r>
      <w:hyperlink r:id="rId1" w:history="1">
        <w:r w:rsidRPr="00D13732">
          <w:rPr>
            <w:rStyle w:val="Hyperlink"/>
            <w:rFonts w:ascii="Arial" w:hAnsi="Arial" w:cs="David"/>
          </w:rPr>
          <w:t>ronen@setty-law.com</w:t>
        </w:r>
      </w:hyperlink>
      <w:r w:rsidRPr="007252C8">
        <w:rPr>
          <w:rFonts w:ascii="Arial" w:hAnsi="Arial" w:cs="David"/>
          <w:rtl/>
        </w:rPr>
        <w:t>.</w:t>
      </w:r>
    </w:p>
    <w:p w:rsidR="00D9448B" w:rsidRPr="007252C8" w:rsidRDefault="00D9448B" w:rsidP="00C455D8">
      <w:pPr>
        <w:pStyle w:val="a8"/>
        <w:ind w:left="86" w:hanging="86"/>
        <w:jc w:val="both"/>
        <w:rPr>
          <w:rFonts w:ascii="Arial" w:hAnsi="Arial" w:cs="David"/>
          <w:rtl/>
        </w:rPr>
      </w:pPr>
    </w:p>
    <w:p w:rsidR="00D9448B" w:rsidRDefault="00D9448B">
      <w:pPr>
        <w:pStyle w:val="a8"/>
        <w:rPr>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D022A"/>
    <w:multiLevelType w:val="hybridMultilevel"/>
    <w:tmpl w:val="9E4E8C2A"/>
    <w:lvl w:ilvl="0" w:tplc="6ED66E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04FEC"/>
    <w:multiLevelType w:val="hybridMultilevel"/>
    <w:tmpl w:val="AB88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1879"/>
    <w:rsid w:val="00007F86"/>
    <w:rsid w:val="00041E71"/>
    <w:rsid w:val="000A4C5D"/>
    <w:rsid w:val="000E2189"/>
    <w:rsid w:val="000F1199"/>
    <w:rsid w:val="00100DFB"/>
    <w:rsid w:val="001E122A"/>
    <w:rsid w:val="0021413B"/>
    <w:rsid w:val="00220FA8"/>
    <w:rsid w:val="002427E9"/>
    <w:rsid w:val="00260736"/>
    <w:rsid w:val="00262FEB"/>
    <w:rsid w:val="00266146"/>
    <w:rsid w:val="00290C16"/>
    <w:rsid w:val="002D3051"/>
    <w:rsid w:val="002F394A"/>
    <w:rsid w:val="003052CA"/>
    <w:rsid w:val="00344514"/>
    <w:rsid w:val="0034759F"/>
    <w:rsid w:val="00373A0A"/>
    <w:rsid w:val="00382C00"/>
    <w:rsid w:val="003B7FAA"/>
    <w:rsid w:val="003D5FEF"/>
    <w:rsid w:val="00410C08"/>
    <w:rsid w:val="0048526D"/>
    <w:rsid w:val="004921E5"/>
    <w:rsid w:val="004A4DB7"/>
    <w:rsid w:val="004C6723"/>
    <w:rsid w:val="004F7B98"/>
    <w:rsid w:val="0050305E"/>
    <w:rsid w:val="00516D9A"/>
    <w:rsid w:val="005356DB"/>
    <w:rsid w:val="00544275"/>
    <w:rsid w:val="00565BC9"/>
    <w:rsid w:val="0057665C"/>
    <w:rsid w:val="005C14B3"/>
    <w:rsid w:val="005D5808"/>
    <w:rsid w:val="005F1756"/>
    <w:rsid w:val="00616E63"/>
    <w:rsid w:val="00646B6D"/>
    <w:rsid w:val="00667DB0"/>
    <w:rsid w:val="00677288"/>
    <w:rsid w:val="0068077B"/>
    <w:rsid w:val="006A1599"/>
    <w:rsid w:val="006A32EF"/>
    <w:rsid w:val="006E44D9"/>
    <w:rsid w:val="006F5F11"/>
    <w:rsid w:val="00703541"/>
    <w:rsid w:val="007252C8"/>
    <w:rsid w:val="007416F4"/>
    <w:rsid w:val="00817190"/>
    <w:rsid w:val="0082043D"/>
    <w:rsid w:val="0085448B"/>
    <w:rsid w:val="00873624"/>
    <w:rsid w:val="00886CCF"/>
    <w:rsid w:val="00894798"/>
    <w:rsid w:val="008B712A"/>
    <w:rsid w:val="008D5373"/>
    <w:rsid w:val="008F40A9"/>
    <w:rsid w:val="00910033"/>
    <w:rsid w:val="00913D56"/>
    <w:rsid w:val="0094388F"/>
    <w:rsid w:val="00944E61"/>
    <w:rsid w:val="00992DF2"/>
    <w:rsid w:val="009C5D37"/>
    <w:rsid w:val="009E7AA4"/>
    <w:rsid w:val="009F7F1F"/>
    <w:rsid w:val="00A64908"/>
    <w:rsid w:val="00A666CF"/>
    <w:rsid w:val="00A7789E"/>
    <w:rsid w:val="00AA205A"/>
    <w:rsid w:val="00B01E82"/>
    <w:rsid w:val="00B37248"/>
    <w:rsid w:val="00B83D2F"/>
    <w:rsid w:val="00BC3B3E"/>
    <w:rsid w:val="00BD5B8B"/>
    <w:rsid w:val="00C05EA4"/>
    <w:rsid w:val="00C36A1E"/>
    <w:rsid w:val="00C455D8"/>
    <w:rsid w:val="00C660F6"/>
    <w:rsid w:val="00C67B86"/>
    <w:rsid w:val="00C7052A"/>
    <w:rsid w:val="00C86E1B"/>
    <w:rsid w:val="00CA4A72"/>
    <w:rsid w:val="00CB3016"/>
    <w:rsid w:val="00CE421E"/>
    <w:rsid w:val="00D17E41"/>
    <w:rsid w:val="00D24D5E"/>
    <w:rsid w:val="00D54129"/>
    <w:rsid w:val="00D67B97"/>
    <w:rsid w:val="00D82A0E"/>
    <w:rsid w:val="00D9448B"/>
    <w:rsid w:val="00DA659B"/>
    <w:rsid w:val="00DC1BDA"/>
    <w:rsid w:val="00DE4C81"/>
    <w:rsid w:val="00DF6336"/>
    <w:rsid w:val="00E55067"/>
    <w:rsid w:val="00E660B5"/>
    <w:rsid w:val="00E8203B"/>
    <w:rsid w:val="00E97A10"/>
    <w:rsid w:val="00EC0AD6"/>
    <w:rsid w:val="00EC61DD"/>
    <w:rsid w:val="00EC6F24"/>
    <w:rsid w:val="00F21583"/>
    <w:rsid w:val="00F4121A"/>
    <w:rsid w:val="00F46650"/>
    <w:rsid w:val="00F64870"/>
    <w:rsid w:val="00F73B68"/>
    <w:rsid w:val="00F81A74"/>
    <w:rsid w:val="00F9146C"/>
    <w:rsid w:val="00FA1879"/>
    <w:rsid w:val="00FF1AFE"/>
    <w:rsid w:val="00FF230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1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6E44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DC1BDA"/>
  </w:style>
  <w:style w:type="character" w:customStyle="1" w:styleId="big-number">
    <w:name w:val="big-number"/>
    <w:basedOn w:val="a0"/>
    <w:rsid w:val="00565BC9"/>
  </w:style>
  <w:style w:type="paragraph" w:customStyle="1" w:styleId="medium2-header">
    <w:name w:val="medium2-header"/>
    <w:basedOn w:val="a"/>
    <w:rsid w:val="00565BC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F394A"/>
    <w:pPr>
      <w:ind w:left="720"/>
      <w:contextualSpacing/>
    </w:pPr>
  </w:style>
  <w:style w:type="paragraph" w:styleId="a4">
    <w:name w:val="header"/>
    <w:basedOn w:val="a"/>
    <w:link w:val="a5"/>
    <w:uiPriority w:val="99"/>
    <w:semiHidden/>
    <w:unhideWhenUsed/>
    <w:rsid w:val="009F7F1F"/>
    <w:pPr>
      <w:tabs>
        <w:tab w:val="center" w:pos="4153"/>
        <w:tab w:val="right" w:pos="8306"/>
      </w:tabs>
      <w:spacing w:after="0" w:line="240" w:lineRule="auto"/>
    </w:pPr>
  </w:style>
  <w:style w:type="character" w:customStyle="1" w:styleId="a5">
    <w:name w:val="כותרת עליונה תו"/>
    <w:basedOn w:val="a0"/>
    <w:link w:val="a4"/>
    <w:uiPriority w:val="99"/>
    <w:semiHidden/>
    <w:rsid w:val="009F7F1F"/>
  </w:style>
  <w:style w:type="paragraph" w:styleId="a6">
    <w:name w:val="footer"/>
    <w:basedOn w:val="a"/>
    <w:link w:val="a7"/>
    <w:uiPriority w:val="99"/>
    <w:unhideWhenUsed/>
    <w:rsid w:val="009F7F1F"/>
    <w:pPr>
      <w:tabs>
        <w:tab w:val="center" w:pos="4153"/>
        <w:tab w:val="right" w:pos="8306"/>
      </w:tabs>
      <w:spacing w:after="0" w:line="240" w:lineRule="auto"/>
    </w:pPr>
  </w:style>
  <w:style w:type="character" w:customStyle="1" w:styleId="a7">
    <w:name w:val="כותרת תחתונה תו"/>
    <w:basedOn w:val="a0"/>
    <w:link w:val="a6"/>
    <w:uiPriority w:val="99"/>
    <w:rsid w:val="009F7F1F"/>
  </w:style>
  <w:style w:type="character" w:styleId="Hyperlink">
    <w:name w:val="Hyperlink"/>
    <w:basedOn w:val="a0"/>
    <w:unhideWhenUsed/>
    <w:rsid w:val="002D3051"/>
    <w:rPr>
      <w:color w:val="0000FF"/>
      <w:u w:val="single"/>
    </w:rPr>
  </w:style>
  <w:style w:type="paragraph" w:styleId="a8">
    <w:name w:val="footnote text"/>
    <w:basedOn w:val="a"/>
    <w:link w:val="a9"/>
    <w:uiPriority w:val="99"/>
    <w:unhideWhenUsed/>
    <w:rsid w:val="0082043D"/>
    <w:pPr>
      <w:spacing w:after="0" w:line="240" w:lineRule="auto"/>
    </w:pPr>
    <w:rPr>
      <w:sz w:val="20"/>
      <w:szCs w:val="20"/>
    </w:rPr>
  </w:style>
  <w:style w:type="character" w:customStyle="1" w:styleId="a9">
    <w:name w:val="טקסט הערת שוליים תו"/>
    <w:basedOn w:val="a0"/>
    <w:link w:val="a8"/>
    <w:uiPriority w:val="99"/>
    <w:rsid w:val="0082043D"/>
    <w:rPr>
      <w:sz w:val="20"/>
      <w:szCs w:val="20"/>
    </w:rPr>
  </w:style>
  <w:style w:type="character" w:styleId="aa">
    <w:name w:val="footnote reference"/>
    <w:basedOn w:val="a0"/>
    <w:uiPriority w:val="99"/>
    <w:semiHidden/>
    <w:unhideWhenUsed/>
    <w:rsid w:val="0082043D"/>
    <w:rPr>
      <w:vertAlign w:val="superscript"/>
    </w:rPr>
  </w:style>
  <w:style w:type="character" w:styleId="ab">
    <w:name w:val="annotation reference"/>
    <w:basedOn w:val="a0"/>
    <w:uiPriority w:val="99"/>
    <w:semiHidden/>
    <w:unhideWhenUsed/>
    <w:rsid w:val="00B83D2F"/>
    <w:rPr>
      <w:sz w:val="16"/>
      <w:szCs w:val="16"/>
    </w:rPr>
  </w:style>
  <w:style w:type="paragraph" w:styleId="ac">
    <w:name w:val="annotation text"/>
    <w:basedOn w:val="a"/>
    <w:link w:val="ad"/>
    <w:uiPriority w:val="99"/>
    <w:semiHidden/>
    <w:unhideWhenUsed/>
    <w:rsid w:val="00B83D2F"/>
    <w:pPr>
      <w:spacing w:line="240" w:lineRule="auto"/>
    </w:pPr>
    <w:rPr>
      <w:sz w:val="20"/>
      <w:szCs w:val="20"/>
    </w:rPr>
  </w:style>
  <w:style w:type="character" w:customStyle="1" w:styleId="ad">
    <w:name w:val="טקסט הערה תו"/>
    <w:basedOn w:val="a0"/>
    <w:link w:val="ac"/>
    <w:uiPriority w:val="99"/>
    <w:semiHidden/>
    <w:rsid w:val="00B83D2F"/>
    <w:rPr>
      <w:sz w:val="20"/>
      <w:szCs w:val="20"/>
    </w:rPr>
  </w:style>
  <w:style w:type="paragraph" w:styleId="ae">
    <w:name w:val="annotation subject"/>
    <w:basedOn w:val="ac"/>
    <w:next w:val="ac"/>
    <w:link w:val="af"/>
    <w:uiPriority w:val="99"/>
    <w:semiHidden/>
    <w:unhideWhenUsed/>
    <w:rsid w:val="00B83D2F"/>
    <w:rPr>
      <w:b/>
      <w:bCs/>
    </w:rPr>
  </w:style>
  <w:style w:type="character" w:customStyle="1" w:styleId="af">
    <w:name w:val="נושא הערה תו"/>
    <w:basedOn w:val="ad"/>
    <w:link w:val="ae"/>
    <w:uiPriority w:val="99"/>
    <w:semiHidden/>
    <w:rsid w:val="00B83D2F"/>
    <w:rPr>
      <w:b/>
      <w:bCs/>
    </w:rPr>
  </w:style>
  <w:style w:type="paragraph" w:styleId="af0">
    <w:name w:val="Balloon Text"/>
    <w:basedOn w:val="a"/>
    <w:link w:val="af1"/>
    <w:uiPriority w:val="99"/>
    <w:semiHidden/>
    <w:unhideWhenUsed/>
    <w:rsid w:val="00B83D2F"/>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B83D2F"/>
    <w:rPr>
      <w:rFonts w:ascii="Tahoma" w:hAnsi="Tahoma" w:cs="Tahoma"/>
      <w:sz w:val="16"/>
      <w:szCs w:val="16"/>
    </w:rPr>
  </w:style>
  <w:style w:type="paragraph" w:customStyle="1" w:styleId="HeadHatzaotHok">
    <w:name w:val="Head HatzaotHok"/>
    <w:basedOn w:val="a"/>
    <w:link w:val="HeadHatzaotHok0"/>
    <w:rsid w:val="003D5FEF"/>
    <w:pPr>
      <w:keepNext/>
      <w:keepLines/>
      <w:widowControl w:val="0"/>
      <w:autoSpaceDE w:val="0"/>
      <w:autoSpaceDN w:val="0"/>
      <w:adjustRightInd w:val="0"/>
      <w:snapToGrid w:val="0"/>
      <w:spacing w:before="240" w:after="0" w:line="360" w:lineRule="auto"/>
      <w:ind w:firstLine="340"/>
      <w:jc w:val="center"/>
      <w:textAlignment w:val="center"/>
    </w:pPr>
    <w:rPr>
      <w:rFonts w:ascii="Arial" w:eastAsia="Arial Unicode MS" w:hAnsi="Arial" w:cs="David"/>
      <w:b/>
      <w:bCs/>
      <w:color w:val="000000"/>
      <w:spacing w:val="1"/>
      <w:sz w:val="20"/>
      <w:szCs w:val="26"/>
      <w:lang w:eastAsia="ja-JP"/>
    </w:rPr>
  </w:style>
  <w:style w:type="character" w:customStyle="1" w:styleId="HeadHatzaotHok0">
    <w:name w:val="Head HatzaotHok תו"/>
    <w:basedOn w:val="a0"/>
    <w:link w:val="HeadHatzaotHok"/>
    <w:locked/>
    <w:rsid w:val="003D5FEF"/>
    <w:rPr>
      <w:rFonts w:ascii="Arial" w:eastAsia="Arial Unicode MS" w:hAnsi="Arial" w:cs="David"/>
      <w:b/>
      <w:bCs/>
      <w:color w:val="000000"/>
      <w:spacing w:val="1"/>
      <w:sz w:val="20"/>
      <w:szCs w:val="26"/>
      <w:lang w:eastAsia="ja-JP"/>
    </w:rPr>
  </w:style>
  <w:style w:type="paragraph" w:customStyle="1" w:styleId="TableText">
    <w:name w:val="Table Text"/>
    <w:basedOn w:val="a"/>
    <w:rsid w:val="00886CCF"/>
    <w:pPr>
      <w:keepLines/>
      <w:widowControl w:val="0"/>
      <w:tabs>
        <w:tab w:val="left" w:pos="624"/>
        <w:tab w:val="left" w:pos="1247"/>
      </w:tabs>
      <w:autoSpaceDE w:val="0"/>
      <w:autoSpaceDN w:val="0"/>
      <w:adjustRightInd w:val="0"/>
      <w:snapToGrid w:val="0"/>
      <w:spacing w:before="102" w:after="0" w:line="360" w:lineRule="auto"/>
      <w:ind w:right="57"/>
      <w:jc w:val="both"/>
      <w:textAlignment w:val="center"/>
    </w:pPr>
    <w:rPr>
      <w:rFonts w:ascii="Arial" w:eastAsia="Arial Unicode MS" w:hAnsi="Arial" w:cs="David"/>
      <w:color w:val="000000"/>
      <w:spacing w:val="1"/>
      <w:sz w:val="20"/>
      <w:szCs w:val="26"/>
      <w:lang w:eastAsia="ja-JP"/>
    </w:rPr>
  </w:style>
  <w:style w:type="paragraph" w:customStyle="1" w:styleId="TableBlock">
    <w:name w:val="Table Block"/>
    <w:basedOn w:val="TableText"/>
    <w:rsid w:val="00886CCF"/>
    <w:pPr>
      <w:ind w:right="0"/>
    </w:pPr>
  </w:style>
  <w:style w:type="paragraph" w:customStyle="1" w:styleId="P000">
    <w:name w:val="P00"/>
    <w:rsid w:val="004C672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2">
    <w:name w:val="Body Text"/>
    <w:basedOn w:val="a"/>
    <w:link w:val="af3"/>
    <w:rsid w:val="004C6723"/>
    <w:pPr>
      <w:spacing w:after="0" w:line="160" w:lineRule="exact"/>
    </w:pPr>
    <w:rPr>
      <w:rFonts w:ascii="Times New Roman" w:eastAsia="Times New Roman" w:hAnsi="Times New Roman" w:cs="Miriam"/>
      <w:sz w:val="18"/>
      <w:szCs w:val="18"/>
      <w:lang w:eastAsia="he-IL"/>
    </w:rPr>
  </w:style>
  <w:style w:type="character" w:customStyle="1" w:styleId="af3">
    <w:name w:val="גוף טקסט תו"/>
    <w:basedOn w:val="a0"/>
    <w:link w:val="af2"/>
    <w:rsid w:val="004C6723"/>
    <w:rPr>
      <w:rFonts w:ascii="Times New Roman" w:eastAsia="Times New Roman" w:hAnsi="Times New Roman" w:cs="Miriam"/>
      <w:sz w:val="18"/>
      <w:szCs w:val="18"/>
      <w:lang w:eastAsia="he-IL"/>
    </w:rPr>
  </w:style>
  <w:style w:type="character" w:styleId="af4">
    <w:name w:val="Strong"/>
    <w:basedOn w:val="a0"/>
    <w:uiPriority w:val="22"/>
    <w:qFormat/>
    <w:rsid w:val="0068077B"/>
    <w:rPr>
      <w:b/>
      <w:bCs/>
    </w:rPr>
  </w:style>
</w:styles>
</file>

<file path=word/webSettings.xml><?xml version="1.0" encoding="utf-8"?>
<w:webSettings xmlns:r="http://schemas.openxmlformats.org/officeDocument/2006/relationships" xmlns:w="http://schemas.openxmlformats.org/wordprocessingml/2006/main">
  <w:divs>
    <w:div w:id="859779384">
      <w:bodyDiv w:val="1"/>
      <w:marLeft w:val="0"/>
      <w:marRight w:val="0"/>
      <w:marTop w:val="0"/>
      <w:marBottom w:val="0"/>
      <w:divBdr>
        <w:top w:val="none" w:sz="0" w:space="0" w:color="auto"/>
        <w:left w:val="none" w:sz="0" w:space="0" w:color="auto"/>
        <w:bottom w:val="none" w:sz="0" w:space="0" w:color="auto"/>
        <w:right w:val="none" w:sz="0" w:space="0" w:color="auto"/>
      </w:divBdr>
    </w:div>
    <w:div w:id="14712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onen@setty-law.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8A03D-78D3-4FC8-9F78-A3B07AB4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10045</Characters>
  <Application>Microsoft Office Word</Application>
  <DocSecurity>0</DocSecurity>
  <Lines>83</Lines>
  <Paragraphs>24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dc:creator>
  <cp:lastModifiedBy>adia</cp:lastModifiedBy>
  <cp:revision>3</cp:revision>
  <cp:lastPrinted>2015-05-27T09:25:00Z</cp:lastPrinted>
  <dcterms:created xsi:type="dcterms:W3CDTF">2015-05-28T06:41:00Z</dcterms:created>
  <dcterms:modified xsi:type="dcterms:W3CDTF">2015-05-28T12:26:00Z</dcterms:modified>
</cp:coreProperties>
</file>