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5D" w:rsidRDefault="00BA795D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D" w:rsidRDefault="00BA795D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ED1F42" w:rsidRDefault="00BA795D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60706035" w:history="1">
        <w:r w:rsidR="00ED1F42" w:rsidRPr="00521915">
          <w:rPr>
            <w:rStyle w:val="Hyperlink"/>
            <w:noProof/>
            <w:rtl/>
          </w:rPr>
          <w:t>טיוטת תקנות</w:t>
        </w:r>
        <w:r w:rsidR="00ED1F42">
          <w:rPr>
            <w:noProof/>
            <w:webHidden/>
            <w:rtl/>
          </w:rPr>
          <w:tab/>
        </w:r>
        <w:r w:rsidR="00ED1F42">
          <w:rPr>
            <w:rStyle w:val="Hyperlink"/>
            <w:noProof/>
            <w:rtl/>
          </w:rPr>
          <w:fldChar w:fldCharType="begin"/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noProof/>
            <w:webHidden/>
          </w:rPr>
          <w:instrText>PAGEREF</w:instrText>
        </w:r>
        <w:r w:rsidR="00ED1F42">
          <w:rPr>
            <w:noProof/>
            <w:webHidden/>
            <w:rtl/>
          </w:rPr>
          <w:instrText xml:space="preserve"> _</w:instrText>
        </w:r>
        <w:r w:rsidR="00ED1F42">
          <w:rPr>
            <w:noProof/>
            <w:webHidden/>
          </w:rPr>
          <w:instrText>Toc160706035 \h</w:instrText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rStyle w:val="Hyperlink"/>
            <w:noProof/>
            <w:rtl/>
          </w:rPr>
        </w:r>
        <w:r w:rsidR="00ED1F42">
          <w:rPr>
            <w:rStyle w:val="Hyperlink"/>
            <w:noProof/>
            <w:rtl/>
          </w:rPr>
          <w:fldChar w:fldCharType="separate"/>
        </w:r>
        <w:r w:rsidR="00ED1F42">
          <w:rPr>
            <w:noProof/>
            <w:webHidden/>
            <w:rtl/>
          </w:rPr>
          <w:t>2</w:t>
        </w:r>
        <w:r w:rsidR="00ED1F42">
          <w:rPr>
            <w:rStyle w:val="Hyperlink"/>
            <w:noProof/>
            <w:rtl/>
          </w:rPr>
          <w:fldChar w:fldCharType="end"/>
        </w:r>
      </w:hyperlink>
    </w:p>
    <w:p w:rsidR="00ED1F42" w:rsidRDefault="00F95478">
      <w:pPr>
        <w:pStyle w:val="TOC4"/>
        <w:rPr>
          <w:rFonts w:cstheme="minorBidi"/>
          <w:rtl/>
        </w:rPr>
      </w:pPr>
      <w:hyperlink w:anchor="_Toc160706036" w:history="1">
        <w:r w:rsidR="00ED1F42" w:rsidRPr="00521915">
          <w:rPr>
            <w:rStyle w:val="Hyperlink"/>
            <w:rtl/>
          </w:rPr>
          <w:t>א. שם התקנות המוצעות</w:t>
        </w:r>
        <w:r w:rsidR="00ED1F42">
          <w:rPr>
            <w:webHidden/>
            <w:rtl/>
          </w:rPr>
          <w:tab/>
        </w:r>
        <w:r w:rsidR="00ED1F42">
          <w:rPr>
            <w:rStyle w:val="Hyperlink"/>
            <w:rtl/>
          </w:rPr>
          <w:fldChar w:fldCharType="begin"/>
        </w:r>
        <w:r w:rsidR="00ED1F42">
          <w:rPr>
            <w:webHidden/>
            <w:rtl/>
          </w:rPr>
          <w:instrText xml:space="preserve"> </w:instrText>
        </w:r>
        <w:r w:rsidR="00ED1F42">
          <w:rPr>
            <w:webHidden/>
          </w:rPr>
          <w:instrText>PAGEREF</w:instrText>
        </w:r>
        <w:r w:rsidR="00ED1F42">
          <w:rPr>
            <w:webHidden/>
            <w:rtl/>
          </w:rPr>
          <w:instrText xml:space="preserve"> _</w:instrText>
        </w:r>
        <w:r w:rsidR="00ED1F42">
          <w:rPr>
            <w:webHidden/>
          </w:rPr>
          <w:instrText>Toc160706036 \h</w:instrText>
        </w:r>
        <w:r w:rsidR="00ED1F42">
          <w:rPr>
            <w:webHidden/>
            <w:rtl/>
          </w:rPr>
          <w:instrText xml:space="preserve"> </w:instrText>
        </w:r>
        <w:r w:rsidR="00ED1F42">
          <w:rPr>
            <w:rStyle w:val="Hyperlink"/>
            <w:rtl/>
          </w:rPr>
        </w:r>
        <w:r w:rsidR="00ED1F42">
          <w:rPr>
            <w:rStyle w:val="Hyperlink"/>
            <w:rtl/>
          </w:rPr>
          <w:fldChar w:fldCharType="separate"/>
        </w:r>
        <w:r w:rsidR="00ED1F42">
          <w:rPr>
            <w:webHidden/>
            <w:rtl/>
          </w:rPr>
          <w:t>2</w:t>
        </w:r>
        <w:r w:rsidR="00ED1F42">
          <w:rPr>
            <w:rStyle w:val="Hyperlink"/>
            <w:rtl/>
          </w:rPr>
          <w:fldChar w:fldCharType="end"/>
        </w:r>
      </w:hyperlink>
    </w:p>
    <w:p w:rsidR="00ED1F42" w:rsidRDefault="00F95478">
      <w:pPr>
        <w:pStyle w:val="TOC4"/>
        <w:rPr>
          <w:rFonts w:cstheme="minorBidi"/>
          <w:rtl/>
        </w:rPr>
      </w:pPr>
      <w:hyperlink w:anchor="_Toc160706037" w:history="1">
        <w:r w:rsidR="00ED1F42" w:rsidRPr="00521915">
          <w:rPr>
            <w:rStyle w:val="Hyperlink"/>
            <w:rtl/>
          </w:rPr>
          <w:t>ב. מטרת התקנות המוצעות והצורך בהן [למילוי רק בעת הפצה להערות הציבור]</w:t>
        </w:r>
        <w:r w:rsidR="00ED1F42">
          <w:rPr>
            <w:webHidden/>
            <w:rtl/>
          </w:rPr>
          <w:tab/>
        </w:r>
        <w:r w:rsidR="00ED1F42">
          <w:rPr>
            <w:rStyle w:val="Hyperlink"/>
            <w:rtl/>
          </w:rPr>
          <w:fldChar w:fldCharType="begin"/>
        </w:r>
        <w:r w:rsidR="00ED1F42">
          <w:rPr>
            <w:webHidden/>
            <w:rtl/>
          </w:rPr>
          <w:instrText xml:space="preserve"> </w:instrText>
        </w:r>
        <w:r w:rsidR="00ED1F42">
          <w:rPr>
            <w:webHidden/>
          </w:rPr>
          <w:instrText>PAGEREF</w:instrText>
        </w:r>
        <w:r w:rsidR="00ED1F42">
          <w:rPr>
            <w:webHidden/>
            <w:rtl/>
          </w:rPr>
          <w:instrText xml:space="preserve"> _</w:instrText>
        </w:r>
        <w:r w:rsidR="00ED1F42">
          <w:rPr>
            <w:webHidden/>
          </w:rPr>
          <w:instrText>Toc160706037 \h</w:instrText>
        </w:r>
        <w:r w:rsidR="00ED1F42">
          <w:rPr>
            <w:webHidden/>
            <w:rtl/>
          </w:rPr>
          <w:instrText xml:space="preserve"> </w:instrText>
        </w:r>
        <w:r w:rsidR="00ED1F42">
          <w:rPr>
            <w:rStyle w:val="Hyperlink"/>
            <w:rtl/>
          </w:rPr>
        </w:r>
        <w:r w:rsidR="00ED1F42">
          <w:rPr>
            <w:rStyle w:val="Hyperlink"/>
            <w:rtl/>
          </w:rPr>
          <w:fldChar w:fldCharType="separate"/>
        </w:r>
        <w:r w:rsidR="00ED1F42">
          <w:rPr>
            <w:webHidden/>
            <w:rtl/>
          </w:rPr>
          <w:t>2</w:t>
        </w:r>
        <w:r w:rsidR="00ED1F42">
          <w:rPr>
            <w:rStyle w:val="Hyperlink"/>
            <w:rtl/>
          </w:rPr>
          <w:fldChar w:fldCharType="end"/>
        </w:r>
      </w:hyperlink>
    </w:p>
    <w:p w:rsidR="00ED1F42" w:rsidRDefault="00F95478">
      <w:pPr>
        <w:pStyle w:val="TOC4"/>
        <w:rPr>
          <w:rFonts w:cstheme="minorBidi"/>
          <w:rtl/>
        </w:rPr>
      </w:pPr>
      <w:hyperlink w:anchor="_Toc160706038" w:history="1">
        <w:r w:rsidR="00ED1F42" w:rsidRPr="00521915">
          <w:rPr>
            <w:rStyle w:val="Hyperlink"/>
            <w:rtl/>
          </w:rPr>
          <w:t>ג. להלן נוסח טיוטת התקנות המוצעות:</w:t>
        </w:r>
        <w:r w:rsidR="00ED1F42">
          <w:rPr>
            <w:webHidden/>
            <w:rtl/>
          </w:rPr>
          <w:tab/>
        </w:r>
        <w:r w:rsidR="00ED1F42">
          <w:rPr>
            <w:rStyle w:val="Hyperlink"/>
            <w:rtl/>
          </w:rPr>
          <w:fldChar w:fldCharType="begin"/>
        </w:r>
        <w:r w:rsidR="00ED1F42">
          <w:rPr>
            <w:webHidden/>
            <w:rtl/>
          </w:rPr>
          <w:instrText xml:space="preserve"> </w:instrText>
        </w:r>
        <w:r w:rsidR="00ED1F42">
          <w:rPr>
            <w:webHidden/>
          </w:rPr>
          <w:instrText>PAGEREF</w:instrText>
        </w:r>
        <w:r w:rsidR="00ED1F42">
          <w:rPr>
            <w:webHidden/>
            <w:rtl/>
          </w:rPr>
          <w:instrText xml:space="preserve"> _</w:instrText>
        </w:r>
        <w:r w:rsidR="00ED1F42">
          <w:rPr>
            <w:webHidden/>
          </w:rPr>
          <w:instrText>Toc160706038 \h</w:instrText>
        </w:r>
        <w:r w:rsidR="00ED1F42">
          <w:rPr>
            <w:webHidden/>
            <w:rtl/>
          </w:rPr>
          <w:instrText xml:space="preserve"> </w:instrText>
        </w:r>
        <w:r w:rsidR="00ED1F42">
          <w:rPr>
            <w:rStyle w:val="Hyperlink"/>
            <w:rtl/>
          </w:rPr>
        </w:r>
        <w:r w:rsidR="00ED1F42">
          <w:rPr>
            <w:rStyle w:val="Hyperlink"/>
            <w:rtl/>
          </w:rPr>
          <w:fldChar w:fldCharType="separate"/>
        </w:r>
        <w:r w:rsidR="00ED1F42">
          <w:rPr>
            <w:webHidden/>
            <w:rtl/>
          </w:rPr>
          <w:t>2</w:t>
        </w:r>
        <w:r w:rsidR="00ED1F42">
          <w:rPr>
            <w:rStyle w:val="Hyperlink"/>
            <w:rtl/>
          </w:rPr>
          <w:fldChar w:fldCharType="end"/>
        </w:r>
      </w:hyperlink>
    </w:p>
    <w:p w:rsidR="00ED1F42" w:rsidRDefault="00F95478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60706039" w:history="1">
        <w:r w:rsidR="00ED1F42" w:rsidRPr="00521915">
          <w:rPr>
            <w:rStyle w:val="Hyperlink"/>
            <w:noProof/>
            <w:rtl/>
          </w:rPr>
          <w:t>טיוטת תקנות התכנון והבניה (בקשה להיתר, תנאיו ואגרות) (תיקון), התשפ"ד-2024</w:t>
        </w:r>
        <w:r w:rsidR="00ED1F42">
          <w:rPr>
            <w:noProof/>
            <w:webHidden/>
            <w:rtl/>
          </w:rPr>
          <w:tab/>
        </w:r>
        <w:r w:rsidR="00ED1F42">
          <w:rPr>
            <w:rStyle w:val="Hyperlink"/>
            <w:noProof/>
            <w:rtl/>
          </w:rPr>
          <w:fldChar w:fldCharType="begin"/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noProof/>
            <w:webHidden/>
          </w:rPr>
          <w:instrText>PAGEREF</w:instrText>
        </w:r>
        <w:r w:rsidR="00ED1F42">
          <w:rPr>
            <w:noProof/>
            <w:webHidden/>
            <w:rtl/>
          </w:rPr>
          <w:instrText xml:space="preserve"> _</w:instrText>
        </w:r>
        <w:r w:rsidR="00ED1F42">
          <w:rPr>
            <w:noProof/>
            <w:webHidden/>
          </w:rPr>
          <w:instrText>Toc160706039 \h</w:instrText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rStyle w:val="Hyperlink"/>
            <w:noProof/>
            <w:rtl/>
          </w:rPr>
        </w:r>
        <w:r w:rsidR="00ED1F42">
          <w:rPr>
            <w:rStyle w:val="Hyperlink"/>
            <w:noProof/>
            <w:rtl/>
          </w:rPr>
          <w:fldChar w:fldCharType="separate"/>
        </w:r>
        <w:r w:rsidR="00ED1F42">
          <w:rPr>
            <w:noProof/>
            <w:webHidden/>
            <w:rtl/>
          </w:rPr>
          <w:t>3</w:t>
        </w:r>
        <w:r w:rsidR="00ED1F42">
          <w:rPr>
            <w:rStyle w:val="Hyperlink"/>
            <w:noProof/>
            <w:rtl/>
          </w:rPr>
          <w:fldChar w:fldCharType="end"/>
        </w:r>
      </w:hyperlink>
    </w:p>
    <w:p w:rsidR="00ED1F42" w:rsidRDefault="00F95478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0706040" w:history="1">
        <w:r w:rsidR="00ED1F42" w:rsidRPr="00521915">
          <w:rPr>
            <w:rStyle w:val="Hyperlink"/>
            <w:noProof/>
            <w:rtl/>
          </w:rPr>
          <w:t>תיקון התוספת השנייה</w:t>
        </w:r>
        <w:r w:rsidR="00ED1F42">
          <w:rPr>
            <w:noProof/>
            <w:webHidden/>
            <w:rtl/>
          </w:rPr>
          <w:tab/>
        </w:r>
        <w:r w:rsidR="00ED1F42">
          <w:rPr>
            <w:rStyle w:val="Hyperlink"/>
            <w:noProof/>
            <w:rtl/>
          </w:rPr>
          <w:fldChar w:fldCharType="begin"/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noProof/>
            <w:webHidden/>
          </w:rPr>
          <w:instrText>PAGEREF</w:instrText>
        </w:r>
        <w:r w:rsidR="00ED1F42">
          <w:rPr>
            <w:noProof/>
            <w:webHidden/>
            <w:rtl/>
          </w:rPr>
          <w:instrText xml:space="preserve"> _</w:instrText>
        </w:r>
        <w:r w:rsidR="00ED1F42">
          <w:rPr>
            <w:noProof/>
            <w:webHidden/>
          </w:rPr>
          <w:instrText>Toc160706040 \h</w:instrText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rStyle w:val="Hyperlink"/>
            <w:noProof/>
            <w:rtl/>
          </w:rPr>
        </w:r>
        <w:r w:rsidR="00ED1F42">
          <w:rPr>
            <w:rStyle w:val="Hyperlink"/>
            <w:noProof/>
            <w:rtl/>
          </w:rPr>
          <w:fldChar w:fldCharType="separate"/>
        </w:r>
        <w:r w:rsidR="00ED1F42">
          <w:rPr>
            <w:noProof/>
            <w:webHidden/>
            <w:rtl/>
          </w:rPr>
          <w:t>3</w:t>
        </w:r>
        <w:r w:rsidR="00ED1F42">
          <w:rPr>
            <w:rStyle w:val="Hyperlink"/>
            <w:noProof/>
            <w:rtl/>
          </w:rPr>
          <w:fldChar w:fldCharType="end"/>
        </w:r>
      </w:hyperlink>
    </w:p>
    <w:p w:rsidR="00ED1F42" w:rsidRDefault="00F95478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0706041" w:history="1">
        <w:r w:rsidR="00ED1F42" w:rsidRPr="00521915">
          <w:rPr>
            <w:rStyle w:val="Hyperlink"/>
            <w:noProof/>
            <w:rtl/>
          </w:rPr>
          <w:t>תחילה ותחולה</w:t>
        </w:r>
        <w:r w:rsidR="00ED1F42">
          <w:rPr>
            <w:noProof/>
            <w:webHidden/>
            <w:rtl/>
          </w:rPr>
          <w:tab/>
        </w:r>
        <w:r w:rsidR="00ED1F42">
          <w:rPr>
            <w:rStyle w:val="Hyperlink"/>
            <w:noProof/>
            <w:rtl/>
          </w:rPr>
          <w:fldChar w:fldCharType="begin"/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noProof/>
            <w:webHidden/>
          </w:rPr>
          <w:instrText>PAGEREF</w:instrText>
        </w:r>
        <w:r w:rsidR="00ED1F42">
          <w:rPr>
            <w:noProof/>
            <w:webHidden/>
            <w:rtl/>
          </w:rPr>
          <w:instrText xml:space="preserve"> _</w:instrText>
        </w:r>
        <w:r w:rsidR="00ED1F42">
          <w:rPr>
            <w:noProof/>
            <w:webHidden/>
          </w:rPr>
          <w:instrText>Toc160706041 \h</w:instrText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rStyle w:val="Hyperlink"/>
            <w:noProof/>
            <w:rtl/>
          </w:rPr>
        </w:r>
        <w:r w:rsidR="00ED1F42">
          <w:rPr>
            <w:rStyle w:val="Hyperlink"/>
            <w:noProof/>
            <w:rtl/>
          </w:rPr>
          <w:fldChar w:fldCharType="separate"/>
        </w:r>
        <w:r w:rsidR="00ED1F42">
          <w:rPr>
            <w:noProof/>
            <w:webHidden/>
            <w:rtl/>
          </w:rPr>
          <w:t>3</w:t>
        </w:r>
        <w:r w:rsidR="00ED1F42">
          <w:rPr>
            <w:rStyle w:val="Hyperlink"/>
            <w:noProof/>
            <w:rtl/>
          </w:rPr>
          <w:fldChar w:fldCharType="end"/>
        </w:r>
      </w:hyperlink>
    </w:p>
    <w:p w:rsidR="00ED1F42" w:rsidRDefault="00F95478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0706042" w:history="1">
        <w:r w:rsidR="00ED1F42" w:rsidRPr="00521915">
          <w:rPr>
            <w:rStyle w:val="Hyperlink"/>
            <w:noProof/>
            <w:rtl/>
          </w:rPr>
          <w:t>דברי הסבר</w:t>
        </w:r>
        <w:r w:rsidR="00ED1F42">
          <w:rPr>
            <w:noProof/>
            <w:webHidden/>
            <w:rtl/>
          </w:rPr>
          <w:tab/>
        </w:r>
        <w:r w:rsidR="00ED1F42">
          <w:rPr>
            <w:rStyle w:val="Hyperlink"/>
            <w:noProof/>
            <w:rtl/>
          </w:rPr>
          <w:fldChar w:fldCharType="begin"/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noProof/>
            <w:webHidden/>
          </w:rPr>
          <w:instrText>PAGEREF</w:instrText>
        </w:r>
        <w:r w:rsidR="00ED1F42">
          <w:rPr>
            <w:noProof/>
            <w:webHidden/>
            <w:rtl/>
          </w:rPr>
          <w:instrText xml:space="preserve"> _</w:instrText>
        </w:r>
        <w:r w:rsidR="00ED1F42">
          <w:rPr>
            <w:noProof/>
            <w:webHidden/>
          </w:rPr>
          <w:instrText>Toc160706042 \h</w:instrText>
        </w:r>
        <w:r w:rsidR="00ED1F42">
          <w:rPr>
            <w:noProof/>
            <w:webHidden/>
            <w:rtl/>
          </w:rPr>
          <w:instrText xml:space="preserve"> </w:instrText>
        </w:r>
        <w:r w:rsidR="00ED1F42">
          <w:rPr>
            <w:rStyle w:val="Hyperlink"/>
            <w:noProof/>
            <w:rtl/>
          </w:rPr>
        </w:r>
        <w:r w:rsidR="00ED1F42">
          <w:rPr>
            <w:rStyle w:val="Hyperlink"/>
            <w:noProof/>
            <w:rtl/>
          </w:rPr>
          <w:fldChar w:fldCharType="separate"/>
        </w:r>
        <w:r w:rsidR="00ED1F42">
          <w:rPr>
            <w:noProof/>
            <w:webHidden/>
            <w:rtl/>
          </w:rPr>
          <w:t>4</w:t>
        </w:r>
        <w:r w:rsidR="00ED1F42">
          <w:rPr>
            <w:rStyle w:val="Hyperlink"/>
            <w:noProof/>
            <w:rtl/>
          </w:rPr>
          <w:fldChar w:fldCharType="end"/>
        </w:r>
      </w:hyperlink>
    </w:p>
    <w:p w:rsidR="00BA795D" w:rsidRDefault="00BA795D" w:rsidP="00BA795D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CA2C75" w:rsidRDefault="00CA2C75" w:rsidP="00722C14">
      <w:pPr>
        <w:pStyle w:val="1"/>
        <w:keepNext w:val="0"/>
        <w:keepLines w:val="0"/>
      </w:pPr>
      <w:bookmarkStart w:id="0" w:name="_Toc160608443"/>
      <w:bookmarkStart w:id="1" w:name="_Toc160706035"/>
      <w:r>
        <w:rPr>
          <w:rtl/>
        </w:rPr>
        <w:lastRenderedPageBreak/>
        <w:t>טיוטת תקנות</w:t>
      </w:r>
      <w:bookmarkEnd w:id="0"/>
      <w:bookmarkEnd w:id="1"/>
    </w:p>
    <w:p w:rsidR="00CA2C75" w:rsidRDefault="00CA2C75" w:rsidP="00722C14">
      <w:pPr>
        <w:rPr>
          <w:rtl/>
        </w:rPr>
      </w:pPr>
    </w:p>
    <w:p w:rsidR="00CA2C75" w:rsidRDefault="00CA2C75" w:rsidP="00F24A78">
      <w:pPr>
        <w:pStyle w:val="4"/>
        <w:rPr>
          <w:rtl/>
        </w:rPr>
      </w:pPr>
      <w:bookmarkStart w:id="2" w:name="_Toc160706036"/>
      <w:r>
        <w:rPr>
          <w:rFonts w:hint="cs"/>
          <w:rtl/>
        </w:rPr>
        <w:t>שם התקנות המוצעות</w:t>
      </w:r>
      <w:bookmarkEnd w:id="2"/>
    </w:p>
    <w:p w:rsidR="00CA2C75" w:rsidRPr="00ED1F42" w:rsidRDefault="00CA2C75" w:rsidP="00722C14">
      <w:bookmarkStart w:id="3" w:name="_Toc142508036"/>
      <w:bookmarkStart w:id="4" w:name="_Toc142508046"/>
      <w:r w:rsidRPr="00ED1F42">
        <w:rPr>
          <w:rFonts w:hint="cs"/>
          <w:rtl/>
        </w:rPr>
        <w:t>תקנות התכנון והבניה (בקשה להיתר, תנאיו ואגרות) (תיקון), התשפ"</w:t>
      </w:r>
      <w:r w:rsidR="00A723CA" w:rsidRPr="00ED1F42">
        <w:rPr>
          <w:rFonts w:hint="cs"/>
          <w:rtl/>
        </w:rPr>
        <w:t>ד</w:t>
      </w:r>
      <w:r w:rsidRPr="00ED1F42">
        <w:rPr>
          <w:rFonts w:hint="cs"/>
          <w:rtl/>
        </w:rPr>
        <w:t>-202</w:t>
      </w:r>
      <w:bookmarkEnd w:id="3"/>
      <w:bookmarkEnd w:id="4"/>
      <w:r w:rsidR="00A723CA" w:rsidRPr="00ED1F42">
        <w:rPr>
          <w:rFonts w:hint="cs"/>
          <w:rtl/>
        </w:rPr>
        <w:t>4</w:t>
      </w:r>
    </w:p>
    <w:p w:rsidR="00CA2C75" w:rsidRDefault="00CA2C75" w:rsidP="00722C14">
      <w:pPr>
        <w:rPr>
          <w:rtl/>
        </w:rPr>
      </w:pPr>
    </w:p>
    <w:p w:rsidR="00CA2C75" w:rsidRDefault="00CA2C75" w:rsidP="00722C14">
      <w:pPr>
        <w:rPr>
          <w:rtl/>
        </w:rPr>
      </w:pPr>
    </w:p>
    <w:p w:rsidR="00CA2C75" w:rsidRDefault="00CA2C75" w:rsidP="007D63AA">
      <w:pPr>
        <w:pStyle w:val="4"/>
        <w:rPr>
          <w:rtl/>
        </w:rPr>
      </w:pPr>
      <w:bookmarkStart w:id="5" w:name="_Toc160706037"/>
      <w:r>
        <w:rPr>
          <w:rFonts w:hint="cs"/>
          <w:rtl/>
        </w:rPr>
        <w:t>מטרת התקנות המוצעות והצורך בהן</w:t>
      </w:r>
      <w:bookmarkStart w:id="6" w:name="_GoBack"/>
      <w:bookmarkEnd w:id="5"/>
      <w:bookmarkEnd w:id="6"/>
    </w:p>
    <w:p w:rsidR="00CA2C75" w:rsidRPr="00ED1F42" w:rsidRDefault="00CA2C75" w:rsidP="00590A38">
      <w:pPr>
        <w:pStyle w:val="Hesber1st"/>
        <w:tabs>
          <w:tab w:val="clear" w:pos="680"/>
        </w:tabs>
        <w:rPr>
          <w:sz w:val="24"/>
          <w:szCs w:val="24"/>
          <w:rtl/>
        </w:rPr>
      </w:pPr>
      <w:r w:rsidRPr="00ED1F42">
        <w:rPr>
          <w:rFonts w:hint="cs"/>
          <w:sz w:val="24"/>
          <w:szCs w:val="24"/>
          <w:rtl/>
        </w:rPr>
        <w:t>תקנות אלה מסדירות את ביטול הפרטים הרלוונטיים בתקנות התכנון והבניה (בקשה להיתר, תנאיו ואגרות), בעקבות פרסום</w:t>
      </w:r>
      <w:r w:rsidR="00590A38">
        <w:rPr>
          <w:rFonts w:hint="cs"/>
          <w:sz w:val="24"/>
          <w:szCs w:val="24"/>
          <w:rtl/>
        </w:rPr>
        <w:t xml:space="preserve"> טיוטת</w:t>
      </w:r>
      <w:r w:rsidRPr="00ED1F42">
        <w:rPr>
          <w:rFonts w:hint="cs"/>
          <w:sz w:val="24"/>
          <w:szCs w:val="24"/>
          <w:rtl/>
        </w:rPr>
        <w:t xml:space="preserve"> תקנות התכנון והבניה הנוגעות לתכן הבנייה בנושא </w:t>
      </w:r>
      <w:r w:rsidR="00804E76" w:rsidRPr="00ED1F42">
        <w:rPr>
          <w:rFonts w:hint="cs"/>
          <w:sz w:val="24"/>
          <w:szCs w:val="24"/>
          <w:rtl/>
        </w:rPr>
        <w:t xml:space="preserve">הגנה מפני רטיבות ולחות </w:t>
      </w:r>
      <w:r w:rsidRPr="00ED1F42">
        <w:rPr>
          <w:rFonts w:hint="cs"/>
          <w:sz w:val="24"/>
          <w:szCs w:val="24"/>
          <w:rtl/>
        </w:rPr>
        <w:t>ו</w:t>
      </w:r>
      <w:r w:rsidR="00590A38">
        <w:rPr>
          <w:rFonts w:hint="cs"/>
          <w:sz w:val="24"/>
          <w:szCs w:val="24"/>
          <w:rtl/>
        </w:rPr>
        <w:t xml:space="preserve">ההצעה להחיל </w:t>
      </w:r>
      <w:r w:rsidRPr="00ED1F42">
        <w:rPr>
          <w:rFonts w:hint="cs"/>
          <w:sz w:val="24"/>
          <w:szCs w:val="24"/>
          <w:rtl/>
        </w:rPr>
        <w:t>הסדרים חלופיים</w:t>
      </w:r>
      <w:r w:rsidR="00590A38">
        <w:rPr>
          <w:rFonts w:hint="cs"/>
          <w:sz w:val="24"/>
          <w:szCs w:val="24"/>
          <w:rtl/>
        </w:rPr>
        <w:t xml:space="preserve"> בנושאים אלה, </w:t>
      </w:r>
      <w:r w:rsidRPr="00ED1F42">
        <w:rPr>
          <w:rFonts w:hint="cs"/>
          <w:sz w:val="24"/>
          <w:szCs w:val="24"/>
          <w:rtl/>
        </w:rPr>
        <w:t>בהתאם ל</w:t>
      </w:r>
      <w:r w:rsidR="00590A38">
        <w:rPr>
          <w:rFonts w:hint="cs"/>
          <w:sz w:val="24"/>
          <w:szCs w:val="24"/>
          <w:rtl/>
        </w:rPr>
        <w:t>טיוטת ה</w:t>
      </w:r>
      <w:r w:rsidRPr="00ED1F42">
        <w:rPr>
          <w:rFonts w:hint="cs"/>
          <w:sz w:val="24"/>
          <w:szCs w:val="24"/>
          <w:rtl/>
        </w:rPr>
        <w:t>תקנות החדשות.</w:t>
      </w:r>
    </w:p>
    <w:p w:rsidR="00CA2C75" w:rsidRDefault="00CA2C75" w:rsidP="00722C14">
      <w:pPr>
        <w:rPr>
          <w:rtl/>
        </w:rPr>
      </w:pPr>
    </w:p>
    <w:p w:rsidR="00CA2C75" w:rsidRDefault="00CA2C75" w:rsidP="00722C14">
      <w:pPr>
        <w:rPr>
          <w:rtl/>
        </w:rPr>
      </w:pPr>
    </w:p>
    <w:p w:rsidR="00CA2C75" w:rsidRDefault="00CA2C75" w:rsidP="00F24A78">
      <w:pPr>
        <w:pStyle w:val="4"/>
      </w:pPr>
      <w:bookmarkStart w:id="7" w:name="_Toc160706038"/>
      <w:r>
        <w:rPr>
          <w:rFonts w:hint="cs"/>
          <w:rtl/>
        </w:rPr>
        <w:t>להלן נוסח טיוטת התקנות המוצעות:</w:t>
      </w:r>
      <w:bookmarkEnd w:id="7"/>
      <w:r>
        <w:rPr>
          <w:rFonts w:hint="cs"/>
          <w:rtl/>
        </w:rPr>
        <w:t xml:space="preserve"> </w:t>
      </w:r>
    </w:p>
    <w:p w:rsidR="00CA2C75" w:rsidRDefault="00CA2C75" w:rsidP="00722C14">
      <w:pPr>
        <w:bidi w:val="0"/>
        <w:rPr>
          <w:rtl/>
        </w:rPr>
      </w:pPr>
      <w:r>
        <w:rPr>
          <w:rtl/>
        </w:rPr>
        <w:br w:type="page"/>
      </w:r>
    </w:p>
    <w:p w:rsidR="00CA2C75" w:rsidRDefault="00CA2C75" w:rsidP="00722C14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תקנות מטעם משרד</w:t>
      </w:r>
      <w:r>
        <w:rPr>
          <w:rFonts w:hint="cs"/>
          <w:rtl/>
        </w:rPr>
        <w:t xml:space="preserve"> הפנים</w:t>
      </w:r>
      <w:r>
        <w:rPr>
          <w:rtl/>
        </w:rPr>
        <w:t xml:space="preserve">: </w:t>
      </w:r>
    </w:p>
    <w:p w:rsidR="00CA2C75" w:rsidRDefault="00CA2C75" w:rsidP="00CA2C75">
      <w:pPr>
        <w:pStyle w:val="HeadHatzaotHok"/>
        <w:keepNext w:val="0"/>
        <w:keepLines w:val="0"/>
        <w:rPr>
          <w:rtl/>
        </w:rPr>
      </w:pPr>
      <w:bookmarkStart w:id="8" w:name="_Toc160608444"/>
      <w:bookmarkStart w:id="9" w:name="_Toc160706039"/>
      <w:r>
        <w:rPr>
          <w:rtl/>
        </w:rPr>
        <w:t xml:space="preserve">טיוטת תקנות </w:t>
      </w:r>
      <w:r w:rsidRPr="00CA2C75">
        <w:rPr>
          <w:rtl/>
        </w:rPr>
        <w:t>התכנון והבניה (בקשה להיתר, תנאיו ואגרות) (תיקון), התשפ"</w:t>
      </w:r>
      <w:r w:rsidR="005A44D3">
        <w:rPr>
          <w:rFonts w:hint="cs"/>
          <w:rtl/>
        </w:rPr>
        <w:t>ד-</w:t>
      </w:r>
      <w:r w:rsidRPr="00CA2C75">
        <w:rPr>
          <w:rtl/>
        </w:rPr>
        <w:t>202</w:t>
      </w:r>
      <w:bookmarkEnd w:id="8"/>
      <w:r w:rsidR="005A44D3">
        <w:rPr>
          <w:rFonts w:hint="cs"/>
          <w:rtl/>
        </w:rPr>
        <w:t>4</w:t>
      </w:r>
      <w:bookmarkEnd w:id="9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CA2C75" w:rsidTr="00CA2C75">
        <w:trPr>
          <w:cantSplit/>
          <w:trHeight w:val="60"/>
        </w:trPr>
        <w:tc>
          <w:tcPr>
            <w:tcW w:w="1871" w:type="dxa"/>
          </w:tcPr>
          <w:p w:rsidR="00CA2C75" w:rsidRDefault="00CA2C7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CA2C75" w:rsidRDefault="00CA2C75">
            <w:pPr>
              <w:pStyle w:val="TableText"/>
            </w:pPr>
          </w:p>
        </w:tc>
        <w:tc>
          <w:tcPr>
            <w:tcW w:w="7146" w:type="dxa"/>
            <w:gridSpan w:val="2"/>
            <w:hideMark/>
          </w:tcPr>
          <w:p w:rsidR="00CA2C75" w:rsidRDefault="00CA2C75">
            <w:pPr>
              <w:pStyle w:val="TableBlock"/>
            </w:pPr>
            <w:r w:rsidRPr="00107436">
              <w:rPr>
                <w:rFonts w:hint="cs"/>
                <w:rtl/>
              </w:rPr>
              <w:t xml:space="preserve">בתוקף סמכותי לפי סעיף </w:t>
            </w:r>
            <w:r>
              <w:rPr>
                <w:rFonts w:hint="cs"/>
                <w:rtl/>
              </w:rPr>
              <w:t>265 לחוק התכנון והבניה, התשכ"ה-1965</w:t>
            </w:r>
            <w:r>
              <w:rPr>
                <w:rStyle w:val="a7"/>
                <w:rtl/>
              </w:rPr>
              <w:footnoteReference w:id="1"/>
            </w:r>
            <w:r>
              <w:rPr>
                <w:rFonts w:hint="cs"/>
                <w:rtl/>
              </w:rPr>
              <w:t>, ולאחר התייעצות עם המועצה הארצית לתכנון ולבניה, אני מתקין תקנות אלה</w:t>
            </w:r>
            <w:r>
              <w:rPr>
                <w:rtl/>
              </w:rPr>
              <w:t>:</w:t>
            </w:r>
          </w:p>
        </w:tc>
      </w:tr>
      <w:tr w:rsidR="00CA2C75" w:rsidTr="00CA2C75">
        <w:trPr>
          <w:cantSplit/>
          <w:trHeight w:val="60"/>
        </w:trPr>
        <w:tc>
          <w:tcPr>
            <w:tcW w:w="1871" w:type="dxa"/>
          </w:tcPr>
          <w:p w:rsidR="00CA2C75" w:rsidRDefault="00CA2C75">
            <w:pPr>
              <w:pStyle w:val="TableSideHeading"/>
            </w:pPr>
          </w:p>
        </w:tc>
        <w:tc>
          <w:tcPr>
            <w:tcW w:w="624" w:type="dxa"/>
          </w:tcPr>
          <w:p w:rsidR="00CA2C75" w:rsidRDefault="00CA2C75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CA2C75" w:rsidRDefault="00CA2C75">
            <w:pPr>
              <w:pStyle w:val="TableHead"/>
            </w:pPr>
          </w:p>
        </w:tc>
      </w:tr>
      <w:tr w:rsidR="00CA2C75" w:rsidTr="00CA2C75">
        <w:trPr>
          <w:cantSplit/>
          <w:trHeight w:val="60"/>
        </w:trPr>
        <w:tc>
          <w:tcPr>
            <w:tcW w:w="1871" w:type="dxa"/>
          </w:tcPr>
          <w:p w:rsidR="00CA2C75" w:rsidRDefault="00CA2C75">
            <w:pPr>
              <w:pStyle w:val="TableSideHeading"/>
            </w:pPr>
            <w:bookmarkStart w:id="10" w:name="_Toc160608445"/>
            <w:bookmarkStart w:id="11" w:name="_Toc160706040"/>
            <w:r>
              <w:rPr>
                <w:rFonts w:hint="cs"/>
                <w:rtl/>
              </w:rPr>
              <w:t>תיקון התוספת השנייה</w:t>
            </w:r>
            <w:bookmarkEnd w:id="10"/>
            <w:bookmarkEnd w:id="11"/>
          </w:p>
        </w:tc>
        <w:tc>
          <w:tcPr>
            <w:tcW w:w="624" w:type="dxa"/>
          </w:tcPr>
          <w:p w:rsidR="00CA2C75" w:rsidRDefault="00CA2C75" w:rsidP="00CA2C75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2"/>
          </w:tcPr>
          <w:p w:rsidR="00CA2C75" w:rsidRDefault="00CA2C75">
            <w:pPr>
              <w:pStyle w:val="TableBlock"/>
            </w:pPr>
            <w:r w:rsidRPr="00A04CA7">
              <w:rPr>
                <w:rFonts w:hint="eastAsia"/>
                <w:rtl/>
              </w:rPr>
              <w:t>ב</w:t>
            </w:r>
            <w:r w:rsidRPr="00AF34AE">
              <w:rPr>
                <w:rtl/>
              </w:rPr>
              <w:t xml:space="preserve">תקנות התכנון והבניה (בקשה להיתר, תנאיו </w:t>
            </w:r>
            <w:r w:rsidRPr="00735789">
              <w:rPr>
                <w:rtl/>
              </w:rPr>
              <w:t>ואגרות</w:t>
            </w:r>
            <w:r w:rsidRPr="00AF34AE">
              <w:rPr>
                <w:rtl/>
              </w:rPr>
              <w:t xml:space="preserve">), </w:t>
            </w:r>
            <w:proofErr w:type="spellStart"/>
            <w:r w:rsidRPr="00AF34AE">
              <w:rPr>
                <w:rtl/>
              </w:rPr>
              <w:t>התש"ל</w:t>
            </w:r>
            <w:proofErr w:type="spellEnd"/>
            <w:r w:rsidRPr="00AF34AE">
              <w:rPr>
                <w:rtl/>
              </w:rPr>
              <w:t>–1970</w:t>
            </w:r>
            <w:r w:rsidRPr="00841F47">
              <w:rPr>
                <w:sz w:val="16"/>
                <w:szCs w:val="16"/>
                <w:rtl/>
              </w:rPr>
              <w:footnoteReference w:id="2"/>
            </w:r>
            <w:r w:rsidRPr="00A04CA7">
              <w:rPr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F34AE">
              <w:rPr>
                <w:rtl/>
              </w:rPr>
              <w:t>בתוספת השנייה</w:t>
            </w:r>
            <w:r>
              <w:rPr>
                <w:rFonts w:hint="cs"/>
                <w:b/>
                <w:bCs/>
                <w:rtl/>
              </w:rPr>
              <w:t>,</w:t>
            </w:r>
            <w:r w:rsidRPr="00AF34A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בטלים -</w:t>
            </w:r>
          </w:p>
        </w:tc>
      </w:tr>
      <w:tr w:rsidR="00CA2C75" w:rsidTr="00CA2C75">
        <w:trPr>
          <w:cantSplit/>
          <w:trHeight w:val="60"/>
        </w:trPr>
        <w:tc>
          <w:tcPr>
            <w:tcW w:w="1871" w:type="dxa"/>
          </w:tcPr>
          <w:p w:rsidR="00CA2C75" w:rsidRDefault="00CA2C75" w:rsidP="00CA2C75">
            <w:pPr>
              <w:pStyle w:val="TableSideHeading"/>
            </w:pPr>
          </w:p>
        </w:tc>
        <w:tc>
          <w:tcPr>
            <w:tcW w:w="624" w:type="dxa"/>
          </w:tcPr>
          <w:p w:rsidR="00CA2C75" w:rsidRDefault="00CA2C75" w:rsidP="00CA2C75">
            <w:pPr>
              <w:pStyle w:val="TableText"/>
            </w:pPr>
          </w:p>
        </w:tc>
        <w:tc>
          <w:tcPr>
            <w:tcW w:w="624" w:type="dxa"/>
          </w:tcPr>
          <w:p w:rsidR="00CA2C75" w:rsidRDefault="00CA2C75" w:rsidP="00CA2C75">
            <w:pPr>
              <w:pStyle w:val="TableText"/>
            </w:pPr>
          </w:p>
        </w:tc>
        <w:tc>
          <w:tcPr>
            <w:tcW w:w="6522" w:type="dxa"/>
          </w:tcPr>
          <w:p w:rsidR="00CA2C75" w:rsidRDefault="00B958B4" w:rsidP="00CA2C75">
            <w:pPr>
              <w:pStyle w:val="TableBlock"/>
              <w:numPr>
                <w:ilvl w:val="0"/>
                <w:numId w:val="20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סעיפים 5.30-5.36  מ</w:t>
            </w:r>
            <w:r w:rsidR="00CA2C75">
              <w:rPr>
                <w:rFonts w:hint="cs"/>
                <w:rtl/>
              </w:rPr>
              <w:t xml:space="preserve">סימן </w:t>
            </w:r>
            <w:r>
              <w:rPr>
                <w:rFonts w:hint="cs"/>
                <w:rtl/>
              </w:rPr>
              <w:t>ג</w:t>
            </w:r>
            <w:r w:rsidR="00CA2C75">
              <w:rPr>
                <w:rFonts w:hint="cs"/>
                <w:rtl/>
              </w:rPr>
              <w:t>' בחלק ה';</w:t>
            </w:r>
          </w:p>
        </w:tc>
      </w:tr>
      <w:tr w:rsidR="00CA2C75">
        <w:trPr>
          <w:cantSplit/>
          <w:trHeight w:val="60"/>
        </w:trPr>
        <w:tc>
          <w:tcPr>
            <w:tcW w:w="1871" w:type="dxa"/>
          </w:tcPr>
          <w:p w:rsidR="00CA2C75" w:rsidRDefault="00CA2C75" w:rsidP="007E751D">
            <w:pPr>
              <w:pStyle w:val="TableSideHeading"/>
              <w:keepLines w:val="0"/>
            </w:pPr>
            <w:bookmarkStart w:id="12" w:name="_Toc160608446"/>
            <w:bookmarkStart w:id="13" w:name="_Toc160706041"/>
            <w:r>
              <w:rPr>
                <w:rFonts w:hint="cs"/>
                <w:rtl/>
              </w:rPr>
              <w:t>תחילה ותחולה</w:t>
            </w:r>
            <w:bookmarkEnd w:id="12"/>
            <w:bookmarkEnd w:id="13"/>
          </w:p>
        </w:tc>
        <w:tc>
          <w:tcPr>
            <w:tcW w:w="624" w:type="dxa"/>
          </w:tcPr>
          <w:p w:rsidR="00CA2C75" w:rsidRDefault="00CA2C75" w:rsidP="00CA2C75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2"/>
          </w:tcPr>
          <w:p w:rsidR="00CA2C75" w:rsidRPr="00C34DE2" w:rsidRDefault="00CA2C75" w:rsidP="007E751D">
            <w:pPr>
              <w:pStyle w:val="TableBlock"/>
              <w:keepLines w:val="0"/>
            </w:pPr>
            <w:r>
              <w:rPr>
                <w:rFonts w:hint="cs"/>
                <w:rtl/>
              </w:rPr>
              <w:t>תחילתן של תקנות אלה ביום תחילתן של תקנות התכנון והבניה (תכן הבניה) (</w:t>
            </w:r>
            <w:r w:rsidR="007F07DB">
              <w:rPr>
                <w:rFonts w:hint="cs"/>
                <w:rtl/>
              </w:rPr>
              <w:t>הגנה מפני רטיבות ולחות</w:t>
            </w:r>
            <w:r>
              <w:rPr>
                <w:rFonts w:hint="cs"/>
                <w:rtl/>
              </w:rPr>
              <w:t>), התשפ"</w:t>
            </w:r>
            <w:r w:rsidR="007F07DB">
              <w:rPr>
                <w:rFonts w:hint="cs"/>
                <w:rtl/>
              </w:rPr>
              <w:t>ד</w:t>
            </w:r>
            <w:r>
              <w:rPr>
                <w:rFonts w:hint="cs"/>
                <w:rtl/>
              </w:rPr>
              <w:t>-</w:t>
            </w:r>
            <w:r w:rsidR="007F07DB">
              <w:rPr>
                <w:rFonts w:hint="cs"/>
                <w:rtl/>
              </w:rPr>
              <w:t>2024</w:t>
            </w:r>
            <w:r>
              <w:rPr>
                <w:rStyle w:val="a7"/>
                <w:rtl/>
              </w:rPr>
              <w:footnoteReference w:id="3"/>
            </w:r>
            <w:r>
              <w:rPr>
                <w:rFonts w:hint="cs"/>
                <w:rtl/>
              </w:rPr>
              <w:t>, והן יחולו על בקשה להיתר שהוגשה ביום התחילה או לאחריו.</w:t>
            </w:r>
          </w:p>
        </w:tc>
      </w:tr>
    </w:tbl>
    <w:p w:rsidR="00CA2C75" w:rsidRDefault="00CA2C75" w:rsidP="00722C14"/>
    <w:p w:rsidR="00CA2C75" w:rsidRDefault="00CA2C75" w:rsidP="00722C14">
      <w:pPr>
        <w:rPr>
          <w:rtl/>
        </w:rPr>
      </w:pPr>
    </w:p>
    <w:p w:rsidR="00CA2C75" w:rsidRDefault="00CA2C75" w:rsidP="00CA2C75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___________ </w:t>
      </w:r>
      <w:proofErr w:type="spellStart"/>
      <w:r>
        <w:rPr>
          <w:rFonts w:eastAsia="Calibri" w:hint="cs"/>
          <w:rtl/>
        </w:rPr>
        <w:t>התשפ"</w:t>
      </w:r>
      <w:r w:rsidR="007F07DB">
        <w:rPr>
          <w:rFonts w:eastAsia="Calibri" w:hint="cs"/>
          <w:rtl/>
        </w:rPr>
        <w:t>ד</w:t>
      </w:r>
      <w:proofErr w:type="spellEnd"/>
      <w:r>
        <w:rPr>
          <w:rFonts w:eastAsia="Calibri" w:hint="cs"/>
          <w:rtl/>
        </w:rPr>
        <w:t xml:space="preserve"> (__________ </w:t>
      </w:r>
      <w:r w:rsidR="007F07DB">
        <w:rPr>
          <w:rFonts w:eastAsia="Calibri" w:hint="cs"/>
          <w:rtl/>
        </w:rPr>
        <w:t>2024</w:t>
      </w:r>
      <w:r>
        <w:rPr>
          <w:rFonts w:eastAsia="Calibri" w:hint="cs"/>
          <w:rtl/>
        </w:rPr>
        <w:t>)</w:t>
      </w:r>
    </w:p>
    <w:p w:rsidR="00CA2C75" w:rsidRDefault="00CA2C75" w:rsidP="00CA2C75">
      <w:pPr>
        <w:rPr>
          <w:rtl/>
        </w:rPr>
      </w:pP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חמ</w:t>
      </w:r>
      <w:proofErr w:type="spellEnd"/>
      <w:r>
        <w:rPr>
          <w:rFonts w:hint="cs"/>
          <w:rtl/>
        </w:rPr>
        <w:t xml:space="preserve"> _3-347-ת1__)</w:t>
      </w:r>
    </w:p>
    <w:p w:rsidR="00CA2C75" w:rsidRDefault="00CA2C75" w:rsidP="00722C14">
      <w:pPr>
        <w:rPr>
          <w:rtl/>
        </w:rPr>
      </w:pPr>
    </w:p>
    <w:p w:rsidR="00CA2C75" w:rsidRDefault="00CA2C75" w:rsidP="00722C14">
      <w:pPr>
        <w:ind w:left="5760"/>
        <w:jc w:val="center"/>
        <w:rPr>
          <w:rtl/>
        </w:rPr>
      </w:pPr>
      <w:r>
        <w:rPr>
          <w:rFonts w:hint="cs"/>
          <w:rtl/>
        </w:rPr>
        <w:t>__________________</w:t>
      </w:r>
    </w:p>
    <w:p w:rsidR="00CA2C75" w:rsidRDefault="00CA2C75" w:rsidP="00722C14">
      <w:pPr>
        <w:ind w:left="5760"/>
        <w:jc w:val="center"/>
        <w:rPr>
          <w:rtl/>
        </w:rPr>
      </w:pPr>
      <w:r>
        <w:rPr>
          <w:rFonts w:hint="cs"/>
          <w:rtl/>
        </w:rPr>
        <w:t>משה ארבל</w:t>
      </w:r>
    </w:p>
    <w:p w:rsidR="00CA2C75" w:rsidRDefault="00CA2C75" w:rsidP="00722C14">
      <w:pPr>
        <w:ind w:left="5760"/>
        <w:jc w:val="center"/>
        <w:rPr>
          <w:rtl/>
        </w:rPr>
      </w:pPr>
      <w:r>
        <w:rPr>
          <w:rFonts w:hint="cs"/>
          <w:rtl/>
        </w:rPr>
        <w:t>שר הפנים</w:t>
      </w:r>
    </w:p>
    <w:p w:rsidR="00CA2C75" w:rsidRDefault="00CA2C75" w:rsidP="00722C14">
      <w:pPr>
        <w:rPr>
          <w:rtl/>
        </w:rPr>
      </w:pPr>
    </w:p>
    <w:p w:rsidR="00CA2C75" w:rsidRDefault="00CA2C75">
      <w:pPr>
        <w:widowControl/>
        <w:bidi w:val="0"/>
        <w:spacing w:after="160" w:line="259" w:lineRule="auto"/>
        <w:ind w:left="0"/>
        <w:contextualSpacing w:val="0"/>
        <w:jc w:val="left"/>
        <w:rPr>
          <w:rFonts w:ascii="Arial" w:eastAsia="Arial Unicode MS" w:hAnsi="Arial"/>
          <w:b/>
          <w:snapToGrid w:val="0"/>
          <w:spacing w:val="40"/>
          <w:sz w:val="20"/>
          <w:szCs w:val="26"/>
          <w:rtl/>
        </w:rPr>
      </w:pPr>
      <w:r>
        <w:rPr>
          <w:rtl/>
        </w:rPr>
        <w:br w:type="page"/>
      </w:r>
    </w:p>
    <w:p w:rsidR="00CA2C75" w:rsidRDefault="00CA2C75" w:rsidP="00722C14">
      <w:pPr>
        <w:pStyle w:val="HeadDivreiHesber"/>
        <w:rPr>
          <w:rtl/>
        </w:rPr>
      </w:pPr>
      <w:bookmarkStart w:id="14" w:name="_Toc160608447"/>
      <w:bookmarkStart w:id="15" w:name="_Toc160706042"/>
      <w:r>
        <w:rPr>
          <w:rtl/>
        </w:rPr>
        <w:lastRenderedPageBreak/>
        <w:t>דברי הסבר</w:t>
      </w:r>
      <w:bookmarkEnd w:id="14"/>
      <w:bookmarkEnd w:id="15"/>
    </w:p>
    <w:p w:rsidR="00CA2C75" w:rsidRDefault="00CA2C75" w:rsidP="00722C14">
      <w:pPr>
        <w:pStyle w:val="Hesber1st"/>
        <w:tabs>
          <w:tab w:val="clear" w:pos="680"/>
        </w:tabs>
        <w:rPr>
          <w:rtl/>
        </w:rPr>
      </w:pPr>
    </w:p>
    <w:p w:rsidR="00590A38" w:rsidRPr="00ED1F42" w:rsidRDefault="00590A38" w:rsidP="00590A38">
      <w:pPr>
        <w:pStyle w:val="Hesber1st"/>
        <w:tabs>
          <w:tab w:val="clear" w:pos="680"/>
        </w:tabs>
        <w:rPr>
          <w:sz w:val="24"/>
          <w:szCs w:val="24"/>
          <w:rtl/>
        </w:rPr>
      </w:pPr>
      <w:r w:rsidRPr="00ED1F42">
        <w:rPr>
          <w:rFonts w:hint="cs"/>
          <w:sz w:val="24"/>
          <w:szCs w:val="24"/>
          <w:rtl/>
        </w:rPr>
        <w:t>תקנות אלה מסדירות את ביטול הפרטים הרלוונטיים בתקנות התכנון והבניה (בקשה להיתר, תנאיו ואגרות), בעקבות פרסום</w:t>
      </w:r>
      <w:r>
        <w:rPr>
          <w:rFonts w:hint="cs"/>
          <w:sz w:val="24"/>
          <w:szCs w:val="24"/>
          <w:rtl/>
        </w:rPr>
        <w:t xml:space="preserve"> טיוטת</w:t>
      </w:r>
      <w:r w:rsidRPr="00ED1F42">
        <w:rPr>
          <w:rFonts w:hint="cs"/>
          <w:sz w:val="24"/>
          <w:szCs w:val="24"/>
          <w:rtl/>
        </w:rPr>
        <w:t xml:space="preserve"> תקנות התכנון והבניה הנוגעות לתכן הבנייה בנושא הגנה מפני רטיבות ולחות ו</w:t>
      </w:r>
      <w:r>
        <w:rPr>
          <w:rFonts w:hint="cs"/>
          <w:sz w:val="24"/>
          <w:szCs w:val="24"/>
          <w:rtl/>
        </w:rPr>
        <w:t xml:space="preserve">ההצעה להחיל </w:t>
      </w:r>
      <w:r w:rsidRPr="00ED1F42">
        <w:rPr>
          <w:rFonts w:hint="cs"/>
          <w:sz w:val="24"/>
          <w:szCs w:val="24"/>
          <w:rtl/>
        </w:rPr>
        <w:t>הסדרים חלופיים</w:t>
      </w:r>
      <w:r>
        <w:rPr>
          <w:rFonts w:hint="cs"/>
          <w:sz w:val="24"/>
          <w:szCs w:val="24"/>
          <w:rtl/>
        </w:rPr>
        <w:t xml:space="preserve"> בנושאים אלה, </w:t>
      </w:r>
      <w:r w:rsidRPr="00ED1F42">
        <w:rPr>
          <w:rFonts w:hint="cs"/>
          <w:sz w:val="24"/>
          <w:szCs w:val="24"/>
          <w:rtl/>
        </w:rPr>
        <w:t>בהתאם ל</w:t>
      </w:r>
      <w:r>
        <w:rPr>
          <w:rFonts w:hint="cs"/>
          <w:sz w:val="24"/>
          <w:szCs w:val="24"/>
          <w:rtl/>
        </w:rPr>
        <w:t>טיוטת ה</w:t>
      </w:r>
      <w:r w:rsidRPr="00ED1F42">
        <w:rPr>
          <w:rFonts w:hint="cs"/>
          <w:sz w:val="24"/>
          <w:szCs w:val="24"/>
          <w:rtl/>
        </w:rPr>
        <w:t>תקנות החדשות.</w:t>
      </w:r>
    </w:p>
    <w:p w:rsidR="00F86D17" w:rsidRDefault="00F86D17"/>
    <w:sectPr w:rsidR="00F86D17" w:rsidSect="00CA2C75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78" w:rsidRDefault="00F95478" w:rsidP="00CA2C75">
      <w:pPr>
        <w:spacing w:line="240" w:lineRule="auto"/>
      </w:pPr>
      <w:r>
        <w:separator/>
      </w:r>
    </w:p>
  </w:endnote>
  <w:endnote w:type="continuationSeparator" w:id="0">
    <w:p w:rsidR="00F95478" w:rsidRDefault="00F95478" w:rsidP="00CA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78" w:rsidRDefault="00F95478" w:rsidP="00CA2C75">
      <w:pPr>
        <w:spacing w:line="240" w:lineRule="auto"/>
      </w:pPr>
      <w:r>
        <w:separator/>
      </w:r>
    </w:p>
  </w:footnote>
  <w:footnote w:type="continuationSeparator" w:id="0">
    <w:p w:rsidR="00F95478" w:rsidRDefault="00F95478" w:rsidP="00CA2C75">
      <w:pPr>
        <w:spacing w:line="240" w:lineRule="auto"/>
      </w:pPr>
      <w:r>
        <w:continuationSeparator/>
      </w:r>
    </w:p>
  </w:footnote>
  <w:footnote w:id="1">
    <w:p w:rsidR="00CA2C75" w:rsidRDefault="00CA2C75" w:rsidP="00CA2C75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התשכ"ה</w:t>
      </w:r>
      <w:proofErr w:type="spellEnd"/>
      <w:r>
        <w:rPr>
          <w:rFonts w:hint="cs"/>
          <w:rtl/>
        </w:rPr>
        <w:t xml:space="preserve">, עמ' 307; </w:t>
      </w:r>
      <w:proofErr w:type="spellStart"/>
      <w:r>
        <w:rPr>
          <w:rFonts w:hint="cs"/>
          <w:rtl/>
        </w:rPr>
        <w:t>התשע"ד</w:t>
      </w:r>
      <w:proofErr w:type="spellEnd"/>
      <w:r>
        <w:rPr>
          <w:rFonts w:hint="cs"/>
          <w:rtl/>
        </w:rPr>
        <w:t>, עמ' 474.</w:t>
      </w:r>
    </w:p>
  </w:footnote>
  <w:footnote w:id="2">
    <w:p w:rsidR="00CA2C75" w:rsidRDefault="00CA2C75" w:rsidP="00CA2C75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 w:rsidRPr="00A04CA7">
        <w:rPr>
          <w:sz w:val="20"/>
          <w:rtl/>
        </w:rPr>
        <w:t>ק"ת</w:t>
      </w:r>
      <w:proofErr w:type="spellEnd"/>
      <w:r w:rsidRPr="00A04CA7">
        <w:rPr>
          <w:sz w:val="20"/>
          <w:rtl/>
        </w:rPr>
        <w:t xml:space="preserve"> </w:t>
      </w:r>
      <w:proofErr w:type="spellStart"/>
      <w:r w:rsidRPr="00A04CA7">
        <w:rPr>
          <w:sz w:val="20"/>
          <w:rtl/>
        </w:rPr>
        <w:t>התש"ל</w:t>
      </w:r>
      <w:proofErr w:type="spellEnd"/>
      <w:r w:rsidRPr="00A04CA7">
        <w:rPr>
          <w:sz w:val="20"/>
          <w:rtl/>
        </w:rPr>
        <w:t xml:space="preserve">, עמ' 1841;  </w:t>
      </w:r>
      <w:proofErr w:type="spellStart"/>
      <w:r w:rsidRPr="00A04CA7">
        <w:rPr>
          <w:rFonts w:hint="eastAsia"/>
          <w:sz w:val="20"/>
          <w:rtl/>
        </w:rPr>
        <w:t>התש</w:t>
      </w:r>
      <w:r>
        <w:rPr>
          <w:rFonts w:hint="cs"/>
          <w:sz w:val="20"/>
          <w:rtl/>
        </w:rPr>
        <w:t>פ"ב</w:t>
      </w:r>
      <w:proofErr w:type="spellEnd"/>
      <w:r w:rsidRPr="00A04CA7">
        <w:rPr>
          <w:sz w:val="20"/>
          <w:rtl/>
        </w:rPr>
        <w:t xml:space="preserve">, </w:t>
      </w:r>
      <w:r w:rsidRPr="00A04CA7">
        <w:rPr>
          <w:rFonts w:hint="eastAsia"/>
          <w:sz w:val="20"/>
          <w:rtl/>
        </w:rPr>
        <w:t>עמ</w:t>
      </w:r>
      <w:r w:rsidRPr="00A04CA7">
        <w:rPr>
          <w:sz w:val="20"/>
          <w:rtl/>
        </w:rPr>
        <w:t xml:space="preserve">' </w:t>
      </w:r>
      <w:r>
        <w:rPr>
          <w:rFonts w:hint="cs"/>
          <w:sz w:val="20"/>
          <w:rtl/>
        </w:rPr>
        <w:t>1052</w:t>
      </w:r>
      <w:r w:rsidRPr="00A04CA7">
        <w:rPr>
          <w:sz w:val="20"/>
          <w:rtl/>
        </w:rPr>
        <w:t>.</w:t>
      </w:r>
    </w:p>
  </w:footnote>
  <w:footnote w:id="3">
    <w:p w:rsidR="00CA2C75" w:rsidRDefault="00CA2C75" w:rsidP="00CA2C75">
      <w:pPr>
        <w:pStyle w:val="a5"/>
        <w:rPr>
          <w:rtl/>
        </w:rPr>
      </w:pPr>
      <w:r w:rsidRPr="00CD0F09">
        <w:rPr>
          <w:rStyle w:val="a7"/>
        </w:rPr>
        <w:footnoteRef/>
      </w:r>
      <w:r w:rsidRPr="00CD0F09">
        <w:rPr>
          <w:rtl/>
        </w:rPr>
        <w:t xml:space="preserve"> </w:t>
      </w:r>
      <w:r w:rsidRPr="00CD0F09">
        <w:rPr>
          <w:rFonts w:hint="cs"/>
          <w:rtl/>
        </w:rPr>
        <w:t>[</w:t>
      </w:r>
      <w:r w:rsidR="00CD0F09" w:rsidRPr="00CD0F09">
        <w:rPr>
          <w:rFonts w:hint="cs"/>
          <w:rtl/>
        </w:rPr>
        <w:t xml:space="preserve">תקנות אלו יתפרסמו </w:t>
      </w:r>
      <w:r w:rsidRPr="00CD0F09">
        <w:rPr>
          <w:rFonts w:hint="cs"/>
          <w:rtl/>
        </w:rPr>
        <w:t>בקובץ תקנות יחד עם תקנות אלה]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15802"/>
    <w:multiLevelType w:val="hybridMultilevel"/>
    <w:tmpl w:val="FD96EDEE"/>
    <w:lvl w:ilvl="0" w:tplc="61D8135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75"/>
    <w:rsid w:val="00590A38"/>
    <w:rsid w:val="005A44D3"/>
    <w:rsid w:val="007D63AA"/>
    <w:rsid w:val="007F07DB"/>
    <w:rsid w:val="00804E76"/>
    <w:rsid w:val="0086468B"/>
    <w:rsid w:val="00A723CA"/>
    <w:rsid w:val="00AC452A"/>
    <w:rsid w:val="00B958B4"/>
    <w:rsid w:val="00BA795D"/>
    <w:rsid w:val="00C033E2"/>
    <w:rsid w:val="00CA2C75"/>
    <w:rsid w:val="00CD0F09"/>
    <w:rsid w:val="00EC7524"/>
    <w:rsid w:val="00ED1F42"/>
    <w:rsid w:val="00F86D17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8DD1"/>
  <w15:chartTrackingRefBased/>
  <w15:docId w15:val="{AED25499-9051-4E50-B329-6EF7F5E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5D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95D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BA795D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BA795D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BA795D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A795D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A795D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BA795D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BA795D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BA795D"/>
    <w:pPr>
      <w:outlineLvl w:val="2"/>
    </w:pPr>
  </w:style>
  <w:style w:type="paragraph" w:customStyle="1" w:styleId="TableBlock">
    <w:name w:val="Table Block"/>
    <w:basedOn w:val="TableText"/>
    <w:rsid w:val="00BA795D"/>
    <w:pPr>
      <w:jc w:val="both"/>
    </w:pPr>
  </w:style>
  <w:style w:type="paragraph" w:customStyle="1" w:styleId="TableHead">
    <w:name w:val="Table Head"/>
    <w:basedOn w:val="TableText"/>
    <w:rsid w:val="00BA795D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BA795D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BA795D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BA795D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BA795D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BA795D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BA795D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BA795D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BA795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BA795D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CA2C75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BA795D"/>
    <w:pPr>
      <w:outlineLvl w:val="9"/>
    </w:pPr>
  </w:style>
  <w:style w:type="paragraph" w:customStyle="1" w:styleId="Hesber">
    <w:name w:val="Hesber"/>
    <w:basedOn w:val="a"/>
    <w:rsid w:val="00BA795D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BA795D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CA2C75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BA795D"/>
    <w:rPr>
      <w:vertAlign w:val="superscript"/>
    </w:rPr>
  </w:style>
  <w:style w:type="paragraph" w:customStyle="1" w:styleId="HesberHeading">
    <w:name w:val="Hesber Heading"/>
    <w:basedOn w:val="Hesber"/>
    <w:rsid w:val="00BA795D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BA795D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BA795D"/>
    <w:rPr>
      <w:vertAlign w:val="superscript"/>
    </w:rPr>
  </w:style>
  <w:style w:type="paragraph" w:customStyle="1" w:styleId="TableBlockOutdent">
    <w:name w:val="Table BlockOutdent"/>
    <w:basedOn w:val="TableBlock"/>
    <w:rsid w:val="00BA795D"/>
    <w:pPr>
      <w:ind w:left="624" w:hanging="624"/>
    </w:pPr>
  </w:style>
  <w:style w:type="paragraph" w:styleId="a9">
    <w:name w:val="header"/>
    <w:basedOn w:val="a"/>
    <w:link w:val="aa"/>
    <w:rsid w:val="00BA795D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CA2C75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BA795D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CA2C75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BA795D"/>
  </w:style>
  <w:style w:type="paragraph" w:customStyle="1" w:styleId="Cover1-Reshumot">
    <w:name w:val="Cover 1-Reshumot"/>
    <w:basedOn w:val="a"/>
    <w:rsid w:val="00BA795D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BA795D"/>
    <w:rPr>
      <w:sz w:val="36"/>
      <w:szCs w:val="52"/>
    </w:rPr>
  </w:style>
  <w:style w:type="paragraph" w:customStyle="1" w:styleId="Cover3-Haknesset">
    <w:name w:val="Cover 3-Haknesset"/>
    <w:basedOn w:val="Cover1-Reshumot"/>
    <w:rsid w:val="00BA795D"/>
    <w:rPr>
      <w:b/>
      <w:bCs/>
      <w:spacing w:val="60"/>
    </w:rPr>
  </w:style>
  <w:style w:type="paragraph" w:customStyle="1" w:styleId="Cover4-Date">
    <w:name w:val="Cover 4-Date"/>
    <w:basedOn w:val="a"/>
    <w:rsid w:val="00BA795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BA795D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A795D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A795D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BA795D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BA795D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BA795D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BA795D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BA795D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BA795D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BA795D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BA795D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BA795D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BA795D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BA795D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BA795D"/>
    <w:rPr>
      <w:rFonts w:eastAsia="Times New Roman"/>
    </w:rPr>
  </w:style>
  <w:style w:type="paragraph" w:styleId="af">
    <w:name w:val="List Paragraph"/>
    <w:basedOn w:val="a"/>
    <w:uiPriority w:val="34"/>
    <w:qFormat/>
    <w:rsid w:val="00BA795D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BA79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BA79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BA79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BA795D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BA795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levinger</dc:creator>
  <cp:keywords/>
  <dc:description/>
  <cp:lastModifiedBy>שחר פרלמוטר</cp:lastModifiedBy>
  <cp:revision>3</cp:revision>
  <dcterms:created xsi:type="dcterms:W3CDTF">2024-03-07T11:43:00Z</dcterms:created>
  <dcterms:modified xsi:type="dcterms:W3CDTF">2024-03-07T11:43:00Z</dcterms:modified>
</cp:coreProperties>
</file>