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084" w:rsidRPr="008213E6" w:rsidRDefault="008213E6" w:rsidP="008D671F">
      <w:pPr>
        <w:pStyle w:val="HeadHatzaotHok"/>
        <w:keepNext w:val="0"/>
        <w:keepLines w:val="0"/>
        <w:rPr>
          <w:rtl/>
        </w:rPr>
      </w:pPr>
      <w:bookmarkStart w:id="0" w:name="_GoBack"/>
      <w:r w:rsidRPr="008213E6">
        <w:rPr>
          <w:rFonts w:hint="cs"/>
          <w:rtl/>
        </w:rPr>
        <w:t xml:space="preserve">טיוטת </w:t>
      </w:r>
      <w:r w:rsidR="00571CAF" w:rsidRPr="008213E6">
        <w:rPr>
          <w:rFonts w:hint="cs"/>
          <w:rtl/>
        </w:rPr>
        <w:t xml:space="preserve">צו היבוא והיצוא (קבוצות יבוא), </w:t>
      </w:r>
      <w:proofErr w:type="spellStart"/>
      <w:r w:rsidR="00571CAF" w:rsidRPr="008213E6">
        <w:rPr>
          <w:rFonts w:hint="cs"/>
          <w:rtl/>
        </w:rPr>
        <w:t>התשפ"ב</w:t>
      </w:r>
      <w:proofErr w:type="spellEnd"/>
      <w:r w:rsidR="008D671F" w:rsidRPr="008213E6">
        <w:rPr>
          <w:rFonts w:hint="eastAsia"/>
          <w:rtl/>
        </w:rPr>
        <w:t>–</w:t>
      </w:r>
      <w:r w:rsidR="00571CAF" w:rsidRPr="008213E6">
        <w:rPr>
          <w:rFonts w:hint="cs"/>
          <w:rtl/>
        </w:rPr>
        <w:t>202</w:t>
      </w:r>
      <w:r w:rsidRPr="008213E6">
        <w:rPr>
          <w:rFonts w:hint="cs"/>
          <w:rtl/>
        </w:rPr>
        <w:t>2</w:t>
      </w: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0"/>
        <w:gridCol w:w="624"/>
        <w:gridCol w:w="624"/>
        <w:gridCol w:w="624"/>
        <w:gridCol w:w="5896"/>
      </w:tblGrid>
      <w:tr w:rsidR="00D0269D" w:rsidRPr="008213E6" w:rsidTr="009843C9">
        <w:trPr>
          <w:cantSplit/>
        </w:trPr>
        <w:tc>
          <w:tcPr>
            <w:tcW w:w="9638" w:type="dxa"/>
            <w:gridSpan w:val="5"/>
          </w:tcPr>
          <w:bookmarkEnd w:id="0"/>
          <w:p w:rsidR="002C2084" w:rsidRPr="008213E6" w:rsidRDefault="00571CAF" w:rsidP="00592E58">
            <w:pPr>
              <w:pStyle w:val="TableHead"/>
              <w:ind w:left="144"/>
              <w:jc w:val="left"/>
              <w:rPr>
                <w:b w:val="0"/>
                <w:bCs w:val="0"/>
              </w:rPr>
            </w:pPr>
            <w:r w:rsidRPr="008213E6">
              <w:rPr>
                <w:rFonts w:hint="cs"/>
                <w:b w:val="0"/>
                <w:bCs w:val="0"/>
                <w:rtl/>
              </w:rPr>
              <w:t xml:space="preserve"> בתוקף סמכותי לפי סעיפים 2 ו-2א לפקודת היבוא והיצוא [נוסח חדש], התשל"ט</w:t>
            </w:r>
            <w:r w:rsidRPr="008213E6">
              <w:rPr>
                <w:rFonts w:hint="eastAsia"/>
                <w:b w:val="0"/>
                <w:bCs w:val="0"/>
                <w:rtl/>
              </w:rPr>
              <w:t>–</w:t>
            </w:r>
            <w:r w:rsidRPr="008213E6">
              <w:rPr>
                <w:rFonts w:hint="cs"/>
                <w:b w:val="0"/>
                <w:bCs w:val="0"/>
                <w:rtl/>
              </w:rPr>
              <w:t>1979</w:t>
            </w:r>
            <w:r w:rsidRPr="008213E6">
              <w:rPr>
                <w:rStyle w:val="a7"/>
                <w:b w:val="0"/>
                <w:bCs w:val="0"/>
                <w:rtl/>
              </w:rPr>
              <w:footnoteReference w:id="1"/>
            </w:r>
            <w:r w:rsidRPr="008213E6">
              <w:rPr>
                <w:rFonts w:hint="cs"/>
                <w:b w:val="0"/>
                <w:bCs w:val="0"/>
                <w:rtl/>
              </w:rPr>
              <w:t xml:space="preserve"> (להלן </w:t>
            </w:r>
            <w:r w:rsidRPr="008213E6">
              <w:rPr>
                <w:b w:val="0"/>
                <w:bCs w:val="0"/>
                <w:rtl/>
              </w:rPr>
              <w:t>–</w:t>
            </w:r>
            <w:r w:rsidRPr="008213E6">
              <w:rPr>
                <w:rFonts w:hint="cs"/>
                <w:b w:val="0"/>
                <w:bCs w:val="0"/>
                <w:rtl/>
              </w:rPr>
              <w:t xml:space="preserve"> הפקודה)</w:t>
            </w:r>
            <w:r w:rsidR="00E362D0" w:rsidRPr="008213E6">
              <w:rPr>
                <w:rFonts w:hint="cs"/>
                <w:b w:val="0"/>
                <w:bCs w:val="0"/>
                <w:rtl/>
              </w:rPr>
              <w:t xml:space="preserve"> ולאחר קבלת המלצת הצוות לעניין סעיפים 2(א)(1)(ג)</w:t>
            </w:r>
            <w:r w:rsidR="00D05E9D" w:rsidRPr="008213E6">
              <w:rPr>
                <w:rFonts w:hint="cs"/>
                <w:b w:val="0"/>
                <w:bCs w:val="0"/>
                <w:rtl/>
              </w:rPr>
              <w:t xml:space="preserve">, </w:t>
            </w:r>
            <w:r w:rsidR="00E362D0" w:rsidRPr="008213E6">
              <w:rPr>
                <w:rFonts w:hint="cs"/>
                <w:b w:val="0"/>
                <w:bCs w:val="0"/>
                <w:rtl/>
              </w:rPr>
              <w:t>ו-2(א)(</w:t>
            </w:r>
            <w:r w:rsidR="00592E58" w:rsidRPr="008213E6">
              <w:rPr>
                <w:rFonts w:hint="cs"/>
                <w:b w:val="0"/>
                <w:bCs w:val="0"/>
                <w:rtl/>
              </w:rPr>
              <w:t>2</w:t>
            </w:r>
            <w:r w:rsidR="00E362D0" w:rsidRPr="008213E6">
              <w:rPr>
                <w:rFonts w:hint="cs"/>
                <w:b w:val="0"/>
                <w:bCs w:val="0"/>
                <w:rtl/>
              </w:rPr>
              <w:t>)</w:t>
            </w:r>
            <w:r w:rsidRPr="008213E6">
              <w:rPr>
                <w:rFonts w:hint="cs"/>
                <w:b w:val="0"/>
                <w:bCs w:val="0"/>
                <w:rtl/>
              </w:rPr>
              <w:t xml:space="preserve"> אני מצווה לאמור: </w:t>
            </w:r>
          </w:p>
        </w:tc>
      </w:tr>
      <w:tr w:rsidR="00D0269D" w:rsidRPr="008213E6" w:rsidTr="009843C9">
        <w:trPr>
          <w:cantSplit/>
        </w:trPr>
        <w:tc>
          <w:tcPr>
            <w:tcW w:w="1870" w:type="dxa"/>
          </w:tcPr>
          <w:p w:rsidR="002C2084" w:rsidRPr="008213E6" w:rsidRDefault="00571CAF" w:rsidP="008213E6">
            <w:pPr>
              <w:pStyle w:val="TableSideHeading"/>
              <w:keepLines w:val="0"/>
            </w:pPr>
            <w:r w:rsidRPr="008213E6">
              <w:rPr>
                <w:rFonts w:hint="cs"/>
                <w:rtl/>
              </w:rPr>
              <w:t>קבוצות יבוא והתנאים לקבלת אישור עמידה בדרישות הממונה לכל קבוצת יבוא</w:t>
            </w:r>
          </w:p>
        </w:tc>
        <w:tc>
          <w:tcPr>
            <w:tcW w:w="624" w:type="dxa"/>
          </w:tcPr>
          <w:p w:rsidR="002C2084" w:rsidRPr="008213E6" w:rsidRDefault="002C2084" w:rsidP="002C2084">
            <w:pPr>
              <w:pStyle w:val="TableText"/>
              <w:keepLines w:val="0"/>
              <w:numPr>
                <w:ilvl w:val="0"/>
                <w:numId w:val="4"/>
              </w:numPr>
              <w:autoSpaceDE w:val="0"/>
              <w:autoSpaceDN w:val="0"/>
              <w:adjustRightInd w:val="0"/>
              <w:ind w:right="57"/>
              <w:contextualSpacing w:val="0"/>
              <w:textAlignment w:val="center"/>
            </w:pPr>
          </w:p>
        </w:tc>
        <w:tc>
          <w:tcPr>
            <w:tcW w:w="7144" w:type="dxa"/>
            <w:gridSpan w:val="3"/>
          </w:tcPr>
          <w:p w:rsidR="002C2084" w:rsidRPr="008213E6" w:rsidRDefault="00571CAF" w:rsidP="00307DE7">
            <w:pPr>
              <w:pStyle w:val="TableBlock"/>
            </w:pPr>
            <w:r w:rsidRPr="008213E6">
              <w:rPr>
                <w:rtl/>
              </w:rPr>
              <w:t xml:space="preserve">טובין </w:t>
            </w:r>
            <w:r w:rsidR="00307DE7" w:rsidRPr="008213E6">
              <w:rPr>
                <w:rFonts w:hint="cs"/>
                <w:rtl/>
              </w:rPr>
              <w:t xml:space="preserve">שחל עליהם </w:t>
            </w:r>
            <w:r w:rsidRPr="008213E6">
              <w:rPr>
                <w:rtl/>
              </w:rPr>
              <w:t>תקן רשמי</w:t>
            </w:r>
            <w:r w:rsidRPr="008213E6">
              <w:rPr>
                <w:rFonts w:hint="cs"/>
                <w:rtl/>
              </w:rPr>
              <w:t>, בהתאם להוראות חוק התקנים, התשי"ג</w:t>
            </w:r>
            <w:r w:rsidRPr="008213E6">
              <w:rPr>
                <w:rFonts w:hint="eastAsia"/>
                <w:rtl/>
              </w:rPr>
              <w:t>–1953</w:t>
            </w:r>
            <w:r w:rsidRPr="008213E6">
              <w:rPr>
                <w:rStyle w:val="a7"/>
                <w:rtl/>
              </w:rPr>
              <w:footnoteReference w:id="2"/>
            </w:r>
            <w:r w:rsidRPr="008213E6">
              <w:rPr>
                <w:rFonts w:hint="cs"/>
                <w:rtl/>
              </w:rPr>
              <w:t xml:space="preserve"> (להלן </w:t>
            </w:r>
            <w:r w:rsidRPr="008213E6">
              <w:rPr>
                <w:rtl/>
              </w:rPr>
              <w:t>–</w:t>
            </w:r>
            <w:r w:rsidRPr="008213E6">
              <w:rPr>
                <w:rFonts w:hint="cs"/>
                <w:rtl/>
              </w:rPr>
              <w:t xml:space="preserve"> חוק התקנים),</w:t>
            </w:r>
            <w:r w:rsidRPr="008213E6">
              <w:rPr>
                <w:rtl/>
              </w:rPr>
              <w:t xml:space="preserve"> </w:t>
            </w:r>
            <w:r w:rsidR="00D5425D" w:rsidRPr="008213E6">
              <w:rPr>
                <w:rFonts w:hint="cs"/>
                <w:rtl/>
              </w:rPr>
              <w:t xml:space="preserve">ידרשו לעמוד בתנאים המפורטים בצו זה לשם קבלת אישור עמידה בדרישות הממונה, </w:t>
            </w:r>
            <w:r w:rsidRPr="008213E6">
              <w:rPr>
                <w:rFonts w:hint="cs"/>
                <w:rtl/>
              </w:rPr>
              <w:t>בהתאם ל</w:t>
            </w:r>
            <w:r w:rsidR="00B12EE5" w:rsidRPr="008213E6">
              <w:rPr>
                <w:rFonts w:hint="cs"/>
                <w:rtl/>
              </w:rPr>
              <w:t>קבוצה שאליה מ</w:t>
            </w:r>
            <w:r w:rsidRPr="008213E6">
              <w:rPr>
                <w:rFonts w:hint="cs"/>
                <w:rtl/>
              </w:rPr>
              <w:t>שו</w:t>
            </w:r>
            <w:r w:rsidR="00B12EE5" w:rsidRPr="008213E6">
              <w:rPr>
                <w:rFonts w:hint="cs"/>
                <w:rtl/>
              </w:rPr>
              <w:t>י</w:t>
            </w:r>
            <w:r w:rsidRPr="008213E6">
              <w:rPr>
                <w:rFonts w:hint="cs"/>
                <w:rtl/>
              </w:rPr>
              <w:t xml:space="preserve">ך התקן </w:t>
            </w:r>
            <w:r w:rsidR="00D5425D" w:rsidRPr="008213E6">
              <w:rPr>
                <w:rFonts w:hint="cs"/>
                <w:rtl/>
              </w:rPr>
              <w:t>הרשמי החל עליהם</w:t>
            </w:r>
            <w:r w:rsidRPr="008213E6">
              <w:rPr>
                <w:rFonts w:hint="cs"/>
                <w:rtl/>
              </w:rPr>
              <w:t xml:space="preserve"> (בצו זה </w:t>
            </w:r>
            <w:r w:rsidRPr="008213E6">
              <w:rPr>
                <w:rtl/>
              </w:rPr>
              <w:t>–</w:t>
            </w:r>
            <w:r w:rsidRPr="008213E6">
              <w:rPr>
                <w:rFonts w:hint="cs"/>
                <w:rtl/>
              </w:rPr>
              <w:t xml:space="preserve"> קבוצות יבוא), כמפורט להלן</w:t>
            </w:r>
            <w:r w:rsidRPr="008213E6">
              <w:rPr>
                <w:rtl/>
              </w:rPr>
              <w:t>:</w:t>
            </w:r>
          </w:p>
        </w:tc>
      </w:tr>
      <w:tr w:rsidR="00D0269D" w:rsidRPr="008213E6" w:rsidTr="009843C9">
        <w:trPr>
          <w:cantSplit/>
        </w:trPr>
        <w:tc>
          <w:tcPr>
            <w:tcW w:w="1870" w:type="dxa"/>
          </w:tcPr>
          <w:p w:rsidR="002C2084" w:rsidRPr="008213E6" w:rsidRDefault="002C2084" w:rsidP="009843C9">
            <w:pPr>
              <w:pStyle w:val="TableSideHeading"/>
              <w:keepLines w:val="0"/>
              <w:rPr>
                <w:rtl/>
              </w:rPr>
            </w:pPr>
          </w:p>
        </w:tc>
        <w:tc>
          <w:tcPr>
            <w:tcW w:w="624" w:type="dxa"/>
          </w:tcPr>
          <w:p w:rsidR="002C2084" w:rsidRPr="008213E6" w:rsidRDefault="002C2084" w:rsidP="009843C9">
            <w:pPr>
              <w:pStyle w:val="TableText"/>
            </w:pPr>
          </w:p>
        </w:tc>
        <w:tc>
          <w:tcPr>
            <w:tcW w:w="7144" w:type="dxa"/>
            <w:gridSpan w:val="3"/>
          </w:tcPr>
          <w:p w:rsidR="002C2084" w:rsidRPr="008213E6" w:rsidRDefault="00571CAF" w:rsidP="002C2084">
            <w:pPr>
              <w:pStyle w:val="TableBlock"/>
              <w:numPr>
                <w:ilvl w:val="0"/>
                <w:numId w:val="22"/>
              </w:numPr>
              <w:tabs>
                <w:tab w:val="left" w:pos="624"/>
              </w:tabs>
              <w:autoSpaceDE w:val="0"/>
              <w:autoSpaceDN w:val="0"/>
              <w:adjustRightInd w:val="0"/>
              <w:contextualSpacing w:val="0"/>
              <w:textAlignment w:val="center"/>
              <w:rPr>
                <w:rtl/>
              </w:rPr>
            </w:pPr>
            <w:r w:rsidRPr="008213E6">
              <w:rPr>
                <w:rtl/>
              </w:rPr>
              <w:t>קבוצת יבוא מספר 1 –</w:t>
            </w:r>
            <w:r w:rsidR="00B12EE5" w:rsidRPr="008213E6">
              <w:rPr>
                <w:rFonts w:hint="cs"/>
                <w:rtl/>
              </w:rPr>
              <w:t xml:space="preserve"> </w:t>
            </w:r>
            <w:r w:rsidRPr="008213E6">
              <w:rPr>
                <w:rtl/>
              </w:rPr>
              <w:t>קבלת אישור דגם ואישור משלוח;</w:t>
            </w:r>
          </w:p>
        </w:tc>
      </w:tr>
      <w:tr w:rsidR="00D0269D" w:rsidRPr="008213E6" w:rsidTr="009843C9">
        <w:trPr>
          <w:cantSplit/>
        </w:trPr>
        <w:tc>
          <w:tcPr>
            <w:tcW w:w="1870" w:type="dxa"/>
          </w:tcPr>
          <w:p w:rsidR="002C2084" w:rsidRPr="008213E6" w:rsidRDefault="002C2084" w:rsidP="009843C9">
            <w:pPr>
              <w:pStyle w:val="TableSideHeading"/>
              <w:keepLines w:val="0"/>
              <w:rPr>
                <w:rtl/>
              </w:rPr>
            </w:pPr>
          </w:p>
        </w:tc>
        <w:tc>
          <w:tcPr>
            <w:tcW w:w="624" w:type="dxa"/>
          </w:tcPr>
          <w:p w:rsidR="002C2084" w:rsidRPr="008213E6" w:rsidRDefault="002C2084" w:rsidP="009843C9">
            <w:pPr>
              <w:pStyle w:val="TableText"/>
            </w:pPr>
          </w:p>
        </w:tc>
        <w:tc>
          <w:tcPr>
            <w:tcW w:w="7144" w:type="dxa"/>
            <w:gridSpan w:val="3"/>
          </w:tcPr>
          <w:p w:rsidR="002C2084" w:rsidRPr="008213E6" w:rsidRDefault="00571CAF" w:rsidP="00AA346C">
            <w:pPr>
              <w:pStyle w:val="TableBlock"/>
              <w:numPr>
                <w:ilvl w:val="0"/>
                <w:numId w:val="22"/>
              </w:numPr>
              <w:autoSpaceDE w:val="0"/>
              <w:autoSpaceDN w:val="0"/>
              <w:adjustRightInd w:val="0"/>
              <w:contextualSpacing w:val="0"/>
              <w:textAlignment w:val="center"/>
              <w:rPr>
                <w:rtl/>
              </w:rPr>
            </w:pPr>
            <w:r w:rsidRPr="008213E6">
              <w:rPr>
                <w:rFonts w:hint="cs"/>
                <w:rtl/>
              </w:rPr>
              <w:t xml:space="preserve">קבוצת </w:t>
            </w:r>
            <w:r w:rsidRPr="008213E6">
              <w:rPr>
                <w:rtl/>
              </w:rPr>
              <w:t xml:space="preserve">יבוא מספר 2 – </w:t>
            </w:r>
            <w:r w:rsidR="00D5425D" w:rsidRPr="008213E6">
              <w:rPr>
                <w:rFonts w:hint="cs"/>
                <w:rtl/>
              </w:rPr>
              <w:t>עמידה בשני התנאים המצטברים</w:t>
            </w:r>
            <w:r w:rsidR="00AA346C">
              <w:rPr>
                <w:rFonts w:hint="cs"/>
                <w:rtl/>
              </w:rPr>
              <w:t xml:space="preserve"> כמפורט להלן</w:t>
            </w:r>
            <w:r w:rsidRPr="008213E6">
              <w:rPr>
                <w:rtl/>
              </w:rPr>
              <w:t>:</w:t>
            </w:r>
          </w:p>
        </w:tc>
      </w:tr>
      <w:tr w:rsidR="00D0269D" w:rsidRPr="008213E6" w:rsidTr="009843C9">
        <w:trPr>
          <w:cantSplit/>
          <w:trHeight w:val="60"/>
        </w:trPr>
        <w:tc>
          <w:tcPr>
            <w:tcW w:w="1870" w:type="dxa"/>
          </w:tcPr>
          <w:p w:rsidR="002C2084" w:rsidRPr="008213E6" w:rsidRDefault="002C2084" w:rsidP="009843C9">
            <w:pPr>
              <w:pStyle w:val="TableSideHeading"/>
            </w:pPr>
          </w:p>
        </w:tc>
        <w:tc>
          <w:tcPr>
            <w:tcW w:w="624" w:type="dxa"/>
          </w:tcPr>
          <w:p w:rsidR="002C2084" w:rsidRPr="008213E6" w:rsidRDefault="002C2084" w:rsidP="00AF1A75">
            <w:pPr>
              <w:pStyle w:val="TableText"/>
            </w:pPr>
          </w:p>
        </w:tc>
        <w:tc>
          <w:tcPr>
            <w:tcW w:w="624" w:type="dxa"/>
          </w:tcPr>
          <w:p w:rsidR="002C2084" w:rsidRPr="008213E6" w:rsidRDefault="002C2084" w:rsidP="009843C9">
            <w:pPr>
              <w:pStyle w:val="TableText"/>
            </w:pPr>
          </w:p>
        </w:tc>
        <w:tc>
          <w:tcPr>
            <w:tcW w:w="6520" w:type="dxa"/>
            <w:gridSpan w:val="2"/>
          </w:tcPr>
          <w:p w:rsidR="002C2084" w:rsidRPr="008213E6" w:rsidRDefault="00571CAF" w:rsidP="002C2084">
            <w:pPr>
              <w:pStyle w:val="TableBlock"/>
              <w:numPr>
                <w:ilvl w:val="0"/>
                <w:numId w:val="23"/>
              </w:numPr>
              <w:tabs>
                <w:tab w:val="left" w:pos="624"/>
              </w:tabs>
              <w:autoSpaceDE w:val="0"/>
              <w:autoSpaceDN w:val="0"/>
              <w:adjustRightInd w:val="0"/>
              <w:contextualSpacing w:val="0"/>
              <w:textAlignment w:val="center"/>
            </w:pPr>
            <w:r w:rsidRPr="008213E6">
              <w:rPr>
                <w:rFonts w:hint="cs"/>
                <w:rtl/>
              </w:rPr>
              <w:t>קבלת אישור דגם;</w:t>
            </w:r>
          </w:p>
        </w:tc>
      </w:tr>
      <w:tr w:rsidR="00D0269D" w:rsidRPr="008213E6" w:rsidTr="009843C9">
        <w:trPr>
          <w:cantSplit/>
          <w:trHeight w:val="60"/>
        </w:trPr>
        <w:tc>
          <w:tcPr>
            <w:tcW w:w="1870" w:type="dxa"/>
          </w:tcPr>
          <w:p w:rsidR="002C2084" w:rsidRPr="008213E6" w:rsidRDefault="002C2084" w:rsidP="009843C9">
            <w:pPr>
              <w:pStyle w:val="TableSideHeading"/>
            </w:pPr>
          </w:p>
        </w:tc>
        <w:tc>
          <w:tcPr>
            <w:tcW w:w="624" w:type="dxa"/>
          </w:tcPr>
          <w:p w:rsidR="002C2084" w:rsidRPr="008213E6" w:rsidRDefault="002C2084" w:rsidP="00AF1A75">
            <w:pPr>
              <w:pStyle w:val="TableText"/>
            </w:pPr>
          </w:p>
        </w:tc>
        <w:tc>
          <w:tcPr>
            <w:tcW w:w="624" w:type="dxa"/>
          </w:tcPr>
          <w:p w:rsidR="002C2084" w:rsidRPr="008213E6" w:rsidRDefault="002C2084" w:rsidP="009843C9">
            <w:pPr>
              <w:pStyle w:val="TableText"/>
            </w:pPr>
          </w:p>
        </w:tc>
        <w:tc>
          <w:tcPr>
            <w:tcW w:w="6520" w:type="dxa"/>
            <w:gridSpan w:val="2"/>
          </w:tcPr>
          <w:p w:rsidR="002C2084" w:rsidRPr="008213E6" w:rsidRDefault="00571CAF" w:rsidP="002C2084">
            <w:pPr>
              <w:pStyle w:val="TableBlock"/>
              <w:numPr>
                <w:ilvl w:val="0"/>
                <w:numId w:val="23"/>
              </w:numPr>
              <w:autoSpaceDE w:val="0"/>
              <w:autoSpaceDN w:val="0"/>
              <w:adjustRightInd w:val="0"/>
              <w:contextualSpacing w:val="0"/>
              <w:textAlignment w:val="center"/>
            </w:pPr>
            <w:r w:rsidRPr="008213E6">
              <w:rPr>
                <w:rFonts w:hint="cs"/>
                <w:rtl/>
              </w:rPr>
              <w:t xml:space="preserve">היבואן </w:t>
            </w:r>
            <w:r w:rsidRPr="008213E6">
              <w:rPr>
                <w:rtl/>
              </w:rPr>
              <w:t>הגיש לממונה על התקינה הצהרה בדבר התאמת הטובין שבמשלוח לדרישות התקן הרשמי שחל עליהם וכן הצהרה כי הטובין שבמשלוח תואמים את הדגם שנבדק וקיבל אישור דגם כאמור בפסקת משנה (א), הכל לפי הוראות הפקודה והוראות הממונה על התקינה שנקבעו לפיה;</w:t>
            </w:r>
          </w:p>
        </w:tc>
      </w:tr>
      <w:tr w:rsidR="00D0269D" w:rsidRPr="008213E6" w:rsidTr="009843C9">
        <w:trPr>
          <w:cantSplit/>
          <w:trHeight w:val="60"/>
        </w:trPr>
        <w:tc>
          <w:tcPr>
            <w:tcW w:w="1870" w:type="dxa"/>
          </w:tcPr>
          <w:p w:rsidR="002C2084" w:rsidRPr="008213E6" w:rsidRDefault="002C2084" w:rsidP="009843C9">
            <w:pPr>
              <w:pStyle w:val="TableSideHeading"/>
            </w:pPr>
          </w:p>
        </w:tc>
        <w:tc>
          <w:tcPr>
            <w:tcW w:w="624" w:type="dxa"/>
          </w:tcPr>
          <w:p w:rsidR="002C2084" w:rsidRPr="008213E6" w:rsidRDefault="002C2084" w:rsidP="00F85ABC">
            <w:pPr>
              <w:pStyle w:val="TableText"/>
            </w:pPr>
          </w:p>
        </w:tc>
        <w:tc>
          <w:tcPr>
            <w:tcW w:w="7144" w:type="dxa"/>
            <w:gridSpan w:val="3"/>
          </w:tcPr>
          <w:p w:rsidR="002C2084" w:rsidRPr="008213E6" w:rsidRDefault="00571CAF" w:rsidP="002C2084">
            <w:pPr>
              <w:pStyle w:val="TableBlock"/>
              <w:numPr>
                <w:ilvl w:val="0"/>
                <w:numId w:val="22"/>
              </w:numPr>
              <w:autoSpaceDE w:val="0"/>
              <w:autoSpaceDN w:val="0"/>
              <w:adjustRightInd w:val="0"/>
              <w:contextualSpacing w:val="0"/>
              <w:textAlignment w:val="center"/>
            </w:pPr>
            <w:r w:rsidRPr="008213E6">
              <w:rPr>
                <w:rFonts w:hint="cs"/>
                <w:rtl/>
              </w:rPr>
              <w:t xml:space="preserve">קבוצת </w:t>
            </w:r>
            <w:r w:rsidRPr="008213E6">
              <w:rPr>
                <w:rtl/>
              </w:rPr>
              <w:t>יבוא מספר 3 –</w:t>
            </w:r>
            <w:r w:rsidR="008A4D2F" w:rsidRPr="008213E6">
              <w:rPr>
                <w:rFonts w:hint="cs"/>
                <w:rtl/>
              </w:rPr>
              <w:t xml:space="preserve"> </w:t>
            </w:r>
            <w:r w:rsidRPr="008213E6">
              <w:rPr>
                <w:rtl/>
              </w:rPr>
              <w:t>הגשת הצהרה בדבר התאמת הטובין שבמשלוח לדרישת התקן הרשמי שחל עליהם;</w:t>
            </w:r>
          </w:p>
        </w:tc>
      </w:tr>
      <w:tr w:rsidR="00D0269D" w:rsidRPr="008213E6" w:rsidTr="009843C9">
        <w:trPr>
          <w:cantSplit/>
          <w:trHeight w:val="60"/>
        </w:trPr>
        <w:tc>
          <w:tcPr>
            <w:tcW w:w="1870" w:type="dxa"/>
          </w:tcPr>
          <w:p w:rsidR="002C2084" w:rsidRPr="008213E6" w:rsidRDefault="002C2084" w:rsidP="009843C9">
            <w:pPr>
              <w:pStyle w:val="TableSideHeading"/>
            </w:pPr>
          </w:p>
        </w:tc>
        <w:tc>
          <w:tcPr>
            <w:tcW w:w="624" w:type="dxa"/>
          </w:tcPr>
          <w:p w:rsidR="002C2084" w:rsidRPr="008213E6" w:rsidRDefault="002C2084" w:rsidP="00F85ABC">
            <w:pPr>
              <w:pStyle w:val="TableText"/>
            </w:pPr>
          </w:p>
        </w:tc>
        <w:tc>
          <w:tcPr>
            <w:tcW w:w="7144" w:type="dxa"/>
            <w:gridSpan w:val="3"/>
          </w:tcPr>
          <w:p w:rsidR="002C2084" w:rsidRPr="008213E6" w:rsidRDefault="00571CAF" w:rsidP="00307DE7">
            <w:pPr>
              <w:pStyle w:val="TableBlock"/>
              <w:numPr>
                <w:ilvl w:val="0"/>
                <w:numId w:val="22"/>
              </w:numPr>
              <w:autoSpaceDE w:val="0"/>
              <w:autoSpaceDN w:val="0"/>
              <w:adjustRightInd w:val="0"/>
              <w:contextualSpacing w:val="0"/>
              <w:textAlignment w:val="center"/>
            </w:pPr>
            <w:r w:rsidRPr="008213E6">
              <w:rPr>
                <w:rFonts w:hint="cs"/>
                <w:rtl/>
              </w:rPr>
              <w:t xml:space="preserve">קבוצת </w:t>
            </w:r>
            <w:r w:rsidRPr="008213E6">
              <w:rPr>
                <w:rtl/>
              </w:rPr>
              <w:t xml:space="preserve">יבוא מספר 4 </w:t>
            </w:r>
            <w:r w:rsidR="00307DE7" w:rsidRPr="008213E6">
              <w:rPr>
                <w:rFonts w:hint="cs"/>
                <w:rtl/>
              </w:rPr>
              <w:t>–</w:t>
            </w:r>
            <w:r w:rsidR="00307DE7" w:rsidRPr="008213E6">
              <w:rPr>
                <w:rtl/>
              </w:rPr>
              <w:t xml:space="preserve"> </w:t>
            </w:r>
            <w:r w:rsidRPr="008213E6">
              <w:rPr>
                <w:rtl/>
              </w:rPr>
              <w:t xml:space="preserve">טובין המיועדים במהותם לשימוש בתעשייה בלבד, שהשחרור שלהם לא יהיה מותנה בקבלת אישור ת"ר כהגדרתו בתוספת השנייה לצו יבוא חופשי, </w:t>
            </w:r>
            <w:proofErr w:type="spellStart"/>
            <w:r w:rsidRPr="008213E6">
              <w:rPr>
                <w:rtl/>
              </w:rPr>
              <w:t>התשע"ד</w:t>
            </w:r>
            <w:proofErr w:type="spellEnd"/>
            <w:r w:rsidRPr="008213E6">
              <w:rPr>
                <w:rtl/>
              </w:rPr>
              <w:t>–2014</w:t>
            </w:r>
            <w:r w:rsidR="00AA346C">
              <w:rPr>
                <w:rStyle w:val="a7"/>
                <w:rtl/>
              </w:rPr>
              <w:footnoteReference w:id="3"/>
            </w:r>
            <w:r w:rsidRPr="008213E6">
              <w:rPr>
                <w:rtl/>
              </w:rPr>
              <w:t xml:space="preserve"> (להלן – צו יבוא חופשי) ויינתן לגביהם היתר מראש לפי סעיף2(ג)(2) לצו יבוא חופשי.</w:t>
            </w:r>
          </w:p>
        </w:tc>
      </w:tr>
      <w:tr w:rsidR="00D0269D" w:rsidRPr="008213E6" w:rsidTr="009843C9">
        <w:trPr>
          <w:cantSplit/>
        </w:trPr>
        <w:tc>
          <w:tcPr>
            <w:tcW w:w="1870" w:type="dxa"/>
          </w:tcPr>
          <w:p w:rsidR="002C2084" w:rsidRPr="008213E6" w:rsidRDefault="00571CAF" w:rsidP="009843C9">
            <w:pPr>
              <w:pStyle w:val="TableSideHeading"/>
              <w:keepLines w:val="0"/>
            </w:pPr>
            <w:r w:rsidRPr="008213E6">
              <w:rPr>
                <w:rFonts w:hint="cs"/>
                <w:rtl/>
              </w:rPr>
              <w:t>שיוך תקנים רשמיים לקבוצות יבוא ופרסומם</w:t>
            </w:r>
          </w:p>
        </w:tc>
        <w:tc>
          <w:tcPr>
            <w:tcW w:w="624" w:type="dxa"/>
          </w:tcPr>
          <w:p w:rsidR="002C2084" w:rsidRPr="008213E6" w:rsidRDefault="002C2084" w:rsidP="002C2084">
            <w:pPr>
              <w:pStyle w:val="TableText"/>
              <w:keepLines w:val="0"/>
              <w:numPr>
                <w:ilvl w:val="0"/>
                <w:numId w:val="4"/>
              </w:numPr>
              <w:autoSpaceDE w:val="0"/>
              <w:autoSpaceDN w:val="0"/>
              <w:adjustRightInd w:val="0"/>
              <w:ind w:right="57"/>
              <w:contextualSpacing w:val="0"/>
              <w:textAlignment w:val="center"/>
            </w:pPr>
          </w:p>
        </w:tc>
        <w:tc>
          <w:tcPr>
            <w:tcW w:w="7144" w:type="dxa"/>
            <w:gridSpan w:val="3"/>
          </w:tcPr>
          <w:p w:rsidR="002C2084" w:rsidRPr="008213E6" w:rsidRDefault="00571CAF" w:rsidP="002C2084">
            <w:pPr>
              <w:pStyle w:val="TableSideHeading"/>
              <w:numPr>
                <w:ilvl w:val="0"/>
                <w:numId w:val="20"/>
              </w:numPr>
              <w:tabs>
                <w:tab w:val="left" w:pos="624"/>
              </w:tabs>
              <w:autoSpaceDE w:val="0"/>
              <w:autoSpaceDN w:val="0"/>
              <w:adjustRightInd w:val="0"/>
              <w:contextualSpacing w:val="0"/>
              <w:textAlignment w:val="center"/>
              <w:outlineLvl w:val="9"/>
            </w:pPr>
            <w:r w:rsidRPr="008213E6">
              <w:rPr>
                <w:rFonts w:hint="cs"/>
                <w:rtl/>
              </w:rPr>
              <w:t xml:space="preserve">התקנים ישויכו לקבוצות יבוא, לפי הוראות אלה:  </w:t>
            </w:r>
          </w:p>
        </w:tc>
      </w:tr>
      <w:tr w:rsidR="00D0269D" w:rsidRPr="008213E6" w:rsidTr="00EE2500">
        <w:trPr>
          <w:cantSplit/>
          <w:trHeight w:val="60"/>
        </w:trPr>
        <w:tc>
          <w:tcPr>
            <w:tcW w:w="1870" w:type="dxa"/>
          </w:tcPr>
          <w:p w:rsidR="00EE2500" w:rsidRPr="008213E6" w:rsidRDefault="00EE2500">
            <w:pPr>
              <w:pStyle w:val="TableSideHeading"/>
            </w:pPr>
          </w:p>
        </w:tc>
        <w:tc>
          <w:tcPr>
            <w:tcW w:w="624" w:type="dxa"/>
          </w:tcPr>
          <w:p w:rsidR="00EE2500" w:rsidRPr="008213E6" w:rsidRDefault="00EE2500">
            <w:pPr>
              <w:pStyle w:val="TableText"/>
            </w:pPr>
          </w:p>
        </w:tc>
        <w:tc>
          <w:tcPr>
            <w:tcW w:w="624" w:type="dxa"/>
          </w:tcPr>
          <w:p w:rsidR="00EE2500" w:rsidRPr="008213E6" w:rsidRDefault="00EE2500">
            <w:pPr>
              <w:pStyle w:val="TableText"/>
            </w:pPr>
          </w:p>
        </w:tc>
        <w:tc>
          <w:tcPr>
            <w:tcW w:w="6520" w:type="dxa"/>
            <w:gridSpan w:val="2"/>
          </w:tcPr>
          <w:p w:rsidR="00EE2500" w:rsidRPr="008213E6" w:rsidRDefault="00571CAF" w:rsidP="00592E58">
            <w:pPr>
              <w:pStyle w:val="TableBlock"/>
              <w:numPr>
                <w:ilvl w:val="0"/>
                <w:numId w:val="26"/>
              </w:numPr>
              <w:tabs>
                <w:tab w:val="left" w:pos="624"/>
              </w:tabs>
            </w:pPr>
            <w:r w:rsidRPr="008213E6">
              <w:rPr>
                <w:rFonts w:hint="cs"/>
                <w:rtl/>
              </w:rPr>
              <w:t>תקן רשמי ישויך לקבוצ</w:t>
            </w:r>
            <w:r w:rsidR="00765140" w:rsidRPr="008213E6">
              <w:rPr>
                <w:rFonts w:hint="cs"/>
                <w:rtl/>
              </w:rPr>
              <w:t>ת יבוא</w:t>
            </w:r>
            <w:r w:rsidRPr="008213E6">
              <w:rPr>
                <w:rFonts w:hint="cs"/>
                <w:rtl/>
              </w:rPr>
              <w:t xml:space="preserve"> מספר 1 </w:t>
            </w:r>
            <w:r w:rsidR="00592E58" w:rsidRPr="008213E6">
              <w:rPr>
                <w:rFonts w:hint="cs"/>
                <w:rtl/>
              </w:rPr>
              <w:t>אם הוא מנוי בתוספת הראשונה וה</w:t>
            </w:r>
            <w:r w:rsidR="00E46F11" w:rsidRPr="008213E6">
              <w:rPr>
                <w:rFonts w:hint="cs"/>
                <w:rtl/>
              </w:rPr>
              <w:t>תקיים לגביו</w:t>
            </w:r>
            <w:r w:rsidR="00592E58" w:rsidRPr="008213E6">
              <w:rPr>
                <w:rFonts w:hint="cs"/>
                <w:rtl/>
              </w:rPr>
              <w:t xml:space="preserve"> אחד מאלה</w:t>
            </w:r>
            <w:r w:rsidR="00515A99" w:rsidRPr="008213E6">
              <w:rPr>
                <w:rFonts w:hint="cs"/>
                <w:rtl/>
              </w:rPr>
              <w:t>:</w:t>
            </w:r>
            <w:r w:rsidR="00592E58" w:rsidRPr="008213E6">
              <w:rPr>
                <w:rFonts w:hint="cs"/>
                <w:rtl/>
              </w:rPr>
              <w:t xml:space="preserve"> </w:t>
            </w:r>
          </w:p>
        </w:tc>
      </w:tr>
      <w:tr w:rsidR="00D0269D" w:rsidRPr="008213E6" w:rsidTr="00635F0E">
        <w:trPr>
          <w:cantSplit/>
          <w:trHeight w:val="60"/>
        </w:trPr>
        <w:tc>
          <w:tcPr>
            <w:tcW w:w="1870" w:type="dxa"/>
          </w:tcPr>
          <w:p w:rsidR="00592E58" w:rsidRPr="008213E6" w:rsidRDefault="00592E58">
            <w:pPr>
              <w:pStyle w:val="TableSideHeading"/>
            </w:pPr>
          </w:p>
        </w:tc>
        <w:tc>
          <w:tcPr>
            <w:tcW w:w="624" w:type="dxa"/>
          </w:tcPr>
          <w:p w:rsidR="00592E58" w:rsidRPr="008213E6" w:rsidRDefault="00592E58">
            <w:pPr>
              <w:pStyle w:val="TableText"/>
            </w:pPr>
          </w:p>
        </w:tc>
        <w:tc>
          <w:tcPr>
            <w:tcW w:w="624" w:type="dxa"/>
          </w:tcPr>
          <w:p w:rsidR="00592E58" w:rsidRPr="008213E6" w:rsidRDefault="00592E58">
            <w:pPr>
              <w:pStyle w:val="TableText"/>
            </w:pPr>
          </w:p>
        </w:tc>
        <w:tc>
          <w:tcPr>
            <w:tcW w:w="624" w:type="dxa"/>
          </w:tcPr>
          <w:p w:rsidR="00592E58" w:rsidRPr="008213E6" w:rsidRDefault="00592E58">
            <w:pPr>
              <w:pStyle w:val="TableText"/>
            </w:pPr>
          </w:p>
        </w:tc>
        <w:tc>
          <w:tcPr>
            <w:tcW w:w="5896" w:type="dxa"/>
          </w:tcPr>
          <w:p w:rsidR="00592E58" w:rsidRPr="008213E6" w:rsidRDefault="00571CAF" w:rsidP="00592E58">
            <w:pPr>
              <w:pStyle w:val="TableBlock"/>
              <w:numPr>
                <w:ilvl w:val="0"/>
                <w:numId w:val="29"/>
              </w:numPr>
              <w:tabs>
                <w:tab w:val="left" w:pos="624"/>
              </w:tabs>
            </w:pPr>
            <w:r w:rsidRPr="008213E6">
              <w:rPr>
                <w:rFonts w:hint="cs"/>
                <w:rtl/>
              </w:rPr>
              <w:t xml:space="preserve">הטובין </w:t>
            </w:r>
            <w:r w:rsidR="00E46F11" w:rsidRPr="008213E6">
              <w:rPr>
                <w:rFonts w:hint="cs"/>
                <w:rtl/>
              </w:rPr>
              <w:t>ש</w:t>
            </w:r>
            <w:r w:rsidRPr="008213E6">
              <w:rPr>
                <w:rFonts w:hint="cs"/>
                <w:rtl/>
              </w:rPr>
              <w:t>עליהם חל התקן מנויים בסעיף</w:t>
            </w:r>
            <w:r w:rsidRPr="008213E6">
              <w:rPr>
                <w:rtl/>
              </w:rPr>
              <w:t xml:space="preserve"> 2א(ד)(1) לפקודה;</w:t>
            </w:r>
          </w:p>
        </w:tc>
      </w:tr>
      <w:tr w:rsidR="00D0269D" w:rsidRPr="008213E6" w:rsidTr="00DF50B1">
        <w:trPr>
          <w:cantSplit/>
          <w:trHeight w:val="60"/>
        </w:trPr>
        <w:tc>
          <w:tcPr>
            <w:tcW w:w="1870" w:type="dxa"/>
          </w:tcPr>
          <w:p w:rsidR="00592E58" w:rsidRPr="008213E6" w:rsidRDefault="00592E58">
            <w:pPr>
              <w:pStyle w:val="TableSideHeading"/>
            </w:pPr>
          </w:p>
        </w:tc>
        <w:tc>
          <w:tcPr>
            <w:tcW w:w="624" w:type="dxa"/>
          </w:tcPr>
          <w:p w:rsidR="00592E58" w:rsidRPr="008213E6" w:rsidRDefault="00592E58" w:rsidP="00AE1C7E">
            <w:pPr>
              <w:pStyle w:val="TableText"/>
            </w:pPr>
          </w:p>
        </w:tc>
        <w:tc>
          <w:tcPr>
            <w:tcW w:w="624" w:type="dxa"/>
          </w:tcPr>
          <w:p w:rsidR="00592E58" w:rsidRPr="008213E6" w:rsidRDefault="00592E58">
            <w:pPr>
              <w:pStyle w:val="TableText"/>
            </w:pPr>
          </w:p>
        </w:tc>
        <w:tc>
          <w:tcPr>
            <w:tcW w:w="624" w:type="dxa"/>
          </w:tcPr>
          <w:p w:rsidR="00592E58" w:rsidRPr="008213E6" w:rsidRDefault="00592E58">
            <w:pPr>
              <w:pStyle w:val="TableText"/>
            </w:pPr>
          </w:p>
        </w:tc>
        <w:tc>
          <w:tcPr>
            <w:tcW w:w="5896" w:type="dxa"/>
          </w:tcPr>
          <w:p w:rsidR="00592E58" w:rsidRPr="008213E6" w:rsidRDefault="00571CAF" w:rsidP="00592E58">
            <w:pPr>
              <w:pStyle w:val="TableBlock"/>
              <w:numPr>
                <w:ilvl w:val="0"/>
                <w:numId w:val="29"/>
              </w:numPr>
              <w:tabs>
                <w:tab w:val="left" w:pos="624"/>
              </w:tabs>
              <w:rPr>
                <w:rtl/>
              </w:rPr>
            </w:pPr>
            <w:r w:rsidRPr="008213E6">
              <w:rPr>
                <w:rFonts w:hint="cs"/>
                <w:rtl/>
              </w:rPr>
              <w:t xml:space="preserve">הטובין </w:t>
            </w:r>
            <w:r w:rsidR="00E46F11" w:rsidRPr="008213E6">
              <w:rPr>
                <w:rFonts w:hint="cs"/>
                <w:rtl/>
              </w:rPr>
              <w:t>ש</w:t>
            </w:r>
            <w:r w:rsidRPr="008213E6">
              <w:rPr>
                <w:rFonts w:hint="cs"/>
                <w:rtl/>
              </w:rPr>
              <w:t>עליהם חל התקן</w:t>
            </w:r>
            <w:r w:rsidR="004B40C9" w:rsidRPr="008213E6">
              <w:rPr>
                <w:rFonts w:hint="cs"/>
                <w:rtl/>
              </w:rPr>
              <w:t xml:space="preserve"> </w:t>
            </w:r>
            <w:r w:rsidR="00E46F11" w:rsidRPr="008213E6">
              <w:rPr>
                <w:rFonts w:hint="cs"/>
                <w:rtl/>
              </w:rPr>
              <w:t xml:space="preserve">התקיימו לגביהם </w:t>
            </w:r>
            <w:r w:rsidR="004B40C9" w:rsidRPr="008213E6">
              <w:rPr>
                <w:rFonts w:hint="cs"/>
                <w:rtl/>
              </w:rPr>
              <w:t>ה</w:t>
            </w:r>
            <w:r w:rsidRPr="008213E6">
              <w:rPr>
                <w:rFonts w:hint="cs"/>
                <w:rtl/>
              </w:rPr>
              <w:t>תנאים הקבועים בסעיף 2א(ד)</w:t>
            </w:r>
            <w:r w:rsidR="004B40C9" w:rsidRPr="008213E6">
              <w:rPr>
                <w:rFonts w:hint="cs"/>
                <w:rtl/>
              </w:rPr>
              <w:t>(2)</w:t>
            </w:r>
            <w:r w:rsidRPr="008213E6">
              <w:rPr>
                <w:rFonts w:hint="cs"/>
                <w:rtl/>
              </w:rPr>
              <w:t xml:space="preserve"> לפקודה</w:t>
            </w:r>
            <w:r w:rsidR="00AA2958" w:rsidRPr="008213E6">
              <w:rPr>
                <w:rFonts w:hint="cs"/>
                <w:rtl/>
              </w:rPr>
              <w:t xml:space="preserve"> וזאת לפי המלצת הממונה בהתאם לסעיף האמור</w:t>
            </w:r>
            <w:r w:rsidR="009E55A8" w:rsidRPr="008213E6">
              <w:rPr>
                <w:rFonts w:hint="cs"/>
                <w:rtl/>
              </w:rPr>
              <w:t>; שיוכו של תקן לפי פסקה זו יהיה</w:t>
            </w:r>
            <w:r w:rsidRPr="008213E6">
              <w:rPr>
                <w:rFonts w:hint="cs"/>
                <w:rtl/>
              </w:rPr>
              <w:t xml:space="preserve"> לתקופה הקבועה</w:t>
            </w:r>
            <w:r w:rsidRPr="008213E6">
              <w:rPr>
                <w:rtl/>
              </w:rPr>
              <w:t xml:space="preserve"> </w:t>
            </w:r>
            <w:r w:rsidRPr="008213E6">
              <w:rPr>
                <w:rFonts w:hint="cs"/>
                <w:rtl/>
              </w:rPr>
              <w:t>לצ</w:t>
            </w:r>
            <w:r w:rsidR="009E55A8" w:rsidRPr="008213E6">
              <w:rPr>
                <w:rFonts w:hint="cs"/>
                <w:rtl/>
              </w:rPr>
              <w:t>דו</w:t>
            </w:r>
            <w:r w:rsidRPr="008213E6">
              <w:rPr>
                <w:rFonts w:hint="cs"/>
                <w:rtl/>
              </w:rPr>
              <w:t xml:space="preserve"> בתוספת;</w:t>
            </w:r>
          </w:p>
        </w:tc>
      </w:tr>
      <w:tr w:rsidR="00D0269D" w:rsidRPr="008213E6" w:rsidTr="00952B0E">
        <w:trPr>
          <w:cantSplit/>
          <w:trHeight w:val="60"/>
        </w:trPr>
        <w:tc>
          <w:tcPr>
            <w:tcW w:w="1870" w:type="dxa"/>
          </w:tcPr>
          <w:p w:rsidR="00592E58" w:rsidRPr="008213E6" w:rsidRDefault="00592E58">
            <w:pPr>
              <w:pStyle w:val="TableSideHeading"/>
            </w:pPr>
          </w:p>
        </w:tc>
        <w:tc>
          <w:tcPr>
            <w:tcW w:w="624" w:type="dxa"/>
          </w:tcPr>
          <w:p w:rsidR="00592E58" w:rsidRPr="008213E6" w:rsidRDefault="00592E58" w:rsidP="00AE1C7E">
            <w:pPr>
              <w:pStyle w:val="TableText"/>
            </w:pPr>
          </w:p>
        </w:tc>
        <w:tc>
          <w:tcPr>
            <w:tcW w:w="624" w:type="dxa"/>
          </w:tcPr>
          <w:p w:rsidR="00592E58" w:rsidRPr="008213E6" w:rsidRDefault="00592E58">
            <w:pPr>
              <w:pStyle w:val="TableText"/>
            </w:pPr>
          </w:p>
        </w:tc>
        <w:tc>
          <w:tcPr>
            <w:tcW w:w="624" w:type="dxa"/>
          </w:tcPr>
          <w:p w:rsidR="00592E58" w:rsidRPr="008213E6" w:rsidRDefault="00592E58">
            <w:pPr>
              <w:pStyle w:val="TableText"/>
            </w:pPr>
          </w:p>
        </w:tc>
        <w:tc>
          <w:tcPr>
            <w:tcW w:w="5896" w:type="dxa"/>
          </w:tcPr>
          <w:p w:rsidR="00592E58" w:rsidRPr="008213E6" w:rsidRDefault="00571CAF" w:rsidP="00592E58">
            <w:pPr>
              <w:pStyle w:val="TableBlock"/>
              <w:numPr>
                <w:ilvl w:val="0"/>
                <w:numId w:val="29"/>
              </w:numPr>
              <w:tabs>
                <w:tab w:val="left" w:pos="624"/>
              </w:tabs>
              <w:rPr>
                <w:rtl/>
              </w:rPr>
            </w:pPr>
            <w:r w:rsidRPr="008213E6">
              <w:rPr>
                <w:rFonts w:hint="cs"/>
                <w:rtl/>
              </w:rPr>
              <w:t xml:space="preserve">הטובין </w:t>
            </w:r>
            <w:r w:rsidR="008B58CF" w:rsidRPr="008213E6">
              <w:rPr>
                <w:rFonts w:hint="cs"/>
                <w:rtl/>
              </w:rPr>
              <w:t>ש</w:t>
            </w:r>
            <w:r w:rsidRPr="008213E6">
              <w:rPr>
                <w:rFonts w:hint="cs"/>
                <w:rtl/>
              </w:rPr>
              <w:t xml:space="preserve">עליהם חל התקן </w:t>
            </w:r>
            <w:r w:rsidR="009E55A8" w:rsidRPr="008213E6">
              <w:rPr>
                <w:rFonts w:hint="cs"/>
                <w:rtl/>
              </w:rPr>
              <w:t>התקיימו לגביהם התנאים</w:t>
            </w:r>
            <w:r w:rsidRPr="008213E6">
              <w:rPr>
                <w:rFonts w:hint="cs"/>
                <w:rtl/>
              </w:rPr>
              <w:t xml:space="preserve"> הקבועים בסעיף 2א(ד)(3) לפקודה;</w:t>
            </w:r>
          </w:p>
        </w:tc>
      </w:tr>
      <w:tr w:rsidR="00D0269D" w:rsidRPr="008213E6" w:rsidTr="005F68C7">
        <w:trPr>
          <w:cantSplit/>
          <w:trHeight w:val="60"/>
        </w:trPr>
        <w:tc>
          <w:tcPr>
            <w:tcW w:w="1870" w:type="dxa"/>
          </w:tcPr>
          <w:p w:rsidR="00592E58" w:rsidRPr="008213E6" w:rsidRDefault="00592E58">
            <w:pPr>
              <w:pStyle w:val="TableSideHeading"/>
            </w:pPr>
          </w:p>
        </w:tc>
        <w:tc>
          <w:tcPr>
            <w:tcW w:w="624" w:type="dxa"/>
          </w:tcPr>
          <w:p w:rsidR="00592E58" w:rsidRPr="008213E6" w:rsidRDefault="00592E58" w:rsidP="00AE1C7E">
            <w:pPr>
              <w:pStyle w:val="TableText"/>
            </w:pPr>
          </w:p>
        </w:tc>
        <w:tc>
          <w:tcPr>
            <w:tcW w:w="624" w:type="dxa"/>
          </w:tcPr>
          <w:p w:rsidR="00592E58" w:rsidRPr="008213E6" w:rsidRDefault="00592E58">
            <w:pPr>
              <w:pStyle w:val="TableText"/>
            </w:pPr>
          </w:p>
        </w:tc>
        <w:tc>
          <w:tcPr>
            <w:tcW w:w="624" w:type="dxa"/>
          </w:tcPr>
          <w:p w:rsidR="00592E58" w:rsidRPr="008213E6" w:rsidRDefault="00592E58">
            <w:pPr>
              <w:pStyle w:val="TableText"/>
            </w:pPr>
          </w:p>
        </w:tc>
        <w:tc>
          <w:tcPr>
            <w:tcW w:w="5896" w:type="dxa"/>
          </w:tcPr>
          <w:p w:rsidR="00592E58" w:rsidRPr="008213E6" w:rsidRDefault="00571CAF" w:rsidP="00592E58">
            <w:pPr>
              <w:pStyle w:val="TableBlock"/>
              <w:numPr>
                <w:ilvl w:val="0"/>
                <w:numId w:val="29"/>
              </w:numPr>
              <w:tabs>
                <w:tab w:val="left" w:pos="624"/>
              </w:tabs>
              <w:rPr>
                <w:rtl/>
              </w:rPr>
            </w:pPr>
            <w:r w:rsidRPr="008213E6">
              <w:rPr>
                <w:rFonts w:hint="cs"/>
                <w:rtl/>
              </w:rPr>
              <w:t xml:space="preserve">הטובין </w:t>
            </w:r>
            <w:r w:rsidR="008B58CF" w:rsidRPr="008213E6">
              <w:rPr>
                <w:rFonts w:hint="cs"/>
                <w:rtl/>
              </w:rPr>
              <w:t>ש</w:t>
            </w:r>
            <w:r w:rsidRPr="008213E6">
              <w:rPr>
                <w:rFonts w:hint="cs"/>
                <w:rtl/>
              </w:rPr>
              <w:t>עליהם חל התקן מנויים בסעיף 2א(ד)(4) לפקודה</w:t>
            </w:r>
            <w:r w:rsidR="008B58CF" w:rsidRPr="008213E6">
              <w:rPr>
                <w:rFonts w:hint="cs"/>
                <w:rtl/>
              </w:rPr>
              <w:t>;</w:t>
            </w:r>
            <w:r w:rsidRPr="008213E6">
              <w:rPr>
                <w:rFonts w:hint="cs"/>
                <w:rtl/>
              </w:rPr>
              <w:t xml:space="preserve"> </w:t>
            </w:r>
            <w:r w:rsidR="008B58CF" w:rsidRPr="008213E6">
              <w:rPr>
                <w:rFonts w:hint="cs"/>
                <w:rtl/>
              </w:rPr>
              <w:t>שיוכו של תקן</w:t>
            </w:r>
            <w:r w:rsidR="00E64387" w:rsidRPr="008213E6">
              <w:rPr>
                <w:rFonts w:hint="cs"/>
                <w:rtl/>
              </w:rPr>
              <w:t xml:space="preserve"> לפי פסקה זו יהיה</w:t>
            </w:r>
            <w:r w:rsidRPr="008213E6">
              <w:rPr>
                <w:rFonts w:hint="cs"/>
                <w:rtl/>
              </w:rPr>
              <w:t xml:space="preserve"> לתקופה הקבועה לצ</w:t>
            </w:r>
            <w:r w:rsidR="00E64387" w:rsidRPr="008213E6">
              <w:rPr>
                <w:rFonts w:hint="cs"/>
                <w:rtl/>
              </w:rPr>
              <w:t>דו</w:t>
            </w:r>
            <w:r w:rsidRPr="008213E6">
              <w:rPr>
                <w:rFonts w:hint="cs"/>
                <w:rtl/>
              </w:rPr>
              <w:t xml:space="preserve"> בתוספת.</w:t>
            </w:r>
          </w:p>
        </w:tc>
      </w:tr>
      <w:tr w:rsidR="00D0269D" w:rsidRPr="008213E6" w:rsidTr="00EE2500">
        <w:trPr>
          <w:cantSplit/>
          <w:trHeight w:val="60"/>
        </w:trPr>
        <w:tc>
          <w:tcPr>
            <w:tcW w:w="1870" w:type="dxa"/>
          </w:tcPr>
          <w:p w:rsidR="00EE2500" w:rsidRPr="008213E6" w:rsidRDefault="00EE2500" w:rsidP="00EE2500">
            <w:pPr>
              <w:pStyle w:val="TableSideHeading"/>
            </w:pPr>
          </w:p>
        </w:tc>
        <w:tc>
          <w:tcPr>
            <w:tcW w:w="624" w:type="dxa"/>
          </w:tcPr>
          <w:p w:rsidR="00EE2500" w:rsidRPr="008213E6" w:rsidRDefault="00EE2500" w:rsidP="00EE2500">
            <w:pPr>
              <w:pStyle w:val="TableText"/>
            </w:pPr>
          </w:p>
        </w:tc>
        <w:tc>
          <w:tcPr>
            <w:tcW w:w="624" w:type="dxa"/>
          </w:tcPr>
          <w:p w:rsidR="00EE2500" w:rsidRPr="008213E6" w:rsidRDefault="00EE2500" w:rsidP="00EE2500">
            <w:pPr>
              <w:pStyle w:val="TableText"/>
            </w:pPr>
          </w:p>
        </w:tc>
        <w:tc>
          <w:tcPr>
            <w:tcW w:w="6520" w:type="dxa"/>
            <w:gridSpan w:val="2"/>
          </w:tcPr>
          <w:p w:rsidR="00EE2500" w:rsidRPr="008213E6" w:rsidRDefault="00571CAF" w:rsidP="00571CAF">
            <w:pPr>
              <w:pStyle w:val="TableBlock"/>
              <w:numPr>
                <w:ilvl w:val="0"/>
                <w:numId w:val="26"/>
              </w:numPr>
            </w:pPr>
            <w:r w:rsidRPr="008213E6">
              <w:rPr>
                <w:rFonts w:hint="eastAsia"/>
                <w:rtl/>
              </w:rPr>
              <w:t>תקן</w:t>
            </w:r>
            <w:r w:rsidRPr="008213E6">
              <w:rPr>
                <w:rtl/>
              </w:rPr>
              <w:t xml:space="preserve"> רשמי </w:t>
            </w:r>
            <w:r w:rsidR="00A74F08" w:rsidRPr="008213E6">
              <w:rPr>
                <w:rFonts w:hint="eastAsia"/>
                <w:rtl/>
              </w:rPr>
              <w:t>ישויך</w:t>
            </w:r>
            <w:r w:rsidR="00A74F08" w:rsidRPr="008213E6">
              <w:rPr>
                <w:rtl/>
              </w:rPr>
              <w:t xml:space="preserve"> לקבוצת יבוא מספר </w:t>
            </w:r>
            <w:r w:rsidRPr="008213E6">
              <w:rPr>
                <w:rtl/>
              </w:rPr>
              <w:t xml:space="preserve">2 </w:t>
            </w:r>
            <w:r w:rsidR="00A74F08" w:rsidRPr="008213E6">
              <w:rPr>
                <w:rFonts w:hint="eastAsia"/>
                <w:rtl/>
              </w:rPr>
              <w:t>אם</w:t>
            </w:r>
            <w:r w:rsidR="00A74F08" w:rsidRPr="008213E6">
              <w:rPr>
                <w:rtl/>
              </w:rPr>
              <w:t xml:space="preserve"> הוא </w:t>
            </w:r>
            <w:r w:rsidRPr="008213E6">
              <w:rPr>
                <w:rFonts w:hint="eastAsia"/>
                <w:rtl/>
              </w:rPr>
              <w:t>מנוי</w:t>
            </w:r>
            <w:r w:rsidRPr="008213E6">
              <w:rPr>
                <w:rtl/>
              </w:rPr>
              <w:t xml:space="preserve"> </w:t>
            </w:r>
            <w:r w:rsidRPr="008213E6">
              <w:rPr>
                <w:rFonts w:hint="eastAsia"/>
                <w:rtl/>
              </w:rPr>
              <w:t>ב</w:t>
            </w:r>
            <w:r w:rsidR="00A74F08" w:rsidRPr="008213E6">
              <w:rPr>
                <w:rFonts w:hint="eastAsia"/>
                <w:rtl/>
              </w:rPr>
              <w:t>תוספת</w:t>
            </w:r>
            <w:r w:rsidR="00A74F08" w:rsidRPr="008213E6">
              <w:rPr>
                <w:rtl/>
              </w:rPr>
              <w:t xml:space="preserve"> </w:t>
            </w:r>
            <w:r w:rsidR="00A74F08" w:rsidRPr="008213E6">
              <w:rPr>
                <w:rFonts w:hint="eastAsia"/>
                <w:rtl/>
              </w:rPr>
              <w:t>השנייה</w:t>
            </w:r>
            <w:r w:rsidR="00A74F08" w:rsidRPr="008213E6">
              <w:rPr>
                <w:rtl/>
              </w:rPr>
              <w:t xml:space="preserve"> </w:t>
            </w:r>
            <w:r w:rsidR="00A74F08" w:rsidRPr="008213E6">
              <w:rPr>
                <w:rFonts w:hint="eastAsia"/>
                <w:rtl/>
              </w:rPr>
              <w:t>והתקיים</w:t>
            </w:r>
            <w:r w:rsidR="00A74F08" w:rsidRPr="008213E6">
              <w:rPr>
                <w:rtl/>
              </w:rPr>
              <w:t xml:space="preserve"> </w:t>
            </w:r>
            <w:r w:rsidR="00A74F08" w:rsidRPr="008213E6">
              <w:rPr>
                <w:rFonts w:hint="eastAsia"/>
                <w:rtl/>
              </w:rPr>
              <w:t>לגביו</w:t>
            </w:r>
            <w:r w:rsidR="00A74F08" w:rsidRPr="008213E6">
              <w:rPr>
                <w:rtl/>
              </w:rPr>
              <w:t xml:space="preserve"> </w:t>
            </w:r>
            <w:r w:rsidR="00A74F08" w:rsidRPr="008213E6">
              <w:rPr>
                <w:rFonts w:hint="eastAsia"/>
                <w:rtl/>
              </w:rPr>
              <w:t>אחד</w:t>
            </w:r>
            <w:r w:rsidR="00A74F08" w:rsidRPr="008213E6">
              <w:rPr>
                <w:rtl/>
              </w:rPr>
              <w:t xml:space="preserve"> </w:t>
            </w:r>
            <w:r w:rsidR="00A74F08" w:rsidRPr="008213E6">
              <w:rPr>
                <w:rFonts w:hint="eastAsia"/>
                <w:rtl/>
              </w:rPr>
              <w:t>מאלה</w:t>
            </w:r>
            <w:r w:rsidR="00A74F08" w:rsidRPr="008213E6">
              <w:rPr>
                <w:rtl/>
              </w:rPr>
              <w:t>:</w:t>
            </w:r>
            <w:r w:rsidRPr="008213E6">
              <w:rPr>
                <w:rtl/>
              </w:rPr>
              <w:t xml:space="preserve"> </w:t>
            </w:r>
          </w:p>
        </w:tc>
      </w:tr>
      <w:tr w:rsidR="00A74F08" w:rsidRPr="008213E6">
        <w:trPr>
          <w:cantSplit/>
          <w:trHeight w:val="60"/>
        </w:trPr>
        <w:tc>
          <w:tcPr>
            <w:tcW w:w="1871" w:type="dxa"/>
          </w:tcPr>
          <w:p w:rsidR="00A74F08" w:rsidRPr="008213E6" w:rsidRDefault="00A74F08">
            <w:pPr>
              <w:pStyle w:val="TableSideHeading"/>
            </w:pPr>
          </w:p>
        </w:tc>
        <w:tc>
          <w:tcPr>
            <w:tcW w:w="624" w:type="dxa"/>
          </w:tcPr>
          <w:p w:rsidR="00A74F08" w:rsidRPr="008213E6" w:rsidRDefault="00A74F08">
            <w:pPr>
              <w:pStyle w:val="TableText"/>
            </w:pPr>
          </w:p>
        </w:tc>
        <w:tc>
          <w:tcPr>
            <w:tcW w:w="624" w:type="dxa"/>
          </w:tcPr>
          <w:p w:rsidR="00A74F08" w:rsidRPr="008213E6" w:rsidRDefault="00A74F08">
            <w:pPr>
              <w:pStyle w:val="TableText"/>
            </w:pPr>
          </w:p>
        </w:tc>
        <w:tc>
          <w:tcPr>
            <w:tcW w:w="624" w:type="dxa"/>
          </w:tcPr>
          <w:p w:rsidR="00A74F08" w:rsidRPr="008213E6" w:rsidRDefault="00A74F08">
            <w:pPr>
              <w:pStyle w:val="TableText"/>
            </w:pPr>
          </w:p>
        </w:tc>
        <w:tc>
          <w:tcPr>
            <w:tcW w:w="5898" w:type="dxa"/>
          </w:tcPr>
          <w:p w:rsidR="00A74F08" w:rsidRPr="008213E6" w:rsidRDefault="00A74F08" w:rsidP="008213E6">
            <w:pPr>
              <w:pStyle w:val="TableBlock"/>
              <w:numPr>
                <w:ilvl w:val="0"/>
                <w:numId w:val="30"/>
              </w:numPr>
              <w:tabs>
                <w:tab w:val="left" w:pos="624"/>
              </w:tabs>
            </w:pPr>
            <w:r w:rsidRPr="008213E6">
              <w:rPr>
                <w:rFonts w:hint="eastAsia"/>
                <w:rtl/>
              </w:rPr>
              <w:t>לגבי</w:t>
            </w:r>
            <w:r w:rsidRPr="008213E6">
              <w:rPr>
                <w:rtl/>
              </w:rPr>
              <w:t xml:space="preserve"> </w:t>
            </w:r>
            <w:r w:rsidR="00571CAF" w:rsidRPr="008213E6">
              <w:rPr>
                <w:rFonts w:hint="eastAsia"/>
                <w:rtl/>
              </w:rPr>
              <w:t>תקן</w:t>
            </w:r>
            <w:r w:rsidR="00571CAF" w:rsidRPr="008213E6">
              <w:rPr>
                <w:rtl/>
              </w:rPr>
              <w:t xml:space="preserve"> רשמי שחל על </w:t>
            </w:r>
            <w:r w:rsidRPr="008213E6">
              <w:rPr>
                <w:rFonts w:hint="eastAsia"/>
                <w:rtl/>
              </w:rPr>
              <w:t>טובין</w:t>
            </w:r>
            <w:r w:rsidR="00571CAF" w:rsidRPr="008213E6">
              <w:rPr>
                <w:rtl/>
              </w:rPr>
              <w:t xml:space="preserve"> </w:t>
            </w:r>
            <w:r w:rsidR="00571CAF" w:rsidRPr="008213E6">
              <w:rPr>
                <w:rFonts w:hint="eastAsia"/>
                <w:rtl/>
              </w:rPr>
              <w:t>המנויים</w:t>
            </w:r>
            <w:r w:rsidR="00571CAF" w:rsidRPr="008213E6">
              <w:rPr>
                <w:rtl/>
              </w:rPr>
              <w:t xml:space="preserve"> בסעיף 2א(ד)(1) – </w:t>
            </w:r>
            <w:r w:rsidR="00571CAF" w:rsidRPr="008213E6">
              <w:rPr>
                <w:rFonts w:hint="eastAsia"/>
                <w:rtl/>
              </w:rPr>
              <w:t>התקיימו</w:t>
            </w:r>
            <w:r w:rsidR="00571CAF" w:rsidRPr="008213E6">
              <w:rPr>
                <w:rtl/>
              </w:rPr>
              <w:t xml:space="preserve"> לגבי התנאים הקבועים </w:t>
            </w:r>
            <w:r w:rsidR="00571CAF" w:rsidRPr="008213E6">
              <w:rPr>
                <w:rFonts w:hint="eastAsia"/>
                <w:rtl/>
              </w:rPr>
              <w:t>בסיפה</w:t>
            </w:r>
            <w:r w:rsidR="00571CAF" w:rsidRPr="008213E6">
              <w:rPr>
                <w:rtl/>
              </w:rPr>
              <w:t xml:space="preserve"> של סעיף 2א(ד)(1) </w:t>
            </w:r>
            <w:r w:rsidR="00571CAF" w:rsidRPr="008213E6">
              <w:rPr>
                <w:rFonts w:hint="eastAsia"/>
                <w:rtl/>
              </w:rPr>
              <w:t>לפקודה</w:t>
            </w:r>
            <w:r w:rsidR="00571CAF" w:rsidRPr="008213E6">
              <w:rPr>
                <w:rtl/>
              </w:rPr>
              <w:t xml:space="preserve">; </w:t>
            </w:r>
          </w:p>
        </w:tc>
      </w:tr>
      <w:tr w:rsidR="00571CAF" w:rsidRPr="008213E6">
        <w:trPr>
          <w:cantSplit/>
          <w:trHeight w:val="60"/>
        </w:trPr>
        <w:tc>
          <w:tcPr>
            <w:tcW w:w="1871" w:type="dxa"/>
          </w:tcPr>
          <w:p w:rsidR="00571CAF" w:rsidRPr="008213E6" w:rsidRDefault="00571CAF">
            <w:pPr>
              <w:pStyle w:val="TableSideHeading"/>
            </w:pPr>
          </w:p>
        </w:tc>
        <w:tc>
          <w:tcPr>
            <w:tcW w:w="624" w:type="dxa"/>
          </w:tcPr>
          <w:p w:rsidR="00571CAF" w:rsidRPr="008213E6" w:rsidRDefault="00571CAF" w:rsidP="00571CAF">
            <w:pPr>
              <w:pStyle w:val="TableText"/>
            </w:pPr>
          </w:p>
        </w:tc>
        <w:tc>
          <w:tcPr>
            <w:tcW w:w="624" w:type="dxa"/>
          </w:tcPr>
          <w:p w:rsidR="00571CAF" w:rsidRPr="008213E6" w:rsidRDefault="00571CAF">
            <w:pPr>
              <w:pStyle w:val="TableText"/>
            </w:pPr>
          </w:p>
        </w:tc>
        <w:tc>
          <w:tcPr>
            <w:tcW w:w="624" w:type="dxa"/>
          </w:tcPr>
          <w:p w:rsidR="00571CAF" w:rsidRPr="008213E6" w:rsidRDefault="00571CAF">
            <w:pPr>
              <w:pStyle w:val="TableText"/>
            </w:pPr>
          </w:p>
        </w:tc>
        <w:tc>
          <w:tcPr>
            <w:tcW w:w="5898" w:type="dxa"/>
          </w:tcPr>
          <w:p w:rsidR="00571CAF" w:rsidRPr="008213E6" w:rsidRDefault="00571CAF" w:rsidP="00571CAF">
            <w:pPr>
              <w:pStyle w:val="TableBlock"/>
              <w:numPr>
                <w:ilvl w:val="0"/>
                <w:numId w:val="30"/>
              </w:numPr>
              <w:tabs>
                <w:tab w:val="left" w:pos="624"/>
              </w:tabs>
              <w:rPr>
                <w:rtl/>
              </w:rPr>
            </w:pPr>
            <w:r w:rsidRPr="008213E6">
              <w:rPr>
                <w:rFonts w:hint="eastAsia"/>
                <w:rtl/>
              </w:rPr>
              <w:t>לגבי</w:t>
            </w:r>
            <w:r w:rsidRPr="008213E6">
              <w:rPr>
                <w:rtl/>
              </w:rPr>
              <w:t xml:space="preserve"> תקן רשמי </w:t>
            </w:r>
            <w:r w:rsidRPr="008213E6">
              <w:rPr>
                <w:rFonts w:hint="eastAsia"/>
                <w:rtl/>
              </w:rPr>
              <w:t>שאינו</w:t>
            </w:r>
            <w:r w:rsidRPr="008213E6">
              <w:rPr>
                <w:rtl/>
              </w:rPr>
              <w:t xml:space="preserve"> תקן כאמור בפסקת משנה (א) - </w:t>
            </w:r>
            <w:r w:rsidRPr="008213E6">
              <w:rPr>
                <w:rFonts w:hint="eastAsia"/>
                <w:rtl/>
              </w:rPr>
              <w:t>נקבע</w:t>
            </w:r>
            <w:r w:rsidRPr="008213E6">
              <w:rPr>
                <w:rtl/>
              </w:rPr>
              <w:t xml:space="preserve"> </w:t>
            </w:r>
            <w:r w:rsidRPr="008213E6">
              <w:rPr>
                <w:rFonts w:hint="eastAsia"/>
                <w:rtl/>
              </w:rPr>
              <w:t>שיוכו</w:t>
            </w:r>
            <w:r w:rsidRPr="008213E6">
              <w:rPr>
                <w:rtl/>
              </w:rPr>
              <w:t xml:space="preserve"> </w:t>
            </w:r>
            <w:r w:rsidRPr="008213E6">
              <w:rPr>
                <w:rFonts w:hint="eastAsia"/>
                <w:rtl/>
              </w:rPr>
              <w:t>לקבוצת</w:t>
            </w:r>
            <w:r w:rsidRPr="008213E6">
              <w:rPr>
                <w:rtl/>
              </w:rPr>
              <w:t xml:space="preserve"> </w:t>
            </w:r>
            <w:r w:rsidRPr="008213E6">
              <w:rPr>
                <w:rFonts w:hint="eastAsia"/>
                <w:rtl/>
              </w:rPr>
              <w:t>יבוא</w:t>
            </w:r>
            <w:r w:rsidRPr="008213E6">
              <w:rPr>
                <w:rtl/>
              </w:rPr>
              <w:t xml:space="preserve"> </w:t>
            </w:r>
            <w:r w:rsidRPr="008213E6">
              <w:rPr>
                <w:rFonts w:hint="eastAsia"/>
                <w:rtl/>
              </w:rPr>
              <w:t>מספר</w:t>
            </w:r>
            <w:r w:rsidRPr="008213E6">
              <w:rPr>
                <w:rtl/>
              </w:rPr>
              <w:t xml:space="preserve"> 2 בהתאם להוראות סעיף 2א(ג) לפקודה;</w:t>
            </w:r>
            <w:r w:rsidR="002F770F">
              <w:rPr>
                <w:rFonts w:hint="cs"/>
                <w:rtl/>
              </w:rPr>
              <w:t xml:space="preserve"> שיוכו של תקן לפי פסקה זו יהיה לתקופה הקבועה לצדו בתוספת.</w:t>
            </w:r>
          </w:p>
        </w:tc>
      </w:tr>
      <w:tr w:rsidR="00D0269D" w:rsidRPr="008213E6" w:rsidTr="00EE2500">
        <w:trPr>
          <w:cantSplit/>
          <w:trHeight w:val="60"/>
        </w:trPr>
        <w:tc>
          <w:tcPr>
            <w:tcW w:w="1870" w:type="dxa"/>
          </w:tcPr>
          <w:p w:rsidR="00765140" w:rsidRPr="008213E6" w:rsidRDefault="00765140" w:rsidP="00EE2500">
            <w:pPr>
              <w:pStyle w:val="TableSideHeading"/>
            </w:pPr>
          </w:p>
        </w:tc>
        <w:tc>
          <w:tcPr>
            <w:tcW w:w="624" w:type="dxa"/>
          </w:tcPr>
          <w:p w:rsidR="00765140" w:rsidRPr="008213E6" w:rsidRDefault="00765140" w:rsidP="00AE1C7E">
            <w:pPr>
              <w:pStyle w:val="TableText"/>
            </w:pPr>
          </w:p>
        </w:tc>
        <w:tc>
          <w:tcPr>
            <w:tcW w:w="624" w:type="dxa"/>
          </w:tcPr>
          <w:p w:rsidR="00765140" w:rsidRPr="008213E6" w:rsidRDefault="00765140" w:rsidP="00EE2500">
            <w:pPr>
              <w:pStyle w:val="TableText"/>
            </w:pPr>
          </w:p>
        </w:tc>
        <w:tc>
          <w:tcPr>
            <w:tcW w:w="6520" w:type="dxa"/>
            <w:gridSpan w:val="2"/>
          </w:tcPr>
          <w:p w:rsidR="00765140" w:rsidRPr="008213E6" w:rsidRDefault="00571CAF" w:rsidP="00A74F08">
            <w:pPr>
              <w:pStyle w:val="TableBlock"/>
              <w:numPr>
                <w:ilvl w:val="0"/>
                <w:numId w:val="26"/>
              </w:numPr>
              <w:rPr>
                <w:rtl/>
              </w:rPr>
            </w:pPr>
            <w:r w:rsidRPr="008213E6">
              <w:rPr>
                <w:rFonts w:hint="cs"/>
                <w:rtl/>
              </w:rPr>
              <w:t>תק</w:t>
            </w:r>
            <w:r w:rsidR="008B58CF" w:rsidRPr="008213E6">
              <w:rPr>
                <w:rFonts w:hint="cs"/>
                <w:rtl/>
              </w:rPr>
              <w:t xml:space="preserve">ן רשמי שלא </w:t>
            </w:r>
            <w:r w:rsidR="00E64387" w:rsidRPr="008213E6">
              <w:rPr>
                <w:rFonts w:hint="cs"/>
                <w:rtl/>
              </w:rPr>
              <w:t>מ</w:t>
            </w:r>
            <w:r w:rsidR="008B58CF" w:rsidRPr="008213E6">
              <w:rPr>
                <w:rFonts w:hint="cs"/>
                <w:rtl/>
              </w:rPr>
              <w:t xml:space="preserve">שויך לקבוצות יבוא 1 ו- 2 לפי פסקאות (1) ו- (2),  </w:t>
            </w:r>
            <w:r w:rsidR="00CC3970" w:rsidRPr="008213E6">
              <w:rPr>
                <w:rFonts w:hint="cs"/>
                <w:rtl/>
              </w:rPr>
              <w:t>ישוי</w:t>
            </w:r>
            <w:r w:rsidR="008B58CF" w:rsidRPr="008213E6">
              <w:rPr>
                <w:rFonts w:hint="cs"/>
                <w:rtl/>
              </w:rPr>
              <w:t>ך</w:t>
            </w:r>
            <w:r w:rsidR="00CC3970" w:rsidRPr="008213E6">
              <w:rPr>
                <w:rFonts w:hint="cs"/>
                <w:rtl/>
              </w:rPr>
              <w:t xml:space="preserve"> לקבוצת יבוא מספר 3</w:t>
            </w:r>
            <w:r w:rsidR="00A74F08" w:rsidRPr="008213E6">
              <w:rPr>
                <w:rFonts w:hint="cs"/>
                <w:rtl/>
              </w:rPr>
              <w:t>; רשימת התקנים שמשויכים לקבוצת יבוא מספר 3 מפורטת בתוספת השלישית.</w:t>
            </w:r>
            <w:r w:rsidR="008B58CF" w:rsidRPr="008213E6">
              <w:rPr>
                <w:rFonts w:hint="cs"/>
                <w:rtl/>
              </w:rPr>
              <w:t xml:space="preserve"> </w:t>
            </w:r>
          </w:p>
        </w:tc>
      </w:tr>
      <w:tr w:rsidR="00D0269D" w:rsidRPr="008213E6" w:rsidTr="00EE2500">
        <w:trPr>
          <w:cantSplit/>
          <w:trHeight w:val="60"/>
        </w:trPr>
        <w:tc>
          <w:tcPr>
            <w:tcW w:w="1870" w:type="dxa"/>
          </w:tcPr>
          <w:p w:rsidR="00765140" w:rsidRPr="008213E6" w:rsidRDefault="00765140" w:rsidP="00EE2500">
            <w:pPr>
              <w:pStyle w:val="TableSideHeading"/>
            </w:pPr>
          </w:p>
        </w:tc>
        <w:tc>
          <w:tcPr>
            <w:tcW w:w="624" w:type="dxa"/>
          </w:tcPr>
          <w:p w:rsidR="00765140" w:rsidRPr="008213E6" w:rsidRDefault="00765140" w:rsidP="00AE1C7E">
            <w:pPr>
              <w:pStyle w:val="TableText"/>
            </w:pPr>
          </w:p>
        </w:tc>
        <w:tc>
          <w:tcPr>
            <w:tcW w:w="624" w:type="dxa"/>
          </w:tcPr>
          <w:p w:rsidR="00765140" w:rsidRPr="008213E6" w:rsidRDefault="00765140" w:rsidP="00EE2500">
            <w:pPr>
              <w:pStyle w:val="TableText"/>
            </w:pPr>
          </w:p>
        </w:tc>
        <w:tc>
          <w:tcPr>
            <w:tcW w:w="6520" w:type="dxa"/>
            <w:gridSpan w:val="2"/>
          </w:tcPr>
          <w:p w:rsidR="00765140" w:rsidRPr="008213E6" w:rsidRDefault="00571CAF" w:rsidP="00E362D0">
            <w:pPr>
              <w:pStyle w:val="TableBlock"/>
              <w:numPr>
                <w:ilvl w:val="0"/>
                <w:numId w:val="26"/>
              </w:numPr>
              <w:rPr>
                <w:rtl/>
              </w:rPr>
            </w:pPr>
            <w:r w:rsidRPr="008213E6">
              <w:rPr>
                <w:rFonts w:hint="cs"/>
                <w:rtl/>
              </w:rPr>
              <w:t xml:space="preserve">על אף האמור בפסקה (3), </w:t>
            </w:r>
            <w:r w:rsidRPr="008213E6">
              <w:rPr>
                <w:rtl/>
              </w:rPr>
              <w:t>תקן</w:t>
            </w:r>
            <w:r w:rsidRPr="008213E6">
              <w:rPr>
                <w:rFonts w:hint="cs"/>
                <w:rtl/>
              </w:rPr>
              <w:t xml:space="preserve"> רשמי</w:t>
            </w:r>
            <w:r w:rsidRPr="008213E6">
              <w:rPr>
                <w:rtl/>
              </w:rPr>
              <w:t xml:space="preserve"> הנוגע ל</w:t>
            </w:r>
            <w:r w:rsidRPr="008213E6">
              <w:rPr>
                <w:rFonts w:hint="eastAsia"/>
                <w:rtl/>
              </w:rPr>
              <w:t>סוג</w:t>
            </w:r>
            <w:r w:rsidRPr="008213E6">
              <w:rPr>
                <w:rFonts w:hint="cs"/>
                <w:rtl/>
              </w:rPr>
              <w:t>י</w:t>
            </w:r>
            <w:r w:rsidRPr="008213E6">
              <w:rPr>
                <w:rtl/>
              </w:rPr>
              <w:t xml:space="preserve"> </w:t>
            </w:r>
            <w:r w:rsidRPr="008213E6">
              <w:rPr>
                <w:rFonts w:hint="eastAsia"/>
                <w:rtl/>
              </w:rPr>
              <w:t>טובין</w:t>
            </w:r>
            <w:r w:rsidRPr="008213E6">
              <w:rPr>
                <w:rtl/>
              </w:rPr>
              <w:t xml:space="preserve"> המיועדים במהותם לשימוש בתעשייה בלבד</w:t>
            </w:r>
            <w:r w:rsidRPr="008213E6">
              <w:rPr>
                <w:rFonts w:hint="cs"/>
                <w:rtl/>
              </w:rPr>
              <w:t>,</w:t>
            </w:r>
            <w:r w:rsidRPr="008213E6">
              <w:rPr>
                <w:rFonts w:hint="eastAsia"/>
                <w:rtl/>
              </w:rPr>
              <w:t xml:space="preserve"> </w:t>
            </w:r>
            <w:r w:rsidRPr="008213E6">
              <w:rPr>
                <w:rtl/>
              </w:rPr>
              <w:t>ישויך לקבוצת יבוא מספר 4</w:t>
            </w:r>
            <w:r w:rsidRPr="008213E6">
              <w:rPr>
                <w:rFonts w:hint="cs"/>
                <w:rtl/>
              </w:rPr>
              <w:t xml:space="preserve">, </w:t>
            </w:r>
            <w:r w:rsidRPr="008213E6">
              <w:rPr>
                <w:rFonts w:hint="eastAsia"/>
                <w:rtl/>
              </w:rPr>
              <w:t>אם</w:t>
            </w:r>
            <w:r w:rsidRPr="008213E6">
              <w:rPr>
                <w:rtl/>
              </w:rPr>
              <w:t xml:space="preserve"> לא נקבע לגביו אחרת לפי צו זה</w:t>
            </w:r>
            <w:r w:rsidR="007549BF" w:rsidRPr="008213E6">
              <w:rPr>
                <w:rtl/>
              </w:rPr>
              <w:t xml:space="preserve">, והוא </w:t>
            </w:r>
            <w:r w:rsidRPr="008213E6">
              <w:rPr>
                <w:rFonts w:hint="eastAsia"/>
                <w:rtl/>
              </w:rPr>
              <w:t>מנוי</w:t>
            </w:r>
            <w:r w:rsidR="007549BF" w:rsidRPr="008213E6">
              <w:rPr>
                <w:rFonts w:hint="cs"/>
                <w:rtl/>
              </w:rPr>
              <w:t xml:space="preserve"> בתוספת הרביעית</w:t>
            </w:r>
            <w:r w:rsidRPr="008213E6">
              <w:rPr>
                <w:rtl/>
              </w:rPr>
              <w:t>.</w:t>
            </w:r>
          </w:p>
        </w:tc>
      </w:tr>
      <w:tr w:rsidR="00D0269D" w:rsidRPr="008213E6" w:rsidTr="009843C9">
        <w:trPr>
          <w:cantSplit/>
        </w:trPr>
        <w:tc>
          <w:tcPr>
            <w:tcW w:w="1870" w:type="dxa"/>
          </w:tcPr>
          <w:p w:rsidR="00EE2500" w:rsidRPr="008213E6" w:rsidRDefault="00EE2500" w:rsidP="00EE2500">
            <w:pPr>
              <w:pStyle w:val="TableSideHeading"/>
              <w:keepLines w:val="0"/>
              <w:rPr>
                <w:rtl/>
              </w:rPr>
            </w:pPr>
          </w:p>
        </w:tc>
        <w:tc>
          <w:tcPr>
            <w:tcW w:w="624" w:type="dxa"/>
          </w:tcPr>
          <w:p w:rsidR="00EE2500" w:rsidRPr="008213E6" w:rsidRDefault="00EE2500" w:rsidP="00EE2500">
            <w:pPr>
              <w:pStyle w:val="TableText"/>
            </w:pPr>
          </w:p>
        </w:tc>
        <w:tc>
          <w:tcPr>
            <w:tcW w:w="7144" w:type="dxa"/>
            <w:gridSpan w:val="3"/>
          </w:tcPr>
          <w:p w:rsidR="00EE2500" w:rsidRPr="008213E6" w:rsidRDefault="00571CAF" w:rsidP="00EE2500">
            <w:pPr>
              <w:pStyle w:val="TableBlock"/>
              <w:numPr>
                <w:ilvl w:val="0"/>
                <w:numId w:val="20"/>
              </w:numPr>
              <w:tabs>
                <w:tab w:val="left" w:pos="624"/>
              </w:tabs>
              <w:autoSpaceDE w:val="0"/>
              <w:autoSpaceDN w:val="0"/>
              <w:adjustRightInd w:val="0"/>
              <w:contextualSpacing w:val="0"/>
              <w:textAlignment w:val="center"/>
              <w:rPr>
                <w:rtl/>
              </w:rPr>
            </w:pPr>
            <w:r w:rsidRPr="008213E6">
              <w:rPr>
                <w:rFonts w:hint="cs"/>
                <w:rtl/>
              </w:rPr>
              <w:t xml:space="preserve">הרשימה המלאה והעדכנית של התקנים הרשמיים לפי שיוכם לקבוצות היבוא תתפרסם באתר המשרד ותעודכן </w:t>
            </w:r>
            <w:r w:rsidRPr="008213E6">
              <w:rPr>
                <w:rFonts w:hint="eastAsia"/>
                <w:rtl/>
              </w:rPr>
              <w:t>מזמן</w:t>
            </w:r>
            <w:r w:rsidRPr="008213E6">
              <w:rPr>
                <w:rtl/>
              </w:rPr>
              <w:t xml:space="preserve"> </w:t>
            </w:r>
            <w:r w:rsidRPr="008213E6">
              <w:rPr>
                <w:rFonts w:hint="eastAsia"/>
                <w:rtl/>
              </w:rPr>
              <w:t>לזמן</w:t>
            </w:r>
            <w:r w:rsidRPr="008213E6">
              <w:rPr>
                <w:rFonts w:hint="cs"/>
                <w:rtl/>
              </w:rPr>
              <w:t xml:space="preserve">. </w:t>
            </w:r>
          </w:p>
        </w:tc>
      </w:tr>
      <w:tr w:rsidR="00D0269D" w:rsidRPr="008213E6" w:rsidTr="009843C9">
        <w:trPr>
          <w:cantSplit/>
        </w:trPr>
        <w:tc>
          <w:tcPr>
            <w:tcW w:w="1870" w:type="dxa"/>
          </w:tcPr>
          <w:p w:rsidR="00EE2500" w:rsidRPr="008213E6" w:rsidRDefault="00EE2500" w:rsidP="00EE2500">
            <w:pPr>
              <w:pStyle w:val="TableSideHeading"/>
              <w:keepLines w:val="0"/>
              <w:rPr>
                <w:rtl/>
              </w:rPr>
            </w:pPr>
          </w:p>
        </w:tc>
        <w:tc>
          <w:tcPr>
            <w:tcW w:w="624" w:type="dxa"/>
          </w:tcPr>
          <w:p w:rsidR="00EE2500" w:rsidRPr="008213E6" w:rsidRDefault="00EE2500" w:rsidP="00EE2500">
            <w:pPr>
              <w:pStyle w:val="TableText"/>
            </w:pPr>
          </w:p>
        </w:tc>
        <w:tc>
          <w:tcPr>
            <w:tcW w:w="7144" w:type="dxa"/>
            <w:gridSpan w:val="3"/>
          </w:tcPr>
          <w:p w:rsidR="00EE2500" w:rsidRPr="008213E6" w:rsidRDefault="00571CAF" w:rsidP="00EE2500">
            <w:pPr>
              <w:pStyle w:val="TableBlock"/>
              <w:numPr>
                <w:ilvl w:val="0"/>
                <w:numId w:val="20"/>
              </w:numPr>
              <w:tabs>
                <w:tab w:val="left" w:pos="624"/>
              </w:tabs>
              <w:autoSpaceDE w:val="0"/>
              <w:autoSpaceDN w:val="0"/>
              <w:adjustRightInd w:val="0"/>
              <w:contextualSpacing w:val="0"/>
              <w:textAlignment w:val="center"/>
              <w:rPr>
                <w:rtl/>
              </w:rPr>
            </w:pPr>
            <w:r w:rsidRPr="008213E6">
              <w:rPr>
                <w:rFonts w:hint="eastAsia"/>
                <w:rtl/>
              </w:rPr>
              <w:t>הממונה</w:t>
            </w:r>
            <w:r w:rsidRPr="008213E6">
              <w:rPr>
                <w:rtl/>
              </w:rPr>
              <w:t xml:space="preserve"> על התקינה יפרסם אחת לשנה </w:t>
            </w:r>
            <w:r w:rsidRPr="008213E6">
              <w:rPr>
                <w:rFonts w:hint="eastAsia"/>
                <w:rtl/>
              </w:rPr>
              <w:t>בהודעה</w:t>
            </w:r>
            <w:r w:rsidRPr="008213E6">
              <w:rPr>
                <w:rtl/>
              </w:rPr>
              <w:t xml:space="preserve"> ברשומות </w:t>
            </w:r>
            <w:r w:rsidRPr="008213E6">
              <w:rPr>
                <w:rFonts w:hint="eastAsia"/>
                <w:rtl/>
              </w:rPr>
              <w:t>את</w:t>
            </w:r>
            <w:r w:rsidRPr="008213E6">
              <w:rPr>
                <w:rtl/>
              </w:rPr>
              <w:t xml:space="preserve"> </w:t>
            </w:r>
            <w:r w:rsidRPr="008213E6">
              <w:rPr>
                <w:rFonts w:hint="eastAsia"/>
                <w:rtl/>
              </w:rPr>
              <w:t>נוסח</w:t>
            </w:r>
            <w:r w:rsidRPr="008213E6">
              <w:rPr>
                <w:rtl/>
              </w:rPr>
              <w:t xml:space="preserve"> </w:t>
            </w:r>
            <w:r w:rsidRPr="008213E6">
              <w:rPr>
                <w:rFonts w:hint="eastAsia"/>
                <w:rtl/>
              </w:rPr>
              <w:t>התוספות</w:t>
            </w:r>
            <w:r w:rsidRPr="008213E6">
              <w:rPr>
                <w:rtl/>
              </w:rPr>
              <w:t xml:space="preserve"> </w:t>
            </w:r>
            <w:r w:rsidRPr="008213E6">
              <w:rPr>
                <w:rFonts w:hint="eastAsia"/>
                <w:rtl/>
              </w:rPr>
              <w:t>הראשונה</w:t>
            </w:r>
            <w:r w:rsidRPr="008213E6">
              <w:rPr>
                <w:rtl/>
              </w:rPr>
              <w:t xml:space="preserve"> </w:t>
            </w:r>
            <w:r w:rsidRPr="008213E6">
              <w:rPr>
                <w:rFonts w:hint="eastAsia"/>
                <w:rtl/>
              </w:rPr>
              <w:t>עד</w:t>
            </w:r>
            <w:r w:rsidRPr="008213E6">
              <w:rPr>
                <w:rtl/>
              </w:rPr>
              <w:t xml:space="preserve"> </w:t>
            </w:r>
            <w:r w:rsidRPr="008213E6">
              <w:rPr>
                <w:rFonts w:hint="eastAsia"/>
                <w:rtl/>
              </w:rPr>
              <w:t>הרביעית</w:t>
            </w:r>
            <w:r w:rsidRPr="008213E6">
              <w:rPr>
                <w:rtl/>
              </w:rPr>
              <w:t xml:space="preserve"> </w:t>
            </w:r>
            <w:r w:rsidRPr="008213E6">
              <w:rPr>
                <w:rFonts w:hint="eastAsia"/>
                <w:rtl/>
              </w:rPr>
              <w:t>המעודכנות</w:t>
            </w:r>
            <w:r w:rsidRPr="008213E6">
              <w:rPr>
                <w:rFonts w:hint="cs"/>
                <w:rtl/>
              </w:rPr>
              <w:t>.</w:t>
            </w:r>
          </w:p>
        </w:tc>
      </w:tr>
      <w:tr w:rsidR="00D0269D" w:rsidRPr="008213E6" w:rsidTr="00F85ABC">
        <w:trPr>
          <w:cantSplit/>
        </w:trPr>
        <w:tc>
          <w:tcPr>
            <w:tcW w:w="1870" w:type="dxa"/>
            <w:shd w:val="clear" w:color="auto" w:fill="auto"/>
          </w:tcPr>
          <w:p w:rsidR="00EE2500" w:rsidRPr="008213E6" w:rsidRDefault="00571CAF" w:rsidP="00EE2500">
            <w:pPr>
              <w:pStyle w:val="TableSideHeading"/>
              <w:keepLines w:val="0"/>
            </w:pPr>
            <w:r w:rsidRPr="008213E6">
              <w:rPr>
                <w:rFonts w:hint="cs"/>
                <w:rtl/>
              </w:rPr>
              <w:lastRenderedPageBreak/>
              <w:t>קביעה על שינוי שיוך תקן רשמי</w:t>
            </w:r>
          </w:p>
        </w:tc>
        <w:tc>
          <w:tcPr>
            <w:tcW w:w="624" w:type="dxa"/>
          </w:tcPr>
          <w:p w:rsidR="00EE2500" w:rsidRPr="008213E6" w:rsidRDefault="00EE2500" w:rsidP="00EE2500">
            <w:pPr>
              <w:pStyle w:val="TableText"/>
              <w:keepLines w:val="0"/>
              <w:numPr>
                <w:ilvl w:val="0"/>
                <w:numId w:val="4"/>
              </w:numPr>
              <w:autoSpaceDE w:val="0"/>
              <w:autoSpaceDN w:val="0"/>
              <w:adjustRightInd w:val="0"/>
              <w:ind w:right="57"/>
              <w:contextualSpacing w:val="0"/>
              <w:textAlignment w:val="center"/>
            </w:pPr>
          </w:p>
        </w:tc>
        <w:tc>
          <w:tcPr>
            <w:tcW w:w="7144" w:type="dxa"/>
            <w:gridSpan w:val="3"/>
          </w:tcPr>
          <w:p w:rsidR="00EE2500" w:rsidRPr="008213E6" w:rsidRDefault="00571CAF" w:rsidP="00E42565">
            <w:pPr>
              <w:pStyle w:val="TableBlock"/>
            </w:pPr>
            <w:r w:rsidRPr="008213E6">
              <w:rPr>
                <w:rFonts w:hint="cs"/>
                <w:rtl/>
              </w:rPr>
              <w:t>(א)</w:t>
            </w:r>
            <w:r w:rsidRPr="008213E6">
              <w:rPr>
                <w:rtl/>
              </w:rPr>
              <w:tab/>
              <w:t xml:space="preserve">בטרם </w:t>
            </w:r>
            <w:r w:rsidRPr="008213E6">
              <w:rPr>
                <w:rFonts w:hint="cs"/>
                <w:rtl/>
              </w:rPr>
              <w:t xml:space="preserve">קביעה על </w:t>
            </w:r>
            <w:r w:rsidRPr="008213E6">
              <w:rPr>
                <w:rtl/>
              </w:rPr>
              <w:t xml:space="preserve">שינוי </w:t>
            </w:r>
            <w:r w:rsidRPr="008213E6">
              <w:rPr>
                <w:rFonts w:hint="cs"/>
                <w:rtl/>
              </w:rPr>
              <w:t>שיוך תקן רשמי יפרסם הממונה על התקינה הודעה על הכוונה לקבוע את שינוי השיוך באתר האינטרנט של המשרד; הודעה כאמור תפורסם עד 30 ימים לפני פרסום הקביעה על שינוי השיוך בתוספת המתאימה</w:t>
            </w:r>
            <w:r w:rsidR="00544ACB">
              <w:rPr>
                <w:rFonts w:hint="cs"/>
                <w:rtl/>
              </w:rPr>
              <w:t xml:space="preserve">, </w:t>
            </w:r>
            <w:r w:rsidR="00544ACB" w:rsidRPr="008213E6">
              <w:rPr>
                <w:rFonts w:hint="cs"/>
                <w:rtl/>
              </w:rPr>
              <w:t xml:space="preserve">אלא אם כן החליט השר כי </w:t>
            </w:r>
            <w:r w:rsidR="00544ACB">
              <w:rPr>
                <w:rFonts w:hint="cs"/>
                <w:rtl/>
              </w:rPr>
              <w:t>ההודעה על הכוונה לקבוע את שינוי השיוך תהיה לתקופה קצרה יותר</w:t>
            </w:r>
            <w:r w:rsidR="00544ACB" w:rsidRPr="008213E6">
              <w:rPr>
                <w:rFonts w:hint="cs"/>
                <w:rtl/>
              </w:rPr>
              <w:t>, בשל צורך חיוני לשינוי מהיר או דחיפות רבה, לפי העניין</w:t>
            </w:r>
            <w:r w:rsidR="00544ACB">
              <w:rPr>
                <w:rFonts w:hint="cs"/>
                <w:rtl/>
              </w:rPr>
              <w:t xml:space="preserve"> ובלבד שתקופה זו לא תפחת מ-14 ימים</w:t>
            </w:r>
            <w:r w:rsidRPr="008213E6">
              <w:rPr>
                <w:rFonts w:hint="cs"/>
                <w:rtl/>
              </w:rPr>
              <w:t>.</w:t>
            </w:r>
            <w:r w:rsidRPr="008213E6">
              <w:rPr>
                <w:rtl/>
              </w:rPr>
              <w:t xml:space="preserve"> </w:t>
            </w:r>
          </w:p>
        </w:tc>
      </w:tr>
      <w:tr w:rsidR="00D0269D" w:rsidRPr="008213E6" w:rsidTr="009843C9">
        <w:trPr>
          <w:cantSplit/>
        </w:trPr>
        <w:tc>
          <w:tcPr>
            <w:tcW w:w="1870" w:type="dxa"/>
          </w:tcPr>
          <w:p w:rsidR="00EE2500" w:rsidRPr="008213E6" w:rsidRDefault="00EE2500" w:rsidP="00EE2500">
            <w:pPr>
              <w:pStyle w:val="TableSideHeading"/>
              <w:keepLines w:val="0"/>
              <w:rPr>
                <w:rtl/>
              </w:rPr>
            </w:pPr>
          </w:p>
        </w:tc>
        <w:tc>
          <w:tcPr>
            <w:tcW w:w="624" w:type="dxa"/>
          </w:tcPr>
          <w:p w:rsidR="00EE2500" w:rsidRPr="008213E6" w:rsidRDefault="00EE2500" w:rsidP="00EE2500">
            <w:pPr>
              <w:pStyle w:val="TableText"/>
            </w:pPr>
          </w:p>
        </w:tc>
        <w:tc>
          <w:tcPr>
            <w:tcW w:w="7144" w:type="dxa"/>
            <w:gridSpan w:val="3"/>
          </w:tcPr>
          <w:p w:rsidR="00EE2500" w:rsidRPr="008213E6" w:rsidRDefault="00571CAF" w:rsidP="00EE2500">
            <w:pPr>
              <w:pStyle w:val="TableBlock"/>
              <w:rPr>
                <w:rtl/>
              </w:rPr>
            </w:pPr>
            <w:r w:rsidRPr="008213E6">
              <w:rPr>
                <w:rFonts w:hint="cs"/>
                <w:rtl/>
              </w:rPr>
              <w:t>(ב)</w:t>
            </w:r>
            <w:r w:rsidRPr="008213E6">
              <w:rPr>
                <w:rtl/>
              </w:rPr>
              <w:tab/>
            </w:r>
            <w:r w:rsidRPr="008213E6">
              <w:rPr>
                <w:rFonts w:hint="cs"/>
                <w:rtl/>
              </w:rPr>
              <w:t>הממונה על התקינה יודיע על פרסום ההודעה כאמור בתקנת משנה (א) לשר הממונה כמשמעותו בסעיף 8(ד) לחוק התקנים, וליבואנים הרשומים; נוסף על האמור, הממונה על התקינה יודיע לפי תקנת משנה זו גם לגופים המפורטים להלן, ובלבד שאותם גופים הודיעו לממונה על נציג מטעמם שיהיה מוסמך לקבל את ההודעה:</w:t>
            </w:r>
          </w:p>
        </w:tc>
      </w:tr>
      <w:tr w:rsidR="00D0269D" w:rsidRPr="008213E6" w:rsidTr="009843C9">
        <w:trPr>
          <w:cantSplit/>
          <w:trHeight w:val="60"/>
        </w:trPr>
        <w:tc>
          <w:tcPr>
            <w:tcW w:w="1870" w:type="dxa"/>
          </w:tcPr>
          <w:p w:rsidR="00EE2500" w:rsidRPr="008213E6" w:rsidRDefault="00EE2500" w:rsidP="00EE2500">
            <w:pPr>
              <w:pStyle w:val="TableSideHeading"/>
            </w:pPr>
          </w:p>
        </w:tc>
        <w:tc>
          <w:tcPr>
            <w:tcW w:w="624" w:type="dxa"/>
          </w:tcPr>
          <w:p w:rsidR="00EE2500" w:rsidRPr="008213E6" w:rsidRDefault="00EE2500" w:rsidP="00EE2500">
            <w:pPr>
              <w:pStyle w:val="TableText"/>
            </w:pPr>
          </w:p>
        </w:tc>
        <w:tc>
          <w:tcPr>
            <w:tcW w:w="624" w:type="dxa"/>
          </w:tcPr>
          <w:p w:rsidR="00EE2500" w:rsidRPr="008213E6" w:rsidRDefault="00EE2500" w:rsidP="00EE2500">
            <w:pPr>
              <w:pStyle w:val="TableText"/>
            </w:pPr>
          </w:p>
        </w:tc>
        <w:tc>
          <w:tcPr>
            <w:tcW w:w="6520" w:type="dxa"/>
            <w:gridSpan w:val="2"/>
          </w:tcPr>
          <w:p w:rsidR="00EE2500" w:rsidRPr="008213E6" w:rsidRDefault="00571CAF" w:rsidP="00EE2500">
            <w:pPr>
              <w:pStyle w:val="TableBlock"/>
            </w:pPr>
            <w:r w:rsidRPr="008213E6">
              <w:rPr>
                <w:rFonts w:hint="cs"/>
                <w:rtl/>
              </w:rPr>
              <w:t>(1)</w:t>
            </w:r>
            <w:r w:rsidRPr="008213E6">
              <w:rPr>
                <w:rtl/>
              </w:rPr>
              <w:tab/>
            </w:r>
            <w:r w:rsidRPr="008213E6">
              <w:rPr>
                <w:rFonts w:hint="cs"/>
                <w:rtl/>
              </w:rPr>
              <w:t>איגוד לשכות המסחר;</w:t>
            </w:r>
          </w:p>
        </w:tc>
      </w:tr>
      <w:tr w:rsidR="00D0269D" w:rsidRPr="008213E6" w:rsidTr="009843C9">
        <w:trPr>
          <w:cantSplit/>
          <w:trHeight w:val="60"/>
        </w:trPr>
        <w:tc>
          <w:tcPr>
            <w:tcW w:w="1870" w:type="dxa"/>
          </w:tcPr>
          <w:p w:rsidR="00EE2500" w:rsidRPr="008213E6" w:rsidRDefault="00EE2500" w:rsidP="00EE2500">
            <w:pPr>
              <w:pStyle w:val="TableSideHeading"/>
            </w:pPr>
          </w:p>
        </w:tc>
        <w:tc>
          <w:tcPr>
            <w:tcW w:w="624" w:type="dxa"/>
          </w:tcPr>
          <w:p w:rsidR="00EE2500" w:rsidRPr="008213E6" w:rsidRDefault="00EE2500" w:rsidP="00EE2500">
            <w:pPr>
              <w:pStyle w:val="TableText"/>
            </w:pPr>
          </w:p>
        </w:tc>
        <w:tc>
          <w:tcPr>
            <w:tcW w:w="624" w:type="dxa"/>
          </w:tcPr>
          <w:p w:rsidR="00EE2500" w:rsidRPr="008213E6" w:rsidRDefault="00EE2500" w:rsidP="00EE2500">
            <w:pPr>
              <w:pStyle w:val="TableText"/>
            </w:pPr>
          </w:p>
        </w:tc>
        <w:tc>
          <w:tcPr>
            <w:tcW w:w="6520" w:type="dxa"/>
            <w:gridSpan w:val="2"/>
          </w:tcPr>
          <w:p w:rsidR="00EE2500" w:rsidRPr="008213E6" w:rsidRDefault="00571CAF" w:rsidP="00EE2500">
            <w:pPr>
              <w:pStyle w:val="TableBlock"/>
              <w:rPr>
                <w:rtl/>
              </w:rPr>
            </w:pPr>
            <w:r w:rsidRPr="008213E6">
              <w:rPr>
                <w:rFonts w:hint="cs"/>
                <w:rtl/>
              </w:rPr>
              <w:t>(2)</w:t>
            </w:r>
            <w:r w:rsidRPr="008213E6">
              <w:rPr>
                <w:rtl/>
              </w:rPr>
              <w:tab/>
            </w:r>
            <w:r w:rsidRPr="008213E6">
              <w:rPr>
                <w:rFonts w:hint="cs"/>
                <w:rtl/>
              </w:rPr>
              <w:t>התאחדות התעשיינים בישראל;</w:t>
            </w:r>
          </w:p>
        </w:tc>
      </w:tr>
      <w:tr w:rsidR="00D0269D" w:rsidRPr="008213E6" w:rsidTr="009843C9">
        <w:trPr>
          <w:cantSplit/>
          <w:trHeight w:val="60"/>
        </w:trPr>
        <w:tc>
          <w:tcPr>
            <w:tcW w:w="1870" w:type="dxa"/>
          </w:tcPr>
          <w:p w:rsidR="00EE2500" w:rsidRPr="008213E6" w:rsidRDefault="00EE2500" w:rsidP="00EE2500">
            <w:pPr>
              <w:pStyle w:val="TableSideHeading"/>
            </w:pPr>
          </w:p>
        </w:tc>
        <w:tc>
          <w:tcPr>
            <w:tcW w:w="624" w:type="dxa"/>
          </w:tcPr>
          <w:p w:rsidR="00EE2500" w:rsidRPr="008213E6" w:rsidRDefault="00EE2500" w:rsidP="00EE2500">
            <w:pPr>
              <w:pStyle w:val="TableText"/>
            </w:pPr>
          </w:p>
        </w:tc>
        <w:tc>
          <w:tcPr>
            <w:tcW w:w="624" w:type="dxa"/>
          </w:tcPr>
          <w:p w:rsidR="00EE2500" w:rsidRPr="008213E6" w:rsidRDefault="00EE2500" w:rsidP="00EE2500">
            <w:pPr>
              <w:pStyle w:val="TableText"/>
            </w:pPr>
          </w:p>
        </w:tc>
        <w:tc>
          <w:tcPr>
            <w:tcW w:w="6520" w:type="dxa"/>
            <w:gridSpan w:val="2"/>
          </w:tcPr>
          <w:p w:rsidR="00EE2500" w:rsidRPr="008213E6" w:rsidRDefault="00571CAF" w:rsidP="00EE2500">
            <w:pPr>
              <w:pStyle w:val="TableBlock"/>
              <w:rPr>
                <w:rtl/>
              </w:rPr>
            </w:pPr>
            <w:r w:rsidRPr="008213E6">
              <w:rPr>
                <w:rFonts w:hint="cs"/>
                <w:rtl/>
              </w:rPr>
              <w:t>(3)</w:t>
            </w:r>
            <w:r w:rsidRPr="008213E6">
              <w:rPr>
                <w:rtl/>
              </w:rPr>
              <w:tab/>
            </w:r>
            <w:r w:rsidRPr="008213E6">
              <w:rPr>
                <w:rFonts w:hint="cs"/>
                <w:rtl/>
              </w:rPr>
              <w:t>ארגוני הצרכנים כהגדרתם בסעיף 31(ג) לחוק הגנת הצרכן, התשמ"א</w:t>
            </w:r>
            <w:r w:rsidRPr="008213E6">
              <w:rPr>
                <w:rFonts w:hint="eastAsia"/>
                <w:rtl/>
              </w:rPr>
              <w:t>–1981</w:t>
            </w:r>
            <w:r w:rsidRPr="008213E6">
              <w:rPr>
                <w:rStyle w:val="a7"/>
                <w:rtl/>
              </w:rPr>
              <w:footnoteReference w:id="4"/>
            </w:r>
            <w:r w:rsidRPr="008213E6">
              <w:rPr>
                <w:rFonts w:hint="eastAsia"/>
                <w:rtl/>
              </w:rPr>
              <w:t>.</w:t>
            </w:r>
          </w:p>
        </w:tc>
      </w:tr>
      <w:tr w:rsidR="00D0269D" w:rsidRPr="008213E6" w:rsidTr="009843C9">
        <w:trPr>
          <w:cantSplit/>
        </w:trPr>
        <w:tc>
          <w:tcPr>
            <w:tcW w:w="1870" w:type="dxa"/>
          </w:tcPr>
          <w:p w:rsidR="00EE2500" w:rsidRPr="008213E6" w:rsidRDefault="00EE2500" w:rsidP="00EE2500">
            <w:pPr>
              <w:pStyle w:val="TableSideHeading"/>
              <w:keepLines w:val="0"/>
              <w:rPr>
                <w:rtl/>
              </w:rPr>
            </w:pPr>
          </w:p>
        </w:tc>
        <w:tc>
          <w:tcPr>
            <w:tcW w:w="624" w:type="dxa"/>
          </w:tcPr>
          <w:p w:rsidR="00EE2500" w:rsidRPr="008213E6" w:rsidRDefault="00EE2500" w:rsidP="00EE2500">
            <w:pPr>
              <w:pStyle w:val="TableText"/>
            </w:pPr>
          </w:p>
        </w:tc>
        <w:tc>
          <w:tcPr>
            <w:tcW w:w="7144" w:type="dxa"/>
            <w:gridSpan w:val="3"/>
          </w:tcPr>
          <w:p w:rsidR="00EE2500" w:rsidRPr="008213E6" w:rsidRDefault="00571CAF" w:rsidP="00D05E9D">
            <w:pPr>
              <w:pStyle w:val="TableBlock"/>
              <w:rPr>
                <w:rtl/>
              </w:rPr>
            </w:pPr>
            <w:r w:rsidRPr="008213E6">
              <w:rPr>
                <w:rFonts w:hint="cs"/>
                <w:rtl/>
              </w:rPr>
              <w:t>(ג)</w:t>
            </w:r>
            <w:r w:rsidRPr="008213E6">
              <w:rPr>
                <w:rtl/>
              </w:rPr>
              <w:tab/>
            </w:r>
            <w:r w:rsidRPr="008213E6">
              <w:rPr>
                <w:rFonts w:hint="cs"/>
                <w:rtl/>
              </w:rPr>
              <w:t>שינוי שיוך של תקן רשמי ייכנס לתוקף בתום 30 ימים מיום פרסום הקביעה על שינוי השיוך בתוספת המתאימה לפי סעיף 2(א), אלא אם כן החליט השר כי שינוי השיוך ייכנס לתוקף במועד מאוחר יותר או מוקדם יותר, בשל צורך בתקופת היערכות ארוכה יותר או בשל צורך חיוני לשינוי מהיר או דחיפות רבה, לפי העניין.</w:t>
            </w:r>
          </w:p>
        </w:tc>
      </w:tr>
      <w:tr w:rsidR="00D0269D" w:rsidRPr="008213E6" w:rsidTr="009843C9">
        <w:trPr>
          <w:cantSplit/>
        </w:trPr>
        <w:tc>
          <w:tcPr>
            <w:tcW w:w="1870" w:type="dxa"/>
          </w:tcPr>
          <w:p w:rsidR="00EE2500" w:rsidRPr="008213E6" w:rsidRDefault="00571CAF" w:rsidP="00EE2500">
            <w:pPr>
              <w:pStyle w:val="TableSideHeading"/>
              <w:keepLines w:val="0"/>
              <w:rPr>
                <w:rtl/>
              </w:rPr>
            </w:pPr>
            <w:r w:rsidRPr="008213E6">
              <w:rPr>
                <w:rFonts w:hint="cs"/>
                <w:rtl/>
              </w:rPr>
              <w:t>תחילה</w:t>
            </w:r>
          </w:p>
        </w:tc>
        <w:tc>
          <w:tcPr>
            <w:tcW w:w="624" w:type="dxa"/>
          </w:tcPr>
          <w:p w:rsidR="00EE2500" w:rsidRPr="008213E6" w:rsidRDefault="00571CAF" w:rsidP="00EE2500">
            <w:pPr>
              <w:pStyle w:val="TableText"/>
              <w:rPr>
                <w:rtl/>
              </w:rPr>
            </w:pPr>
            <w:r w:rsidRPr="008213E6">
              <w:rPr>
                <w:rFonts w:hint="cs"/>
                <w:rtl/>
              </w:rPr>
              <w:t>5.</w:t>
            </w:r>
          </w:p>
        </w:tc>
        <w:tc>
          <w:tcPr>
            <w:tcW w:w="7144" w:type="dxa"/>
            <w:gridSpan w:val="3"/>
          </w:tcPr>
          <w:p w:rsidR="00EE2500" w:rsidRPr="008213E6" w:rsidRDefault="00592E58" w:rsidP="00592E58">
            <w:pPr>
              <w:pStyle w:val="TableBlock"/>
              <w:tabs>
                <w:tab w:val="clear" w:pos="624"/>
              </w:tabs>
              <w:rPr>
                <w:rtl/>
              </w:rPr>
            </w:pPr>
            <w:r w:rsidRPr="008213E6">
              <w:rPr>
                <w:rFonts w:hint="cs"/>
                <w:rtl/>
              </w:rPr>
              <w:t>תחילתו</w:t>
            </w:r>
            <w:r w:rsidR="00571CAF" w:rsidRPr="008213E6">
              <w:rPr>
                <w:rFonts w:hint="cs"/>
                <w:rtl/>
              </w:rPr>
              <w:t xml:space="preserve"> של צו זה</w:t>
            </w:r>
            <w:r w:rsidRPr="008213E6">
              <w:rPr>
                <w:rFonts w:hint="cs"/>
                <w:rtl/>
              </w:rPr>
              <w:t xml:space="preserve"> ביום</w:t>
            </w:r>
            <w:r w:rsidR="00571CAF" w:rsidRPr="008213E6">
              <w:rPr>
                <w:rFonts w:hint="cs"/>
                <w:rtl/>
              </w:rPr>
              <w:t xml:space="preserve"> ב' בסיוון </w:t>
            </w:r>
            <w:proofErr w:type="spellStart"/>
            <w:r w:rsidR="00571CAF" w:rsidRPr="008213E6">
              <w:rPr>
                <w:rFonts w:hint="cs"/>
                <w:rtl/>
              </w:rPr>
              <w:t>התשפ"ב</w:t>
            </w:r>
            <w:proofErr w:type="spellEnd"/>
            <w:r w:rsidR="00571CAF" w:rsidRPr="008213E6">
              <w:rPr>
                <w:rFonts w:hint="cs"/>
                <w:rtl/>
              </w:rPr>
              <w:t xml:space="preserve"> </w:t>
            </w:r>
            <w:r w:rsidRPr="008213E6">
              <w:rPr>
                <w:rFonts w:hint="cs"/>
                <w:rtl/>
              </w:rPr>
              <w:t>(</w:t>
            </w:r>
            <w:r w:rsidR="00571CAF" w:rsidRPr="008213E6">
              <w:rPr>
                <w:rFonts w:hint="cs"/>
                <w:rtl/>
              </w:rPr>
              <w:t>1 ביוני 2022</w:t>
            </w:r>
            <w:r w:rsidRPr="008213E6">
              <w:rPr>
                <w:rFonts w:hint="cs"/>
                <w:rtl/>
              </w:rPr>
              <w:t>)</w:t>
            </w:r>
            <w:r w:rsidR="00A74F08" w:rsidRPr="008213E6">
              <w:rPr>
                <w:rFonts w:hint="cs"/>
                <w:rtl/>
              </w:rPr>
              <w:t xml:space="preserve"> (להלן </w:t>
            </w:r>
            <w:r w:rsidR="00A74F08" w:rsidRPr="008213E6">
              <w:rPr>
                <w:rtl/>
              </w:rPr>
              <w:t>–</w:t>
            </w:r>
            <w:r w:rsidR="00A74F08" w:rsidRPr="008213E6">
              <w:rPr>
                <w:rFonts w:hint="cs"/>
                <w:rtl/>
              </w:rPr>
              <w:t xml:space="preserve"> יום התחילה)</w:t>
            </w:r>
            <w:r w:rsidR="00571CAF" w:rsidRPr="008213E6">
              <w:rPr>
                <w:rFonts w:hint="cs"/>
                <w:rtl/>
              </w:rPr>
              <w:t xml:space="preserve">. </w:t>
            </w:r>
          </w:p>
        </w:tc>
      </w:tr>
      <w:tr w:rsidR="00A74F08" w:rsidRPr="008213E6" w:rsidTr="009843C9">
        <w:trPr>
          <w:cantSplit/>
        </w:trPr>
        <w:tc>
          <w:tcPr>
            <w:tcW w:w="1870" w:type="dxa"/>
          </w:tcPr>
          <w:p w:rsidR="00A74F08" w:rsidRPr="008213E6" w:rsidRDefault="00A74F08" w:rsidP="00EE2500">
            <w:pPr>
              <w:pStyle w:val="TableSideHeading"/>
              <w:keepLines w:val="0"/>
              <w:rPr>
                <w:rtl/>
              </w:rPr>
            </w:pPr>
            <w:r w:rsidRPr="008213E6">
              <w:rPr>
                <w:rFonts w:hint="eastAsia"/>
                <w:rtl/>
              </w:rPr>
              <w:t>תחולה</w:t>
            </w:r>
          </w:p>
        </w:tc>
        <w:tc>
          <w:tcPr>
            <w:tcW w:w="624" w:type="dxa"/>
          </w:tcPr>
          <w:p w:rsidR="00A74F08" w:rsidRPr="008213E6" w:rsidRDefault="00A74F08" w:rsidP="00A74F08">
            <w:pPr>
              <w:pStyle w:val="TableText"/>
              <w:rPr>
                <w:rtl/>
              </w:rPr>
            </w:pPr>
            <w:r w:rsidRPr="008213E6">
              <w:rPr>
                <w:rtl/>
              </w:rPr>
              <w:t>6.</w:t>
            </w:r>
          </w:p>
        </w:tc>
        <w:tc>
          <w:tcPr>
            <w:tcW w:w="7144" w:type="dxa"/>
            <w:gridSpan w:val="3"/>
          </w:tcPr>
          <w:p w:rsidR="00A74F08" w:rsidRPr="008213E6" w:rsidRDefault="00A74F08" w:rsidP="00592E58">
            <w:pPr>
              <w:pStyle w:val="TableBlock"/>
              <w:tabs>
                <w:tab w:val="clear" w:pos="624"/>
              </w:tabs>
              <w:rPr>
                <w:rtl/>
              </w:rPr>
            </w:pPr>
            <w:r w:rsidRPr="008213E6">
              <w:rPr>
                <w:rFonts w:hint="eastAsia"/>
                <w:rtl/>
              </w:rPr>
              <w:t>צו</w:t>
            </w:r>
            <w:r w:rsidRPr="008213E6">
              <w:rPr>
                <w:rtl/>
              </w:rPr>
              <w:t xml:space="preserve"> זה יחול לגבי בקשות </w:t>
            </w:r>
            <w:r w:rsidRPr="008213E6">
              <w:rPr>
                <w:rFonts w:hint="eastAsia"/>
                <w:rtl/>
              </w:rPr>
              <w:t>לקבלת</w:t>
            </w:r>
            <w:r w:rsidRPr="008213E6">
              <w:rPr>
                <w:rtl/>
              </w:rPr>
              <w:t xml:space="preserve"> </w:t>
            </w:r>
            <w:r w:rsidRPr="008213E6">
              <w:rPr>
                <w:rFonts w:hint="eastAsia"/>
                <w:rtl/>
              </w:rPr>
              <w:t>אישור</w:t>
            </w:r>
            <w:r w:rsidRPr="008213E6">
              <w:rPr>
                <w:rtl/>
              </w:rPr>
              <w:t xml:space="preserve"> </w:t>
            </w:r>
            <w:r w:rsidRPr="008213E6">
              <w:rPr>
                <w:rFonts w:hint="eastAsia"/>
                <w:rtl/>
              </w:rPr>
              <w:t>עמידה</w:t>
            </w:r>
            <w:r w:rsidRPr="008213E6">
              <w:rPr>
                <w:rtl/>
              </w:rPr>
              <w:t xml:space="preserve"> </w:t>
            </w:r>
            <w:r w:rsidRPr="008213E6">
              <w:rPr>
                <w:rFonts w:hint="eastAsia"/>
                <w:rtl/>
              </w:rPr>
              <w:t>בדרישות</w:t>
            </w:r>
            <w:r w:rsidRPr="008213E6">
              <w:rPr>
                <w:rtl/>
              </w:rPr>
              <w:t xml:space="preserve"> </w:t>
            </w:r>
            <w:r w:rsidRPr="008213E6">
              <w:rPr>
                <w:rFonts w:hint="eastAsia"/>
                <w:rtl/>
              </w:rPr>
              <w:t>ממונה</w:t>
            </w:r>
            <w:r w:rsidRPr="008213E6">
              <w:t xml:space="preserve"> </w:t>
            </w:r>
            <w:r w:rsidRPr="008213E6">
              <w:rPr>
                <w:rtl/>
              </w:rPr>
              <w:t xml:space="preserve"> שיוגשו ביום התחילה או לאחריו.</w:t>
            </w:r>
          </w:p>
        </w:tc>
      </w:tr>
      <w:tr w:rsidR="00D0269D" w:rsidRPr="008213E6" w:rsidTr="009843C9">
        <w:trPr>
          <w:cantSplit/>
        </w:trPr>
        <w:tc>
          <w:tcPr>
            <w:tcW w:w="1870" w:type="dxa"/>
          </w:tcPr>
          <w:p w:rsidR="00592E58" w:rsidRPr="008213E6" w:rsidRDefault="00571CAF" w:rsidP="00592E58">
            <w:pPr>
              <w:pStyle w:val="TableSideHeading"/>
              <w:keepLines w:val="0"/>
              <w:rPr>
                <w:rtl/>
              </w:rPr>
            </w:pPr>
            <w:r w:rsidRPr="008213E6">
              <w:rPr>
                <w:rFonts w:hint="cs"/>
                <w:rtl/>
              </w:rPr>
              <w:t>ביטול צו היבוא והיצוא (קבוצות יבוא), התשפ"א-2021</w:t>
            </w:r>
          </w:p>
        </w:tc>
        <w:tc>
          <w:tcPr>
            <w:tcW w:w="624" w:type="dxa"/>
          </w:tcPr>
          <w:p w:rsidR="00592E58" w:rsidRPr="008213E6" w:rsidRDefault="00A74F08" w:rsidP="00592E58">
            <w:pPr>
              <w:pStyle w:val="TableText"/>
              <w:rPr>
                <w:rtl/>
              </w:rPr>
            </w:pPr>
            <w:r w:rsidRPr="008213E6">
              <w:rPr>
                <w:rFonts w:hint="cs"/>
                <w:rtl/>
              </w:rPr>
              <w:t>7.</w:t>
            </w:r>
          </w:p>
        </w:tc>
        <w:tc>
          <w:tcPr>
            <w:tcW w:w="7144" w:type="dxa"/>
            <w:gridSpan w:val="3"/>
          </w:tcPr>
          <w:p w:rsidR="00592E58" w:rsidRPr="008213E6" w:rsidRDefault="00571CAF" w:rsidP="00592E58">
            <w:pPr>
              <w:pStyle w:val="TableBlock"/>
              <w:tabs>
                <w:tab w:val="clear" w:pos="624"/>
              </w:tabs>
              <w:rPr>
                <w:rtl/>
              </w:rPr>
            </w:pPr>
            <w:r w:rsidRPr="008213E6">
              <w:rPr>
                <w:rFonts w:hint="cs"/>
                <w:rtl/>
              </w:rPr>
              <w:t>צו היבוא והיצוא (קבוצות יבוא), התשפ"א</w:t>
            </w:r>
            <w:r w:rsidRPr="008213E6">
              <w:rPr>
                <w:rFonts w:hint="eastAsia"/>
                <w:rtl/>
              </w:rPr>
              <w:t>–</w:t>
            </w:r>
            <w:r w:rsidRPr="008213E6">
              <w:rPr>
                <w:rFonts w:hint="cs"/>
                <w:rtl/>
              </w:rPr>
              <w:t xml:space="preserve">2021 </w:t>
            </w:r>
            <w:r w:rsidRPr="008213E6">
              <w:rPr>
                <w:rtl/>
              </w:rPr>
              <w:t>–</w:t>
            </w:r>
            <w:r w:rsidRPr="008213E6">
              <w:rPr>
                <w:rFonts w:hint="cs"/>
                <w:rtl/>
              </w:rPr>
              <w:t xml:space="preserve"> בטל.</w:t>
            </w:r>
          </w:p>
        </w:tc>
      </w:tr>
      <w:tr w:rsidR="00D0269D" w:rsidRPr="008213E6" w:rsidTr="009843C9">
        <w:trPr>
          <w:cantSplit/>
        </w:trPr>
        <w:tc>
          <w:tcPr>
            <w:tcW w:w="1870" w:type="dxa"/>
          </w:tcPr>
          <w:p w:rsidR="00592E58" w:rsidRPr="008213E6" w:rsidRDefault="00592E58" w:rsidP="00592E58">
            <w:pPr>
              <w:pStyle w:val="TableSideHeading"/>
              <w:keepLines w:val="0"/>
              <w:rPr>
                <w:rtl/>
              </w:rPr>
            </w:pPr>
          </w:p>
        </w:tc>
        <w:tc>
          <w:tcPr>
            <w:tcW w:w="624" w:type="dxa"/>
          </w:tcPr>
          <w:p w:rsidR="00592E58" w:rsidRPr="008213E6" w:rsidRDefault="00592E58" w:rsidP="00592E58">
            <w:pPr>
              <w:pStyle w:val="TableText"/>
              <w:rPr>
                <w:rtl/>
              </w:rPr>
            </w:pPr>
          </w:p>
        </w:tc>
        <w:tc>
          <w:tcPr>
            <w:tcW w:w="7144" w:type="dxa"/>
            <w:gridSpan w:val="3"/>
          </w:tcPr>
          <w:p w:rsidR="00592E58" w:rsidRPr="008213E6" w:rsidRDefault="00571CAF" w:rsidP="00592E58">
            <w:pPr>
              <w:pStyle w:val="TableHead"/>
              <w:rPr>
                <w:rtl/>
              </w:rPr>
            </w:pPr>
            <w:r w:rsidRPr="008213E6">
              <w:rPr>
                <w:rFonts w:hint="eastAsia"/>
                <w:rtl/>
              </w:rPr>
              <w:t>תוספת</w:t>
            </w:r>
            <w:r w:rsidRPr="008213E6">
              <w:rPr>
                <w:rtl/>
              </w:rPr>
              <w:t xml:space="preserve"> </w:t>
            </w:r>
            <w:r w:rsidRPr="008213E6">
              <w:rPr>
                <w:rFonts w:hint="eastAsia"/>
                <w:rtl/>
              </w:rPr>
              <w:t>ראשונה</w:t>
            </w:r>
          </w:p>
        </w:tc>
      </w:tr>
      <w:tr w:rsidR="00D0269D" w:rsidRPr="008213E6" w:rsidTr="009843C9">
        <w:trPr>
          <w:cantSplit/>
        </w:trPr>
        <w:tc>
          <w:tcPr>
            <w:tcW w:w="1870" w:type="dxa"/>
          </w:tcPr>
          <w:p w:rsidR="00592E58" w:rsidRPr="008213E6" w:rsidRDefault="00592E58" w:rsidP="00592E58">
            <w:pPr>
              <w:pStyle w:val="TableSideHeading"/>
              <w:keepLines w:val="0"/>
              <w:rPr>
                <w:rtl/>
              </w:rPr>
            </w:pPr>
          </w:p>
        </w:tc>
        <w:tc>
          <w:tcPr>
            <w:tcW w:w="624" w:type="dxa"/>
          </w:tcPr>
          <w:p w:rsidR="00592E58" w:rsidRPr="008213E6" w:rsidRDefault="00592E58" w:rsidP="00592E58">
            <w:pPr>
              <w:pStyle w:val="TableText"/>
              <w:rPr>
                <w:rtl/>
              </w:rPr>
            </w:pPr>
          </w:p>
        </w:tc>
        <w:tc>
          <w:tcPr>
            <w:tcW w:w="7144" w:type="dxa"/>
            <w:gridSpan w:val="3"/>
          </w:tcPr>
          <w:p w:rsidR="00592E58" w:rsidRPr="008213E6" w:rsidRDefault="00571CAF" w:rsidP="00592E58">
            <w:pPr>
              <w:pStyle w:val="TableHead"/>
              <w:rPr>
                <w:b w:val="0"/>
                <w:bCs w:val="0"/>
                <w:rtl/>
              </w:rPr>
            </w:pPr>
            <w:r w:rsidRPr="008213E6">
              <w:rPr>
                <w:b w:val="0"/>
                <w:bCs w:val="0"/>
                <w:rtl/>
              </w:rPr>
              <w:t>(</w:t>
            </w:r>
            <w:r w:rsidRPr="008213E6">
              <w:rPr>
                <w:rFonts w:hint="eastAsia"/>
                <w:b w:val="0"/>
                <w:bCs w:val="0"/>
                <w:rtl/>
              </w:rPr>
              <w:t>סעיף</w:t>
            </w:r>
            <w:r w:rsidRPr="008213E6">
              <w:rPr>
                <w:b w:val="0"/>
                <w:bCs w:val="0"/>
                <w:rtl/>
              </w:rPr>
              <w:t xml:space="preserve"> 2(א)(1)</w:t>
            </w:r>
            <w:r w:rsidRPr="008213E6">
              <w:rPr>
                <w:rFonts w:hint="cs"/>
                <w:b w:val="0"/>
                <w:bCs w:val="0"/>
                <w:rtl/>
              </w:rPr>
              <w:t>)</w:t>
            </w:r>
          </w:p>
        </w:tc>
      </w:tr>
    </w:tbl>
    <w:p w:rsidR="002C2084" w:rsidRPr="008213E6" w:rsidRDefault="002C2084" w:rsidP="002C2084">
      <w:pPr>
        <w:widowControl/>
        <w:bidi w:val="0"/>
        <w:spacing w:line="240" w:lineRule="auto"/>
        <w:jc w:val="left"/>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0"/>
        <w:gridCol w:w="624"/>
        <w:gridCol w:w="7144"/>
      </w:tblGrid>
      <w:tr w:rsidR="00D0269D" w:rsidRPr="008213E6" w:rsidTr="009843C9">
        <w:trPr>
          <w:cantSplit/>
        </w:trPr>
        <w:tc>
          <w:tcPr>
            <w:tcW w:w="1870" w:type="dxa"/>
          </w:tcPr>
          <w:p w:rsidR="002C2084" w:rsidRPr="008213E6" w:rsidRDefault="002C2084" w:rsidP="009843C9">
            <w:pPr>
              <w:pStyle w:val="TableSideHeading"/>
              <w:keepLines w:val="0"/>
              <w:rPr>
                <w:rtl/>
              </w:rPr>
            </w:pPr>
          </w:p>
        </w:tc>
        <w:tc>
          <w:tcPr>
            <w:tcW w:w="624" w:type="dxa"/>
          </w:tcPr>
          <w:p w:rsidR="002C2084" w:rsidRPr="008213E6" w:rsidRDefault="002C2084" w:rsidP="009843C9">
            <w:pPr>
              <w:pStyle w:val="TableText"/>
              <w:rPr>
                <w:rtl/>
              </w:rPr>
            </w:pPr>
          </w:p>
        </w:tc>
        <w:tc>
          <w:tcPr>
            <w:tcW w:w="7144" w:type="dxa"/>
          </w:tcPr>
          <w:p w:rsidR="002C2084" w:rsidRPr="008213E6" w:rsidRDefault="00571CAF" w:rsidP="009843C9">
            <w:pPr>
              <w:pStyle w:val="TableHead"/>
              <w:rPr>
                <w:rtl/>
              </w:rPr>
            </w:pPr>
            <w:r w:rsidRPr="008213E6">
              <w:rPr>
                <w:rFonts w:hint="eastAsia"/>
                <w:rtl/>
              </w:rPr>
              <w:t>תוספת</w:t>
            </w:r>
            <w:r w:rsidRPr="008213E6">
              <w:rPr>
                <w:rtl/>
              </w:rPr>
              <w:t xml:space="preserve"> </w:t>
            </w:r>
            <w:r w:rsidRPr="008213E6">
              <w:rPr>
                <w:rFonts w:hint="eastAsia"/>
                <w:rtl/>
              </w:rPr>
              <w:t>שניה</w:t>
            </w:r>
          </w:p>
        </w:tc>
      </w:tr>
      <w:tr w:rsidR="00D0269D" w:rsidRPr="008213E6" w:rsidTr="009843C9">
        <w:trPr>
          <w:cantSplit/>
        </w:trPr>
        <w:tc>
          <w:tcPr>
            <w:tcW w:w="1870" w:type="dxa"/>
          </w:tcPr>
          <w:p w:rsidR="002C2084" w:rsidRPr="008213E6" w:rsidRDefault="002C2084" w:rsidP="009843C9">
            <w:pPr>
              <w:pStyle w:val="TableSideHeading"/>
              <w:keepLines w:val="0"/>
              <w:rPr>
                <w:rtl/>
              </w:rPr>
            </w:pPr>
          </w:p>
        </w:tc>
        <w:tc>
          <w:tcPr>
            <w:tcW w:w="624" w:type="dxa"/>
          </w:tcPr>
          <w:p w:rsidR="002C2084" w:rsidRPr="008213E6" w:rsidRDefault="002C2084" w:rsidP="009843C9">
            <w:pPr>
              <w:pStyle w:val="TableText"/>
              <w:rPr>
                <w:rtl/>
              </w:rPr>
            </w:pPr>
          </w:p>
        </w:tc>
        <w:tc>
          <w:tcPr>
            <w:tcW w:w="7144" w:type="dxa"/>
          </w:tcPr>
          <w:p w:rsidR="002C2084" w:rsidRPr="008213E6" w:rsidRDefault="00571CAF" w:rsidP="00E42565">
            <w:pPr>
              <w:pStyle w:val="TableHead"/>
              <w:rPr>
                <w:rtl/>
              </w:rPr>
            </w:pPr>
            <w:r w:rsidRPr="008213E6">
              <w:rPr>
                <w:rtl/>
              </w:rPr>
              <w:t>(</w:t>
            </w:r>
            <w:r w:rsidRPr="008213E6">
              <w:rPr>
                <w:rFonts w:hint="eastAsia"/>
                <w:b w:val="0"/>
                <w:bCs w:val="0"/>
                <w:rtl/>
              </w:rPr>
              <w:t>סעיף</w:t>
            </w:r>
            <w:r w:rsidRPr="008213E6">
              <w:rPr>
                <w:b w:val="0"/>
                <w:bCs w:val="0"/>
                <w:rtl/>
              </w:rPr>
              <w:t xml:space="preserve"> 2(א)(</w:t>
            </w:r>
            <w:r w:rsidR="00E42565" w:rsidRPr="008213E6">
              <w:rPr>
                <w:rFonts w:hint="cs"/>
                <w:b w:val="0"/>
                <w:bCs w:val="0"/>
                <w:rtl/>
              </w:rPr>
              <w:t>2</w:t>
            </w:r>
            <w:r w:rsidRPr="008213E6">
              <w:rPr>
                <w:b w:val="0"/>
                <w:bCs w:val="0"/>
                <w:rtl/>
              </w:rPr>
              <w:t>)</w:t>
            </w:r>
            <w:r w:rsidRPr="008213E6">
              <w:rPr>
                <w:rtl/>
              </w:rPr>
              <w:t>)</w:t>
            </w:r>
          </w:p>
        </w:tc>
      </w:tr>
    </w:tbl>
    <w:p w:rsidR="002C2084" w:rsidRPr="008213E6" w:rsidRDefault="002C2084" w:rsidP="002C2084">
      <w:pPr>
        <w:rPr>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0"/>
        <w:gridCol w:w="624"/>
        <w:gridCol w:w="7144"/>
      </w:tblGrid>
      <w:tr w:rsidR="00D0269D" w:rsidRPr="008213E6" w:rsidTr="009843C9">
        <w:trPr>
          <w:cantSplit/>
        </w:trPr>
        <w:tc>
          <w:tcPr>
            <w:tcW w:w="1870" w:type="dxa"/>
          </w:tcPr>
          <w:p w:rsidR="002C2084" w:rsidRPr="008213E6" w:rsidRDefault="002C2084" w:rsidP="009843C9">
            <w:pPr>
              <w:pStyle w:val="TableSideHeading"/>
              <w:keepLines w:val="0"/>
              <w:rPr>
                <w:rtl/>
              </w:rPr>
            </w:pPr>
          </w:p>
        </w:tc>
        <w:tc>
          <w:tcPr>
            <w:tcW w:w="624" w:type="dxa"/>
          </w:tcPr>
          <w:p w:rsidR="002C2084" w:rsidRPr="008213E6" w:rsidRDefault="002C2084" w:rsidP="009843C9">
            <w:pPr>
              <w:pStyle w:val="TableText"/>
              <w:rPr>
                <w:rtl/>
              </w:rPr>
            </w:pPr>
          </w:p>
        </w:tc>
        <w:tc>
          <w:tcPr>
            <w:tcW w:w="7144" w:type="dxa"/>
          </w:tcPr>
          <w:p w:rsidR="002C2084" w:rsidRPr="008213E6" w:rsidRDefault="00571CAF" w:rsidP="009843C9">
            <w:pPr>
              <w:pStyle w:val="TableHead"/>
              <w:rPr>
                <w:rtl/>
              </w:rPr>
            </w:pPr>
            <w:r w:rsidRPr="008213E6">
              <w:rPr>
                <w:rFonts w:hint="eastAsia"/>
                <w:rtl/>
              </w:rPr>
              <w:t>תוספת</w:t>
            </w:r>
            <w:r w:rsidRPr="008213E6">
              <w:rPr>
                <w:rtl/>
              </w:rPr>
              <w:t xml:space="preserve"> </w:t>
            </w:r>
            <w:r w:rsidRPr="008213E6">
              <w:rPr>
                <w:rFonts w:hint="eastAsia"/>
                <w:rtl/>
              </w:rPr>
              <w:t>שלישית</w:t>
            </w:r>
          </w:p>
        </w:tc>
      </w:tr>
      <w:tr w:rsidR="00D0269D" w:rsidRPr="008213E6" w:rsidTr="009843C9">
        <w:trPr>
          <w:cantSplit/>
        </w:trPr>
        <w:tc>
          <w:tcPr>
            <w:tcW w:w="1870" w:type="dxa"/>
          </w:tcPr>
          <w:p w:rsidR="002C2084" w:rsidRPr="008213E6" w:rsidRDefault="002C2084" w:rsidP="009843C9">
            <w:pPr>
              <w:pStyle w:val="TableSideHeading"/>
              <w:keepLines w:val="0"/>
              <w:rPr>
                <w:rtl/>
              </w:rPr>
            </w:pPr>
          </w:p>
        </w:tc>
        <w:tc>
          <w:tcPr>
            <w:tcW w:w="624" w:type="dxa"/>
          </w:tcPr>
          <w:p w:rsidR="002C2084" w:rsidRPr="008213E6" w:rsidRDefault="002C2084" w:rsidP="009843C9">
            <w:pPr>
              <w:pStyle w:val="TableText"/>
              <w:rPr>
                <w:rtl/>
              </w:rPr>
            </w:pPr>
          </w:p>
        </w:tc>
        <w:tc>
          <w:tcPr>
            <w:tcW w:w="7144" w:type="dxa"/>
          </w:tcPr>
          <w:p w:rsidR="002C2084" w:rsidRPr="008213E6" w:rsidRDefault="00571CAF" w:rsidP="00E42565">
            <w:pPr>
              <w:pStyle w:val="TableHead"/>
              <w:rPr>
                <w:rtl/>
              </w:rPr>
            </w:pPr>
            <w:r w:rsidRPr="008213E6">
              <w:rPr>
                <w:rtl/>
              </w:rPr>
              <w:t>(</w:t>
            </w:r>
            <w:r w:rsidRPr="008213E6">
              <w:rPr>
                <w:rFonts w:hint="eastAsia"/>
                <w:b w:val="0"/>
                <w:bCs w:val="0"/>
                <w:rtl/>
              </w:rPr>
              <w:t>סעיף</w:t>
            </w:r>
            <w:r w:rsidRPr="008213E6">
              <w:rPr>
                <w:b w:val="0"/>
                <w:bCs w:val="0"/>
                <w:rtl/>
              </w:rPr>
              <w:t xml:space="preserve"> 2(א)</w:t>
            </w:r>
            <w:r w:rsidR="00E42565" w:rsidRPr="008213E6">
              <w:rPr>
                <w:rFonts w:hint="cs"/>
                <w:b w:val="0"/>
                <w:bCs w:val="0"/>
                <w:rtl/>
              </w:rPr>
              <w:t>(3</w:t>
            </w:r>
            <w:r w:rsidR="00AF1A75" w:rsidRPr="008213E6">
              <w:rPr>
                <w:rFonts w:hint="cs"/>
                <w:b w:val="0"/>
                <w:bCs w:val="0"/>
                <w:rtl/>
              </w:rPr>
              <w:t>)</w:t>
            </w:r>
            <w:r w:rsidRPr="008213E6">
              <w:rPr>
                <w:b w:val="0"/>
                <w:bCs w:val="0"/>
                <w:rtl/>
              </w:rPr>
              <w:t>)</w:t>
            </w:r>
          </w:p>
        </w:tc>
      </w:tr>
      <w:tr w:rsidR="00D0269D" w:rsidRPr="008213E6" w:rsidTr="009843C9">
        <w:trPr>
          <w:cantSplit/>
        </w:trPr>
        <w:tc>
          <w:tcPr>
            <w:tcW w:w="1870" w:type="dxa"/>
          </w:tcPr>
          <w:p w:rsidR="002C2084" w:rsidRPr="008213E6" w:rsidRDefault="002C2084" w:rsidP="009843C9">
            <w:pPr>
              <w:widowControl/>
              <w:bidi w:val="0"/>
              <w:spacing w:line="240" w:lineRule="auto"/>
              <w:jc w:val="left"/>
              <w:rPr>
                <w:rtl/>
              </w:rPr>
            </w:pPr>
          </w:p>
        </w:tc>
        <w:tc>
          <w:tcPr>
            <w:tcW w:w="624" w:type="dxa"/>
          </w:tcPr>
          <w:p w:rsidR="002C2084" w:rsidRPr="008213E6" w:rsidRDefault="002C2084" w:rsidP="009843C9">
            <w:pPr>
              <w:pStyle w:val="TableText"/>
              <w:rPr>
                <w:rtl/>
              </w:rPr>
            </w:pPr>
          </w:p>
        </w:tc>
        <w:tc>
          <w:tcPr>
            <w:tcW w:w="7144" w:type="dxa"/>
          </w:tcPr>
          <w:p w:rsidR="002C2084" w:rsidRPr="008213E6" w:rsidRDefault="00571CAF" w:rsidP="009843C9">
            <w:pPr>
              <w:pStyle w:val="TableHead"/>
              <w:rPr>
                <w:rtl/>
              </w:rPr>
            </w:pPr>
            <w:r w:rsidRPr="008213E6">
              <w:rPr>
                <w:rFonts w:hint="eastAsia"/>
                <w:rtl/>
              </w:rPr>
              <w:t>תוספת</w:t>
            </w:r>
            <w:r w:rsidRPr="008213E6">
              <w:rPr>
                <w:rtl/>
              </w:rPr>
              <w:t xml:space="preserve"> </w:t>
            </w:r>
            <w:r w:rsidRPr="008213E6">
              <w:rPr>
                <w:rFonts w:hint="eastAsia"/>
                <w:rtl/>
              </w:rPr>
              <w:t>רביעית</w:t>
            </w:r>
          </w:p>
        </w:tc>
      </w:tr>
      <w:tr w:rsidR="00D0269D" w:rsidRPr="008213E6" w:rsidTr="009843C9">
        <w:trPr>
          <w:cantSplit/>
        </w:trPr>
        <w:tc>
          <w:tcPr>
            <w:tcW w:w="1870" w:type="dxa"/>
          </w:tcPr>
          <w:p w:rsidR="002C2084" w:rsidRPr="008213E6" w:rsidRDefault="002C2084" w:rsidP="009843C9">
            <w:pPr>
              <w:pStyle w:val="TableSideHeading"/>
              <w:keepLines w:val="0"/>
              <w:rPr>
                <w:rtl/>
              </w:rPr>
            </w:pPr>
          </w:p>
        </w:tc>
        <w:tc>
          <w:tcPr>
            <w:tcW w:w="624" w:type="dxa"/>
          </w:tcPr>
          <w:p w:rsidR="002C2084" w:rsidRPr="008213E6" w:rsidRDefault="002C2084" w:rsidP="009843C9">
            <w:pPr>
              <w:pStyle w:val="TableText"/>
              <w:rPr>
                <w:rtl/>
              </w:rPr>
            </w:pPr>
          </w:p>
        </w:tc>
        <w:tc>
          <w:tcPr>
            <w:tcW w:w="7144" w:type="dxa"/>
          </w:tcPr>
          <w:p w:rsidR="002C2084" w:rsidRPr="008213E6" w:rsidRDefault="00571CAF" w:rsidP="00E42565">
            <w:pPr>
              <w:pStyle w:val="TableHead"/>
              <w:rPr>
                <w:rtl/>
              </w:rPr>
            </w:pPr>
            <w:r w:rsidRPr="008213E6">
              <w:rPr>
                <w:rtl/>
              </w:rPr>
              <w:t>(</w:t>
            </w:r>
            <w:r w:rsidRPr="008213E6">
              <w:rPr>
                <w:rFonts w:hint="eastAsia"/>
                <w:b w:val="0"/>
                <w:bCs w:val="0"/>
                <w:rtl/>
              </w:rPr>
              <w:t>סעיף</w:t>
            </w:r>
            <w:r w:rsidRPr="008213E6">
              <w:rPr>
                <w:b w:val="0"/>
                <w:bCs w:val="0"/>
                <w:rtl/>
              </w:rPr>
              <w:t xml:space="preserve"> </w:t>
            </w:r>
            <w:r w:rsidR="00E42565" w:rsidRPr="008213E6">
              <w:rPr>
                <w:rFonts w:hint="cs"/>
                <w:b w:val="0"/>
                <w:bCs w:val="0"/>
                <w:rtl/>
              </w:rPr>
              <w:t>2(א)(4</w:t>
            </w:r>
            <w:r w:rsidR="00AF1A75" w:rsidRPr="008213E6">
              <w:rPr>
                <w:rFonts w:hint="cs"/>
                <w:b w:val="0"/>
                <w:bCs w:val="0"/>
                <w:rtl/>
              </w:rPr>
              <w:t>)</w:t>
            </w:r>
            <w:r w:rsidRPr="008213E6">
              <w:rPr>
                <w:rtl/>
              </w:rPr>
              <w:t>)</w:t>
            </w:r>
          </w:p>
        </w:tc>
      </w:tr>
    </w:tbl>
    <w:p w:rsidR="002C2084" w:rsidRPr="008213E6" w:rsidRDefault="002C2084" w:rsidP="002C2084">
      <w:pPr>
        <w:widowControl/>
        <w:bidi w:val="0"/>
        <w:spacing w:line="240" w:lineRule="auto"/>
        <w:jc w:val="left"/>
        <w:rPr>
          <w:rtl/>
        </w:rPr>
      </w:pPr>
    </w:p>
    <w:p w:rsidR="002C2084" w:rsidRPr="008213E6" w:rsidRDefault="00571CAF" w:rsidP="00AF1A75">
      <w:pPr>
        <w:widowControl/>
        <w:spacing w:line="240" w:lineRule="auto"/>
        <w:jc w:val="center"/>
        <w:rPr>
          <w:b/>
          <w:bCs/>
          <w:sz w:val="26"/>
          <w:szCs w:val="26"/>
          <w:rtl/>
        </w:rPr>
      </w:pPr>
      <w:r w:rsidRPr="008213E6">
        <w:rPr>
          <w:rFonts w:hint="cs"/>
          <w:b/>
          <w:bCs/>
          <w:sz w:val="26"/>
          <w:szCs w:val="26"/>
          <w:rtl/>
        </w:rPr>
        <w:t xml:space="preserve">                                    </w:t>
      </w:r>
    </w:p>
    <w:p w:rsidR="002C2084" w:rsidRPr="008213E6" w:rsidRDefault="002C2084" w:rsidP="002C2084">
      <w:pPr>
        <w:widowControl/>
        <w:spacing w:line="240" w:lineRule="auto"/>
        <w:jc w:val="center"/>
        <w:rPr>
          <w:b/>
          <w:bCs/>
          <w:sz w:val="26"/>
          <w:szCs w:val="26"/>
          <w:rtl/>
        </w:rPr>
      </w:pPr>
    </w:p>
    <w:p w:rsidR="002C2084" w:rsidRPr="008213E6" w:rsidRDefault="002C2084" w:rsidP="002C2084">
      <w:pPr>
        <w:widowControl/>
        <w:spacing w:line="240" w:lineRule="auto"/>
        <w:jc w:val="center"/>
        <w:rPr>
          <w:b/>
          <w:bCs/>
          <w:sz w:val="26"/>
          <w:szCs w:val="26"/>
        </w:rPr>
      </w:pPr>
    </w:p>
    <w:p w:rsidR="002C2084" w:rsidRPr="008213E6" w:rsidRDefault="00571CAF" w:rsidP="00212E92">
      <w:pPr>
        <w:rPr>
          <w:rFonts w:ascii="Calibri" w:hAnsi="Calibri"/>
          <w:sz w:val="36"/>
          <w:szCs w:val="36"/>
        </w:rPr>
      </w:pPr>
      <w:r w:rsidRPr="008213E6">
        <w:rPr>
          <w:rFonts w:ascii="Times New Roman" w:hAnsi="Times New Roman"/>
          <w:rtl/>
        </w:rPr>
        <w:t xml:space="preserve">__________ </w:t>
      </w:r>
      <w:proofErr w:type="spellStart"/>
      <w:r w:rsidRPr="008213E6">
        <w:rPr>
          <w:rFonts w:ascii="Times New Roman" w:hAnsi="Times New Roman"/>
          <w:rtl/>
        </w:rPr>
        <w:t>התש</w:t>
      </w:r>
      <w:r w:rsidRPr="008213E6">
        <w:rPr>
          <w:rFonts w:ascii="Times New Roman" w:hAnsi="Times New Roman" w:hint="cs"/>
          <w:rtl/>
        </w:rPr>
        <w:t>פ"</w:t>
      </w:r>
      <w:r w:rsidR="00212E92" w:rsidRPr="008213E6">
        <w:rPr>
          <w:rFonts w:ascii="Times New Roman" w:hAnsi="Times New Roman" w:hint="cs"/>
          <w:rtl/>
        </w:rPr>
        <w:t>ב</w:t>
      </w:r>
      <w:proofErr w:type="spellEnd"/>
      <w:r w:rsidR="00212E92" w:rsidRPr="008213E6">
        <w:rPr>
          <w:rFonts w:ascii="Times New Roman" w:hAnsi="Times New Roman"/>
          <w:rtl/>
        </w:rPr>
        <w:t xml:space="preserve"> </w:t>
      </w:r>
      <w:r w:rsidRPr="008213E6">
        <w:rPr>
          <w:rFonts w:ascii="Times New Roman" w:hAnsi="Times New Roman"/>
          <w:rtl/>
        </w:rPr>
        <w:t xml:space="preserve">(__________ </w:t>
      </w:r>
      <w:r w:rsidR="00D3090B" w:rsidRPr="008213E6">
        <w:rPr>
          <w:rFonts w:ascii="Times New Roman" w:hAnsi="Times New Roman"/>
          <w:rtl/>
        </w:rPr>
        <w:t>202</w:t>
      </w:r>
      <w:r w:rsidR="00D3090B" w:rsidRPr="008213E6">
        <w:rPr>
          <w:rFonts w:ascii="Times New Roman" w:hAnsi="Times New Roman" w:hint="cs"/>
          <w:rtl/>
        </w:rPr>
        <w:t>2</w:t>
      </w:r>
      <w:r w:rsidRPr="008213E6">
        <w:rPr>
          <w:rFonts w:ascii="Times New Roman" w:hAnsi="Times New Roman"/>
          <w:rtl/>
        </w:rPr>
        <w:t>)</w:t>
      </w:r>
    </w:p>
    <w:p w:rsidR="002C2084" w:rsidRPr="008213E6" w:rsidRDefault="00571CAF" w:rsidP="002C2084">
      <w:pPr>
        <w:rPr>
          <w:rFonts w:ascii="Times New Roman" w:hAnsi="Times New Roman"/>
          <w:rtl/>
        </w:rPr>
      </w:pPr>
      <w:r w:rsidRPr="008213E6">
        <w:rPr>
          <w:rFonts w:ascii="Times New Roman" w:hAnsi="Times New Roman"/>
          <w:rtl/>
        </w:rPr>
        <w:t xml:space="preserve"> (חמ ___5762 - 3)</w:t>
      </w:r>
    </w:p>
    <w:p w:rsidR="002C2084" w:rsidRPr="008213E6" w:rsidRDefault="002C2084" w:rsidP="002C2084">
      <w:pPr>
        <w:rPr>
          <w:rFonts w:ascii="Times New Roman" w:hAnsi="Times New Roman"/>
          <w:rtl/>
        </w:rPr>
      </w:pPr>
    </w:p>
    <w:p w:rsidR="002C2084" w:rsidRPr="008213E6" w:rsidRDefault="002C2084" w:rsidP="002C2084">
      <w:pPr>
        <w:rPr>
          <w:rFonts w:ascii="Times New Roman" w:hAnsi="Times New Roman"/>
        </w:rPr>
      </w:pPr>
    </w:p>
    <w:p w:rsidR="002C2084" w:rsidRPr="008213E6" w:rsidRDefault="00571CAF" w:rsidP="002C2084">
      <w:pPr>
        <w:rPr>
          <w:rtl/>
        </w:rPr>
      </w:pPr>
      <w:r w:rsidRPr="008213E6">
        <w:rPr>
          <w:rFonts w:ascii="Times New Roman" w:hAnsi="Times New Roman"/>
          <w:rtl/>
        </w:rPr>
        <w:tab/>
      </w:r>
      <w:r w:rsidRPr="008213E6">
        <w:rPr>
          <w:rFonts w:ascii="Times New Roman" w:hAnsi="Times New Roman"/>
          <w:rtl/>
        </w:rPr>
        <w:tab/>
      </w:r>
      <w:r w:rsidRPr="008213E6">
        <w:rPr>
          <w:rFonts w:ascii="Times New Roman" w:hAnsi="Times New Roman"/>
          <w:rtl/>
        </w:rPr>
        <w:tab/>
      </w:r>
      <w:r w:rsidRPr="008213E6">
        <w:rPr>
          <w:rtl/>
        </w:rPr>
        <w:tab/>
      </w:r>
      <w:r w:rsidRPr="008213E6">
        <w:rPr>
          <w:rtl/>
        </w:rPr>
        <w:tab/>
      </w:r>
      <w:r w:rsidRPr="008213E6">
        <w:rPr>
          <w:rtl/>
        </w:rPr>
        <w:tab/>
      </w:r>
      <w:r w:rsidRPr="008213E6">
        <w:rPr>
          <w:rtl/>
        </w:rPr>
        <w:tab/>
        <w:t>__________________</w:t>
      </w:r>
    </w:p>
    <w:p w:rsidR="002C2084" w:rsidRPr="008213E6" w:rsidRDefault="00571CAF" w:rsidP="002C2084">
      <w:pPr>
        <w:ind w:left="2880"/>
        <w:jc w:val="center"/>
        <w:rPr>
          <w:rtl/>
        </w:rPr>
      </w:pPr>
      <w:r w:rsidRPr="008213E6">
        <w:rPr>
          <w:rFonts w:hint="cs"/>
          <w:rtl/>
        </w:rPr>
        <w:t>אורנה ברביבאי</w:t>
      </w:r>
    </w:p>
    <w:p w:rsidR="002C2084" w:rsidRPr="008213E6" w:rsidRDefault="00571CAF" w:rsidP="002C2084">
      <w:pPr>
        <w:ind w:left="2880"/>
        <w:jc w:val="center"/>
      </w:pPr>
      <w:r w:rsidRPr="008213E6">
        <w:rPr>
          <w:rtl/>
        </w:rPr>
        <w:t>שר</w:t>
      </w:r>
      <w:r w:rsidR="00212E92" w:rsidRPr="008213E6">
        <w:rPr>
          <w:rFonts w:hint="cs"/>
          <w:rtl/>
        </w:rPr>
        <w:t>ת</w:t>
      </w:r>
      <w:r w:rsidRPr="008213E6">
        <w:rPr>
          <w:rtl/>
        </w:rPr>
        <w:t xml:space="preserve"> הכלכלה והתעשייה</w:t>
      </w:r>
    </w:p>
    <w:p w:rsidR="002C2084" w:rsidRPr="008213E6" w:rsidRDefault="002C2084" w:rsidP="00307E94">
      <w:pPr>
        <w:pStyle w:val="HeadDivreiHesber"/>
        <w:rPr>
          <w:rtl/>
        </w:rPr>
      </w:pPr>
    </w:p>
    <w:p w:rsidR="002C2084" w:rsidRPr="00537828" w:rsidRDefault="002C2084" w:rsidP="00307E94">
      <w:pPr>
        <w:pStyle w:val="Hesber1st"/>
        <w:tabs>
          <w:tab w:val="clear" w:pos="680"/>
        </w:tabs>
        <w:rPr>
          <w:rtl/>
        </w:rPr>
      </w:pPr>
    </w:p>
    <w:p w:rsidR="002F770F" w:rsidRDefault="002F770F" w:rsidP="002F770F">
      <w:pPr>
        <w:pStyle w:val="HeadDivreiHesber"/>
        <w:rPr>
          <w:rtl/>
        </w:rPr>
      </w:pPr>
      <w:r>
        <w:rPr>
          <w:rtl/>
        </w:rPr>
        <w:t>דברי הסבר</w:t>
      </w:r>
    </w:p>
    <w:p w:rsidR="002F770F" w:rsidRDefault="002F770F" w:rsidP="002F770F">
      <w:pPr>
        <w:pStyle w:val="Hesber"/>
        <w:ind w:firstLine="0"/>
        <w:rPr>
          <w:rtl/>
        </w:rPr>
      </w:pPr>
      <w:r w:rsidRPr="00F6765B">
        <w:rPr>
          <w:rFonts w:hint="cs"/>
          <w:rtl/>
        </w:rPr>
        <w:t>בהתאם לאמור ב</w:t>
      </w:r>
      <w:r w:rsidRPr="00F6765B">
        <w:rPr>
          <w:rtl/>
        </w:rPr>
        <w:t>פקודת היבוא והיצוא</w:t>
      </w:r>
      <w:r w:rsidRPr="00F6765B">
        <w:rPr>
          <w:rFonts w:hint="cs"/>
          <w:rtl/>
        </w:rPr>
        <w:t>,</w:t>
      </w:r>
      <w:r w:rsidRPr="00F6765B">
        <w:rPr>
          <w:rtl/>
        </w:rPr>
        <w:t xml:space="preserve"> ב</w:t>
      </w:r>
      <w:r w:rsidRPr="00F6765B">
        <w:rPr>
          <w:rFonts w:hint="cs"/>
          <w:rtl/>
        </w:rPr>
        <w:t>סמ</w:t>
      </w:r>
      <w:r w:rsidRPr="00F6765B">
        <w:rPr>
          <w:rtl/>
        </w:rPr>
        <w:t>כות שרת הכלכלה והתעשייה</w:t>
      </w:r>
      <w:r w:rsidRPr="00F6765B">
        <w:rPr>
          <w:rFonts w:hint="cs"/>
          <w:rtl/>
        </w:rPr>
        <w:t>,</w:t>
      </w:r>
      <w:r w:rsidRPr="00F6765B">
        <w:rPr>
          <w:rtl/>
        </w:rPr>
        <w:t xml:space="preserve"> להתקין</w:t>
      </w:r>
      <w:r w:rsidRPr="003903C9">
        <w:rPr>
          <w:rFonts w:hint="cs"/>
          <w:rtl/>
        </w:rPr>
        <w:t xml:space="preserve"> את</w:t>
      </w:r>
      <w:r w:rsidRPr="003903C9">
        <w:rPr>
          <w:rtl/>
        </w:rPr>
        <w:t xml:space="preserve"> צו היבוא והיצוא (קבוצות יבוא)</w:t>
      </w:r>
      <w:r w:rsidRPr="00A8765A">
        <w:rPr>
          <w:rFonts w:hint="cs"/>
          <w:rtl/>
        </w:rPr>
        <w:t xml:space="preserve"> (להלן </w:t>
      </w:r>
      <w:r w:rsidRPr="00A8765A">
        <w:rPr>
          <w:rtl/>
        </w:rPr>
        <w:t>–</w:t>
      </w:r>
      <w:r w:rsidRPr="00A8765A">
        <w:rPr>
          <w:rFonts w:hint="cs"/>
          <w:rtl/>
        </w:rPr>
        <w:t xml:space="preserve"> צו קבוצות יבוא)</w:t>
      </w:r>
      <w:r w:rsidRPr="00A8765A">
        <w:rPr>
          <w:rtl/>
        </w:rPr>
        <w:t>.</w:t>
      </w:r>
      <w:r w:rsidRPr="00A8765A">
        <w:rPr>
          <w:rFonts w:hint="cs"/>
          <w:rtl/>
        </w:rPr>
        <w:t xml:space="preserve"> </w:t>
      </w:r>
      <w:r w:rsidRPr="00F6765B">
        <w:rPr>
          <w:rtl/>
        </w:rPr>
        <w:t xml:space="preserve">הצו כאמור </w:t>
      </w:r>
      <w:r w:rsidRPr="00F6765B">
        <w:rPr>
          <w:rFonts w:hint="eastAsia"/>
          <w:rtl/>
        </w:rPr>
        <w:t>ממיין</w:t>
      </w:r>
      <w:r w:rsidRPr="00F6765B">
        <w:rPr>
          <w:rtl/>
        </w:rPr>
        <w:t xml:space="preserve"> </w:t>
      </w:r>
      <w:r w:rsidRPr="00F6765B">
        <w:rPr>
          <w:rFonts w:hint="eastAsia"/>
          <w:rtl/>
        </w:rPr>
        <w:t>טובין</w:t>
      </w:r>
      <w:r w:rsidRPr="00F6765B">
        <w:rPr>
          <w:rtl/>
        </w:rPr>
        <w:t xml:space="preserve"> </w:t>
      </w:r>
      <w:r w:rsidRPr="00F6765B">
        <w:rPr>
          <w:rFonts w:hint="eastAsia"/>
          <w:rtl/>
        </w:rPr>
        <w:t>שחל</w:t>
      </w:r>
      <w:r w:rsidRPr="00F6765B">
        <w:rPr>
          <w:rtl/>
        </w:rPr>
        <w:t xml:space="preserve"> </w:t>
      </w:r>
      <w:r w:rsidRPr="00F6765B">
        <w:rPr>
          <w:rFonts w:hint="eastAsia"/>
          <w:rtl/>
        </w:rPr>
        <w:t>עליהם</w:t>
      </w:r>
      <w:r w:rsidRPr="00F6765B">
        <w:rPr>
          <w:rtl/>
        </w:rPr>
        <w:t xml:space="preserve"> </w:t>
      </w:r>
      <w:r w:rsidRPr="00F6765B">
        <w:rPr>
          <w:rFonts w:hint="eastAsia"/>
          <w:rtl/>
        </w:rPr>
        <w:t>תקן</w:t>
      </w:r>
      <w:r w:rsidRPr="00F6765B">
        <w:rPr>
          <w:rtl/>
        </w:rPr>
        <w:t xml:space="preserve"> </w:t>
      </w:r>
      <w:r w:rsidRPr="00F6765B">
        <w:rPr>
          <w:rFonts w:hint="eastAsia"/>
          <w:rtl/>
        </w:rPr>
        <w:t>רשמי</w:t>
      </w:r>
      <w:r w:rsidRPr="00F6765B">
        <w:rPr>
          <w:rtl/>
        </w:rPr>
        <w:t xml:space="preserve"> </w:t>
      </w:r>
      <w:r w:rsidRPr="00F6765B">
        <w:rPr>
          <w:rFonts w:hint="eastAsia"/>
          <w:rtl/>
        </w:rPr>
        <w:t>לארבע</w:t>
      </w:r>
      <w:r w:rsidRPr="00F6765B">
        <w:rPr>
          <w:rtl/>
        </w:rPr>
        <w:t xml:space="preserve"> </w:t>
      </w:r>
      <w:r w:rsidRPr="00F6765B">
        <w:rPr>
          <w:rFonts w:hint="eastAsia"/>
          <w:rtl/>
        </w:rPr>
        <w:t>קבוצות</w:t>
      </w:r>
      <w:r w:rsidRPr="00F6765B">
        <w:rPr>
          <w:rtl/>
        </w:rPr>
        <w:t xml:space="preserve"> </w:t>
      </w:r>
      <w:r w:rsidRPr="00F6765B">
        <w:rPr>
          <w:rFonts w:hint="eastAsia"/>
          <w:rtl/>
        </w:rPr>
        <w:t>יבוא</w:t>
      </w:r>
      <w:r w:rsidRPr="00F6765B">
        <w:rPr>
          <w:rtl/>
        </w:rPr>
        <w:t xml:space="preserve"> </w:t>
      </w:r>
      <w:r w:rsidRPr="00F6765B">
        <w:rPr>
          <w:rFonts w:hint="eastAsia"/>
          <w:rtl/>
        </w:rPr>
        <w:t>שונות</w:t>
      </w:r>
      <w:r w:rsidRPr="00F6765B">
        <w:rPr>
          <w:rtl/>
        </w:rPr>
        <w:t xml:space="preserve"> </w:t>
      </w:r>
      <w:r w:rsidRPr="00F6765B">
        <w:rPr>
          <w:rFonts w:hint="eastAsia"/>
          <w:rtl/>
        </w:rPr>
        <w:t>המתבססות</w:t>
      </w:r>
      <w:r w:rsidRPr="00F6765B">
        <w:rPr>
          <w:rtl/>
        </w:rPr>
        <w:t xml:space="preserve"> </w:t>
      </w:r>
      <w:r w:rsidRPr="00F6765B">
        <w:rPr>
          <w:rFonts w:hint="eastAsia"/>
          <w:rtl/>
        </w:rPr>
        <w:t>על</w:t>
      </w:r>
      <w:r w:rsidRPr="00F6765B">
        <w:rPr>
          <w:rtl/>
        </w:rPr>
        <w:t xml:space="preserve"> רמות בדיקה, </w:t>
      </w:r>
      <w:r w:rsidRPr="00F6765B">
        <w:rPr>
          <w:rFonts w:hint="eastAsia"/>
          <w:rtl/>
        </w:rPr>
        <w:t>בהתאם</w:t>
      </w:r>
      <w:r w:rsidRPr="00F6765B">
        <w:rPr>
          <w:rtl/>
        </w:rPr>
        <w:t xml:space="preserve"> </w:t>
      </w:r>
      <w:r w:rsidRPr="00F6765B">
        <w:rPr>
          <w:rFonts w:hint="eastAsia"/>
          <w:rtl/>
        </w:rPr>
        <w:t>לרמת</w:t>
      </w:r>
      <w:r w:rsidRPr="00F6765B">
        <w:rPr>
          <w:rtl/>
        </w:rPr>
        <w:t xml:space="preserve"> </w:t>
      </w:r>
      <w:r w:rsidRPr="00F6765B">
        <w:rPr>
          <w:rFonts w:hint="eastAsia"/>
          <w:rtl/>
        </w:rPr>
        <w:t>הסיכון</w:t>
      </w:r>
      <w:r w:rsidRPr="00F6765B">
        <w:rPr>
          <w:rtl/>
        </w:rPr>
        <w:t xml:space="preserve"> </w:t>
      </w:r>
      <w:r w:rsidRPr="00F6765B">
        <w:rPr>
          <w:rFonts w:hint="eastAsia"/>
          <w:rtl/>
        </w:rPr>
        <w:t>הטמונה</w:t>
      </w:r>
      <w:r w:rsidRPr="00F6765B">
        <w:rPr>
          <w:rtl/>
        </w:rPr>
        <w:t xml:space="preserve"> </w:t>
      </w:r>
      <w:r w:rsidRPr="00F6765B">
        <w:rPr>
          <w:rFonts w:hint="eastAsia"/>
          <w:rtl/>
        </w:rPr>
        <w:t>בטובין</w:t>
      </w:r>
      <w:r w:rsidRPr="00F6765B">
        <w:rPr>
          <w:rtl/>
        </w:rPr>
        <w:t>.  לכל קבוצ</w:t>
      </w:r>
      <w:r w:rsidRPr="00F6765B">
        <w:rPr>
          <w:rFonts w:hint="eastAsia"/>
          <w:rtl/>
        </w:rPr>
        <w:t>ת</w:t>
      </w:r>
      <w:r w:rsidRPr="00F6765B">
        <w:rPr>
          <w:rtl/>
        </w:rPr>
        <w:t xml:space="preserve"> יבוא </w:t>
      </w:r>
      <w:r w:rsidRPr="00F6765B">
        <w:rPr>
          <w:rFonts w:hint="eastAsia"/>
          <w:rtl/>
        </w:rPr>
        <w:t>קיים</w:t>
      </w:r>
      <w:r w:rsidRPr="00F6765B">
        <w:rPr>
          <w:rtl/>
        </w:rPr>
        <w:t xml:space="preserve"> משטר בדיקות המתבצע </w:t>
      </w:r>
      <w:r w:rsidRPr="00F6765B">
        <w:rPr>
          <w:rFonts w:hint="eastAsia"/>
          <w:rtl/>
        </w:rPr>
        <w:t>בעת</w:t>
      </w:r>
      <w:r w:rsidRPr="00F6765B">
        <w:rPr>
          <w:rtl/>
        </w:rPr>
        <w:t xml:space="preserve"> יבוא הטובין מהכבד (קבוצה מספר 1) לקל (קבוצה מספר 4).</w:t>
      </w:r>
    </w:p>
    <w:p w:rsidR="00842D6B" w:rsidRPr="00F6765B" w:rsidRDefault="00842D6B" w:rsidP="002F770F">
      <w:pPr>
        <w:pStyle w:val="Hesber"/>
        <w:ind w:firstLine="0"/>
        <w:rPr>
          <w:rtl/>
        </w:rPr>
      </w:pPr>
    </w:p>
    <w:p w:rsidR="00842D6B" w:rsidRPr="00842D6B" w:rsidRDefault="00842D6B" w:rsidP="00842D6B">
      <w:pPr>
        <w:pStyle w:val="Hesber"/>
        <w:ind w:firstLine="0"/>
        <w:rPr>
          <w:b/>
          <w:bCs/>
          <w:rtl/>
        </w:rPr>
      </w:pPr>
      <w:r w:rsidRPr="00842D6B">
        <w:rPr>
          <w:rFonts w:hint="cs"/>
          <w:b/>
          <w:bCs/>
          <w:rtl/>
        </w:rPr>
        <w:t xml:space="preserve">תוספת ראשונה </w:t>
      </w:r>
      <w:r w:rsidRPr="00842D6B">
        <w:rPr>
          <w:b/>
          <w:bCs/>
          <w:rtl/>
        </w:rPr>
        <w:t>–</w:t>
      </w:r>
      <w:r w:rsidRPr="00842D6B">
        <w:rPr>
          <w:rFonts w:hint="cs"/>
          <w:b/>
          <w:bCs/>
          <w:rtl/>
        </w:rPr>
        <w:t xml:space="preserve"> קבוצה מספר 1 </w:t>
      </w:r>
      <w:r w:rsidRPr="00842D6B">
        <w:rPr>
          <w:b/>
          <w:bCs/>
          <w:rtl/>
        </w:rPr>
        <w:t>–</w:t>
      </w:r>
      <w:r w:rsidRPr="00842D6B">
        <w:rPr>
          <w:rFonts w:hint="cs"/>
          <w:b/>
          <w:bCs/>
          <w:rtl/>
        </w:rPr>
        <w:t xml:space="preserve"> </w:t>
      </w:r>
    </w:p>
    <w:p w:rsidR="00842D6B" w:rsidRDefault="00842D6B" w:rsidP="005F3DEC">
      <w:pPr>
        <w:pStyle w:val="Hesber"/>
        <w:ind w:firstLine="0"/>
        <w:rPr>
          <w:rtl/>
        </w:rPr>
      </w:pPr>
    </w:p>
    <w:p w:rsidR="00EF1537" w:rsidRDefault="00EF1537" w:rsidP="005F3DEC">
      <w:pPr>
        <w:pStyle w:val="Hesber"/>
        <w:ind w:firstLine="0"/>
        <w:rPr>
          <w:rtl/>
        </w:rPr>
      </w:pPr>
      <w:r>
        <w:rPr>
          <w:rFonts w:hint="cs"/>
          <w:rtl/>
        </w:rPr>
        <w:t xml:space="preserve">על פי הוראות הפקודה, לקבוצה מספר 1 </w:t>
      </w:r>
      <w:proofErr w:type="spellStart"/>
      <w:r>
        <w:rPr>
          <w:rFonts w:hint="cs"/>
          <w:rtl/>
        </w:rPr>
        <w:t>ישוייכו</w:t>
      </w:r>
      <w:proofErr w:type="spellEnd"/>
      <w:r>
        <w:rPr>
          <w:rFonts w:hint="cs"/>
          <w:rtl/>
        </w:rPr>
        <w:t xml:space="preserve"> </w:t>
      </w:r>
      <w:r w:rsidRPr="00EF1537">
        <w:rPr>
          <w:rtl/>
        </w:rPr>
        <w:t>טובין שחל עליהם תק רשמי והם מסוגים אלה: ציוד הרמה, ציוד לחץ; אביזרים או מכשירים המשמשים במערכות גז פחמימני מעובה (גז בישול) ובכלל זה מכלי גז, ווסתים, מונים, ברזים, צנרת, מכשירים צורכי גז; אמצעי בטיחות אש וציוד לגילוי וכיבוי אש; ברזל לזיון בטון; מתקנים לילדים במגרשי משחקים; צעצועים לילדים עד גיל שלוש; מוצצים ופטמות; מחזיק מוצץ; בקבוקים וכלי אוכל להזנת תינוקות; וכבלי חשמל למתח נמוך ובינוני</w:t>
      </w:r>
      <w:r>
        <w:rPr>
          <w:rFonts w:hint="cs"/>
          <w:rtl/>
        </w:rPr>
        <w:t>.</w:t>
      </w:r>
      <w:r>
        <w:rPr>
          <w:rtl/>
        </w:rPr>
        <w:tab/>
      </w:r>
    </w:p>
    <w:p w:rsidR="00B96431" w:rsidRDefault="00B96431" w:rsidP="005F3DEC">
      <w:pPr>
        <w:pStyle w:val="Hesber"/>
        <w:ind w:firstLine="0"/>
        <w:rPr>
          <w:rtl/>
        </w:rPr>
      </w:pPr>
    </w:p>
    <w:p w:rsidR="00B96431" w:rsidRDefault="00B96431" w:rsidP="005F3DEC">
      <w:pPr>
        <w:pStyle w:val="Hesber"/>
        <w:ind w:firstLine="0"/>
        <w:rPr>
          <w:rtl/>
        </w:rPr>
      </w:pPr>
      <w:r>
        <w:rPr>
          <w:rFonts w:hint="cs"/>
          <w:rtl/>
        </w:rPr>
        <w:lastRenderedPageBreak/>
        <w:t xml:space="preserve">עוד נקבע כי </w:t>
      </w:r>
      <w:proofErr w:type="spellStart"/>
      <w:r>
        <w:rPr>
          <w:rFonts w:hint="cs"/>
          <w:rtl/>
        </w:rPr>
        <w:t>ישוייכו</w:t>
      </w:r>
      <w:proofErr w:type="spellEnd"/>
      <w:r>
        <w:rPr>
          <w:rFonts w:hint="cs"/>
          <w:rtl/>
        </w:rPr>
        <w:t xml:space="preserve"> לקבוצה מספר 1 גם: </w:t>
      </w:r>
    </w:p>
    <w:p w:rsidR="00B96431" w:rsidRDefault="00B96431" w:rsidP="005F3DEC">
      <w:pPr>
        <w:pStyle w:val="Hesber"/>
        <w:ind w:firstLine="0"/>
        <w:rPr>
          <w:rtl/>
        </w:rPr>
      </w:pPr>
      <w:r>
        <w:rPr>
          <w:rFonts w:hint="cs"/>
          <w:rtl/>
        </w:rPr>
        <w:t>"</w:t>
      </w:r>
      <w:r w:rsidRPr="00B96431">
        <w:rPr>
          <w:rtl/>
        </w:rPr>
        <w:t>טובין שחל עליהם תקן רשמי והם מסוגים אלה: דודי חשמל ומערכות סולריות; אבני חיתוך והשחזה ותרמוסטטים; שר הכלכלה והתעשייה יקבע את החובה להמצאת אישור דגם ואישור משלוח לעניין טובים כאמור כך שתחול לתקופה של שישה חודשים מיום תחילת הסימן כהגדרתו בסעיף 98(א) לחוק התכנית הכלכלית (תיקוני חקיקה ליישום המדיניות הכלכלית לשנות התקציב 2021 ו-2022), התשפ"ב-2021, ורשאי הוא להאריך את התקופה האמורה בתקופה אחת נוספת שלא תעלה על שישה חודשים אם מצא שיש הצדקה לעשות כן; בתום התקופה שבה תחול החובה להמצאת אישור דגם ואישור משלוח כאמור, יקבע שר הכלכלה והתעשייה לגבי טובין לפי פסקה זו חובת הגשת הצהרה בכפוף להוראות סעיף 2א(ג);</w:t>
      </w:r>
      <w:r>
        <w:rPr>
          <w:rFonts w:hint="cs"/>
          <w:rtl/>
        </w:rPr>
        <w:t>"</w:t>
      </w:r>
    </w:p>
    <w:p w:rsidR="00EF1537" w:rsidRDefault="00EF1537" w:rsidP="005F3DEC">
      <w:pPr>
        <w:pStyle w:val="Hesber"/>
        <w:ind w:firstLine="0"/>
        <w:rPr>
          <w:rtl/>
        </w:rPr>
      </w:pPr>
    </w:p>
    <w:p w:rsidR="00EF1537" w:rsidRDefault="00EF1537" w:rsidP="005F3DEC">
      <w:pPr>
        <w:pStyle w:val="Hesber"/>
        <w:ind w:firstLine="0"/>
        <w:rPr>
          <w:rtl/>
        </w:rPr>
      </w:pPr>
      <w:r>
        <w:rPr>
          <w:rFonts w:hint="cs"/>
          <w:rtl/>
        </w:rPr>
        <w:t>בהתאם לכך נבחנו התקנים הכלולים בהגדרות האמורות והם הוכנסו לתוספת הראשונה</w:t>
      </w:r>
      <w:r w:rsidR="00B96431">
        <w:rPr>
          <w:rFonts w:hint="cs"/>
          <w:rtl/>
        </w:rPr>
        <w:t>, כאשר לגבי הטובין המפורטים לעיל, הוגבלה התקופה לחצי שנה. תקנים אלו הוכנסו גם לתוספת השלישית בהתאם לברירת המחדל של החוק החל מתום 6 החודשים הראשונים. אם וכאשר תחליט השרה להאריך את התקופה של שיוך תקנים אלו לקבוצה 1, או תחליט לדרוש לגבם גם אישור דגם, יפורסם תיקון לצו</w:t>
      </w:r>
      <w:r>
        <w:rPr>
          <w:rFonts w:hint="cs"/>
          <w:rtl/>
        </w:rPr>
        <w:t xml:space="preserve">. </w:t>
      </w:r>
      <w:r>
        <w:rPr>
          <w:rtl/>
        </w:rPr>
        <w:tab/>
      </w:r>
    </w:p>
    <w:p w:rsidR="00EF1537" w:rsidRDefault="00EF1537" w:rsidP="005F3DEC">
      <w:pPr>
        <w:pStyle w:val="Hesber"/>
        <w:ind w:firstLine="0"/>
        <w:rPr>
          <w:rtl/>
        </w:rPr>
      </w:pPr>
    </w:p>
    <w:p w:rsidR="00842D6B" w:rsidRPr="00842D6B" w:rsidRDefault="00842D6B" w:rsidP="005F3DEC">
      <w:pPr>
        <w:pStyle w:val="Hesber"/>
        <w:ind w:firstLine="0"/>
        <w:rPr>
          <w:b/>
          <w:bCs/>
          <w:rtl/>
        </w:rPr>
      </w:pPr>
      <w:r w:rsidRPr="00842D6B">
        <w:rPr>
          <w:rFonts w:hint="cs"/>
          <w:b/>
          <w:bCs/>
          <w:rtl/>
        </w:rPr>
        <w:t xml:space="preserve">תוספת שניה ושלישית </w:t>
      </w:r>
      <w:r w:rsidRPr="00842D6B">
        <w:rPr>
          <w:b/>
          <w:bCs/>
          <w:rtl/>
        </w:rPr>
        <w:t>–</w:t>
      </w:r>
      <w:r w:rsidRPr="00842D6B">
        <w:rPr>
          <w:rFonts w:hint="cs"/>
          <w:b/>
          <w:bCs/>
          <w:rtl/>
        </w:rPr>
        <w:t xml:space="preserve"> קבוצות 2 ו-3</w:t>
      </w:r>
    </w:p>
    <w:p w:rsidR="00842D6B" w:rsidRDefault="00842D6B" w:rsidP="005F3DEC">
      <w:pPr>
        <w:pStyle w:val="Hesber"/>
        <w:ind w:firstLine="0"/>
        <w:rPr>
          <w:rtl/>
        </w:rPr>
      </w:pPr>
    </w:p>
    <w:p w:rsidR="00EF1537" w:rsidRDefault="00EF1537" w:rsidP="005F3DEC">
      <w:pPr>
        <w:pStyle w:val="Hesber"/>
        <w:ind w:firstLine="0"/>
        <w:rPr>
          <w:rtl/>
        </w:rPr>
      </w:pPr>
      <w:r>
        <w:rPr>
          <w:rFonts w:hint="cs"/>
          <w:rtl/>
        </w:rPr>
        <w:t>לגבי כל יתר התקנים, נקבעה בפקודה ברירת מחדל על פיה יאושר היבוא של הטובין עליהם חל התקן בכפוף להגשת ה</w:t>
      </w:r>
      <w:r w:rsidRPr="00EF1537">
        <w:rPr>
          <w:rtl/>
        </w:rPr>
        <w:t>צהרה לממונה על התקינה בדבר התאמת הטובין לדרישות התקן הרשמי החל עליהם</w:t>
      </w:r>
      <w:r>
        <w:rPr>
          <w:rFonts w:hint="cs"/>
          <w:rtl/>
        </w:rPr>
        <w:t xml:space="preserve"> </w:t>
      </w:r>
      <w:r w:rsidRPr="00EF1537">
        <w:rPr>
          <w:rtl/>
        </w:rPr>
        <w:t>ולא יחילו חובה להמצאת אישור בדיקת מעבדה</w:t>
      </w:r>
      <w:r>
        <w:rPr>
          <w:rFonts w:hint="cs"/>
          <w:rtl/>
        </w:rPr>
        <w:t>.</w:t>
      </w:r>
      <w:r>
        <w:rPr>
          <w:rtl/>
        </w:rPr>
        <w:tab/>
      </w:r>
    </w:p>
    <w:p w:rsidR="00B96431" w:rsidRDefault="00B96431" w:rsidP="005F3DEC">
      <w:pPr>
        <w:pStyle w:val="Hesber"/>
        <w:ind w:firstLine="0"/>
        <w:rPr>
          <w:rtl/>
        </w:rPr>
      </w:pPr>
    </w:p>
    <w:p w:rsidR="00B96431" w:rsidRDefault="00B96431" w:rsidP="00B96431">
      <w:pPr>
        <w:pStyle w:val="Hesber"/>
        <w:rPr>
          <w:rtl/>
        </w:rPr>
      </w:pPr>
      <w:r>
        <w:rPr>
          <w:rFonts w:hint="cs"/>
          <w:rtl/>
        </w:rPr>
        <w:t xml:space="preserve">על אף ברירת המחדל האמורה, נקבע בפקודה כי </w:t>
      </w:r>
      <w:r>
        <w:rPr>
          <w:rtl/>
        </w:rPr>
        <w:t>נוסף על חובת הגשת הצהרה כאמור</w:t>
      </w:r>
      <w:r>
        <w:rPr>
          <w:rFonts w:hint="cs"/>
          <w:rtl/>
        </w:rPr>
        <w:t>, השרה רשאית לקבוע</w:t>
      </w:r>
      <w:r>
        <w:rPr>
          <w:rtl/>
        </w:rPr>
        <w:t xml:space="preserve"> חובה להמצאת אישור דגם</w:t>
      </w:r>
      <w:r>
        <w:rPr>
          <w:rFonts w:hint="cs"/>
          <w:rtl/>
        </w:rPr>
        <w:t xml:space="preserve"> וזאת </w:t>
      </w:r>
      <w:r>
        <w:rPr>
          <w:rtl/>
        </w:rPr>
        <w:t>, לאחר קבלת המלצת צוות שבו חברים כל אלה</w:t>
      </w:r>
      <w:r>
        <w:rPr>
          <w:rFonts w:hint="cs"/>
          <w:rtl/>
        </w:rPr>
        <w:t xml:space="preserve"> (להלן </w:t>
      </w:r>
      <w:r>
        <w:rPr>
          <w:rtl/>
        </w:rPr>
        <w:t>–</w:t>
      </w:r>
      <w:r>
        <w:rPr>
          <w:rFonts w:hint="cs"/>
          <w:rtl/>
        </w:rPr>
        <w:t xml:space="preserve"> הצוות)</w:t>
      </w:r>
      <w:r>
        <w:rPr>
          <w:rtl/>
        </w:rPr>
        <w:t>:</w:t>
      </w:r>
    </w:p>
    <w:p w:rsidR="00B96431" w:rsidRDefault="00B96431" w:rsidP="00B96431">
      <w:pPr>
        <w:pStyle w:val="Hesber"/>
        <w:rPr>
          <w:rtl/>
        </w:rPr>
      </w:pPr>
      <w:r>
        <w:rPr>
          <w:rtl/>
        </w:rPr>
        <w:t>(1) המנהל הכללי של משרד הכלכלה והתעשייה אשר יכהן כיושב ראש הצוות;</w:t>
      </w:r>
    </w:p>
    <w:p w:rsidR="00B96431" w:rsidRDefault="00B96431" w:rsidP="00B96431">
      <w:pPr>
        <w:pStyle w:val="Hesber"/>
        <w:rPr>
          <w:rtl/>
        </w:rPr>
      </w:pPr>
      <w:r>
        <w:rPr>
          <w:rtl/>
        </w:rPr>
        <w:t>(2) הממונה על התקינה;</w:t>
      </w:r>
    </w:p>
    <w:p w:rsidR="00B96431" w:rsidRDefault="00B96431" w:rsidP="00B96431">
      <w:pPr>
        <w:pStyle w:val="Hesber"/>
        <w:rPr>
          <w:rtl/>
        </w:rPr>
      </w:pPr>
      <w:r>
        <w:rPr>
          <w:rtl/>
        </w:rPr>
        <w:t>(3) הממונה על התקציבים במשרד האוצר או עובד אגף התקציבים שהוא מינה לכך;</w:t>
      </w:r>
    </w:p>
    <w:p w:rsidR="00B96431" w:rsidRDefault="00B96431" w:rsidP="00B96431">
      <w:pPr>
        <w:pStyle w:val="Hesber"/>
        <w:rPr>
          <w:rtl/>
        </w:rPr>
      </w:pPr>
      <w:r>
        <w:rPr>
          <w:rtl/>
        </w:rPr>
        <w:t>(4) הממונה על התחרות או עובד רשות התחרות שהוא מינה לכך;</w:t>
      </w:r>
    </w:p>
    <w:p w:rsidR="00B96431" w:rsidRDefault="00B96431" w:rsidP="00B96431">
      <w:pPr>
        <w:pStyle w:val="Hesber"/>
        <w:rPr>
          <w:rtl/>
        </w:rPr>
      </w:pPr>
      <w:r>
        <w:rPr>
          <w:rtl/>
        </w:rPr>
        <w:t>(5) השר הממונה, כמשמעותו בסעיף 8(ד) לחוק התקנים (בסעיף זה – השר הממונה), או עובד המשרד שהוא מינה לכך;</w:t>
      </w:r>
    </w:p>
    <w:p w:rsidR="00B96431" w:rsidRDefault="00B96431" w:rsidP="00B96431">
      <w:pPr>
        <w:pStyle w:val="Hesber"/>
        <w:rPr>
          <w:rtl/>
        </w:rPr>
      </w:pPr>
    </w:p>
    <w:p w:rsidR="00B96431" w:rsidRDefault="00B96431" w:rsidP="00B96431">
      <w:pPr>
        <w:pStyle w:val="Hesber"/>
        <w:rPr>
          <w:rtl/>
        </w:rPr>
      </w:pPr>
      <w:r>
        <w:rPr>
          <w:rFonts w:hint="cs"/>
          <w:rtl/>
        </w:rPr>
        <w:t xml:space="preserve">הצוות התכנס, גיבש המלצותיו בהתאם להוראות הפקודה והציג המלצות אלו לשרה. לאחר קבלת המלצות אלו בחנה השרה את התקנים השונים והצו הנוכחי מהווה הקביעה של השרה בדבר התקנים </w:t>
      </w:r>
      <w:proofErr w:type="spellStart"/>
      <w:r>
        <w:rPr>
          <w:rFonts w:hint="cs"/>
          <w:rtl/>
        </w:rPr>
        <w:t>המשוייכים</w:t>
      </w:r>
      <w:proofErr w:type="spellEnd"/>
      <w:r>
        <w:rPr>
          <w:rFonts w:hint="cs"/>
          <w:rtl/>
        </w:rPr>
        <w:t xml:space="preserve"> לקבוצות היבוא </w:t>
      </w:r>
    </w:p>
    <w:p w:rsidR="00B96431" w:rsidRPr="00842D6B" w:rsidRDefault="00B96431" w:rsidP="00B96431">
      <w:pPr>
        <w:pStyle w:val="Hesber"/>
        <w:rPr>
          <w:b/>
          <w:bCs/>
          <w:rtl/>
        </w:rPr>
      </w:pPr>
    </w:p>
    <w:p w:rsidR="00842D6B" w:rsidRDefault="00842D6B" w:rsidP="00B96431">
      <w:pPr>
        <w:pStyle w:val="Hesber"/>
        <w:rPr>
          <w:rtl/>
        </w:rPr>
      </w:pPr>
      <w:r w:rsidRPr="00842D6B">
        <w:rPr>
          <w:rFonts w:hint="cs"/>
          <w:b/>
          <w:bCs/>
          <w:rtl/>
        </w:rPr>
        <w:t xml:space="preserve">תוספת רביעית </w:t>
      </w:r>
      <w:r w:rsidRPr="00842D6B">
        <w:rPr>
          <w:b/>
          <w:bCs/>
          <w:rtl/>
        </w:rPr>
        <w:t>–</w:t>
      </w:r>
      <w:r w:rsidRPr="00842D6B">
        <w:rPr>
          <w:rFonts w:hint="cs"/>
          <w:b/>
          <w:bCs/>
          <w:rtl/>
        </w:rPr>
        <w:t xml:space="preserve"> קבוצה מספר 4</w:t>
      </w:r>
      <w:r>
        <w:rPr>
          <w:rtl/>
        </w:rPr>
        <w:tab/>
      </w:r>
    </w:p>
    <w:p w:rsidR="005F3DEC" w:rsidRPr="005F3DEC" w:rsidRDefault="00842D6B" w:rsidP="00842D6B">
      <w:pPr>
        <w:pStyle w:val="Hesber"/>
      </w:pPr>
      <w:r>
        <w:rPr>
          <w:rFonts w:hint="cs"/>
          <w:rtl/>
        </w:rPr>
        <w:t xml:space="preserve">מדובר בטובין שמיובאים לתעשייה בלבד ולגביהם יינתן פטור מהצגת אישור עמידה בתקן הישראלי (אישור ת"ר) זאת כיוון שהטובין מיועדים לשימוש התעשייה ואינם עוברים לשימוש הצרכן כפי שהם. </w:t>
      </w:r>
      <w:r>
        <w:rPr>
          <w:rtl/>
        </w:rPr>
        <w:tab/>
      </w:r>
    </w:p>
    <w:p w:rsidR="005F3DEC" w:rsidRDefault="005F3DEC" w:rsidP="005F3DEC"/>
    <w:p w:rsidR="00626C24" w:rsidRPr="005F3DEC" w:rsidRDefault="00626C24" w:rsidP="005F3DEC">
      <w:pPr>
        <w:tabs>
          <w:tab w:val="left" w:pos="1240"/>
        </w:tabs>
      </w:pPr>
    </w:p>
    <w:sectPr w:rsidR="00626C24" w:rsidRPr="005F3DEC" w:rsidSect="002C2084">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D25" w:rsidRDefault="005B2D25">
      <w:pPr>
        <w:spacing w:line="240" w:lineRule="auto"/>
      </w:pPr>
      <w:r>
        <w:separator/>
      </w:r>
    </w:p>
  </w:endnote>
  <w:endnote w:type="continuationSeparator" w:id="0">
    <w:p w:rsidR="005B2D25" w:rsidRDefault="005B2D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D25" w:rsidRDefault="005B2D25" w:rsidP="00AA346C">
      <w:pPr>
        <w:spacing w:line="240" w:lineRule="auto"/>
        <w:ind w:left="0"/>
      </w:pPr>
      <w:r>
        <w:separator/>
      </w:r>
    </w:p>
  </w:footnote>
  <w:footnote w:type="continuationSeparator" w:id="0">
    <w:p w:rsidR="005B2D25" w:rsidRDefault="005B2D25" w:rsidP="002C2084">
      <w:pPr>
        <w:spacing w:line="240" w:lineRule="auto"/>
      </w:pPr>
      <w:r>
        <w:continuationSeparator/>
      </w:r>
    </w:p>
  </w:footnote>
  <w:footnote w:id="1">
    <w:p w:rsidR="002C2084" w:rsidRDefault="00571CAF" w:rsidP="002C2084">
      <w:pPr>
        <w:pStyle w:val="a5"/>
        <w:rPr>
          <w:rtl/>
        </w:rPr>
      </w:pPr>
      <w:r>
        <w:rPr>
          <w:rStyle w:val="a7"/>
        </w:rPr>
        <w:footnoteRef/>
      </w:r>
      <w:r>
        <w:rPr>
          <w:rtl/>
        </w:rPr>
        <w:t xml:space="preserve"> </w:t>
      </w:r>
      <w:r>
        <w:rPr>
          <w:rFonts w:hint="cs"/>
          <w:rtl/>
        </w:rPr>
        <w:t>דיני מדינת ישראל, נוסח חדש 32, עמ' 625; ס"ח התשע"ד, עמ' 20; התשע"ז, עמ' 187.</w:t>
      </w:r>
    </w:p>
  </w:footnote>
  <w:footnote w:id="2">
    <w:p w:rsidR="002C2084" w:rsidRDefault="00571CAF" w:rsidP="002C2084">
      <w:pPr>
        <w:pStyle w:val="a5"/>
        <w:rPr>
          <w:rtl/>
        </w:rPr>
      </w:pPr>
      <w:r>
        <w:rPr>
          <w:rStyle w:val="a7"/>
        </w:rPr>
        <w:footnoteRef/>
      </w:r>
      <w:r>
        <w:rPr>
          <w:rtl/>
        </w:rPr>
        <w:t xml:space="preserve"> </w:t>
      </w:r>
      <w:r>
        <w:rPr>
          <w:rFonts w:hint="cs"/>
          <w:rtl/>
        </w:rPr>
        <w:t>ס"ח התשי"ג, עמ' 30.</w:t>
      </w:r>
    </w:p>
  </w:footnote>
  <w:footnote w:id="3">
    <w:p w:rsidR="00AA346C" w:rsidRDefault="00AA346C">
      <w:pPr>
        <w:pStyle w:val="a5"/>
      </w:pPr>
      <w:r>
        <w:rPr>
          <w:rStyle w:val="a7"/>
        </w:rPr>
        <w:footnoteRef/>
      </w:r>
      <w:r>
        <w:rPr>
          <w:rtl/>
        </w:rPr>
        <w:t xml:space="preserve"> </w:t>
      </w:r>
      <w:proofErr w:type="spellStart"/>
      <w:r w:rsidR="00CC5D3F">
        <w:rPr>
          <w:rFonts w:hint="cs"/>
          <w:rtl/>
        </w:rPr>
        <w:t>ק"ת</w:t>
      </w:r>
      <w:proofErr w:type="spellEnd"/>
      <w:r w:rsidR="00CC5D3F">
        <w:rPr>
          <w:rFonts w:hint="cs"/>
          <w:rtl/>
        </w:rPr>
        <w:t xml:space="preserve"> </w:t>
      </w:r>
      <w:r w:rsidR="00CC5D3F">
        <w:rPr>
          <w:rtl/>
        </w:rPr>
        <w:t>–</w:t>
      </w:r>
      <w:r w:rsidR="00CC5D3F">
        <w:rPr>
          <w:rFonts w:hint="cs"/>
          <w:rtl/>
        </w:rPr>
        <w:t xml:space="preserve"> שיעורי </w:t>
      </w:r>
      <w:proofErr w:type="spellStart"/>
      <w:r w:rsidR="00CC5D3F">
        <w:rPr>
          <w:rFonts w:hint="cs"/>
          <w:rtl/>
        </w:rPr>
        <w:t>מק"ח</w:t>
      </w:r>
      <w:proofErr w:type="spellEnd"/>
      <w:r w:rsidR="00CC5D3F">
        <w:rPr>
          <w:rFonts w:hint="cs"/>
          <w:rtl/>
        </w:rPr>
        <w:t xml:space="preserve">, </w:t>
      </w:r>
      <w:proofErr w:type="spellStart"/>
      <w:r w:rsidR="00CC5D3F">
        <w:rPr>
          <w:rFonts w:hint="cs"/>
          <w:rtl/>
        </w:rPr>
        <w:t>התשע"ד</w:t>
      </w:r>
      <w:proofErr w:type="spellEnd"/>
      <w:r w:rsidR="00CC5D3F">
        <w:rPr>
          <w:rFonts w:hint="cs"/>
          <w:rtl/>
        </w:rPr>
        <w:t>, עמ' 46.</w:t>
      </w:r>
    </w:p>
  </w:footnote>
  <w:footnote w:id="4">
    <w:p w:rsidR="00EE2500" w:rsidRDefault="00571CAF" w:rsidP="002C2084">
      <w:pPr>
        <w:pStyle w:val="a5"/>
        <w:rPr>
          <w:rtl/>
        </w:rPr>
      </w:pPr>
      <w:r>
        <w:rPr>
          <w:rStyle w:val="a7"/>
        </w:rPr>
        <w:footnoteRef/>
      </w:r>
      <w:r>
        <w:rPr>
          <w:rtl/>
        </w:rPr>
        <w:t xml:space="preserve"> </w:t>
      </w:r>
      <w:r>
        <w:rPr>
          <w:rFonts w:hint="cs"/>
          <w:rtl/>
        </w:rPr>
        <w:t xml:space="preserve">ס"ח </w:t>
      </w:r>
      <w:proofErr w:type="spellStart"/>
      <w:r>
        <w:rPr>
          <w:rFonts w:hint="cs"/>
          <w:rtl/>
        </w:rPr>
        <w:t>התשמ"א</w:t>
      </w:r>
      <w:proofErr w:type="spellEnd"/>
      <w:r>
        <w:rPr>
          <w:rFonts w:hint="cs"/>
          <w:rtl/>
        </w:rPr>
        <w:t>, עמ' 248.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71118"/>
    <w:multiLevelType w:val="hybridMultilevel"/>
    <w:tmpl w:val="EE98ECC4"/>
    <w:lvl w:ilvl="0" w:tplc="A8BEEE6C">
      <w:start w:val="1"/>
      <w:numFmt w:val="decimal"/>
      <w:lvlText w:val="(%1)"/>
      <w:lvlJc w:val="left"/>
      <w:pPr>
        <w:tabs>
          <w:tab w:val="num" w:pos="624"/>
        </w:tabs>
        <w:ind w:left="0" w:firstLine="0"/>
      </w:pPr>
    </w:lvl>
    <w:lvl w:ilvl="1" w:tplc="28DCFAFC" w:tentative="1">
      <w:start w:val="1"/>
      <w:numFmt w:val="lowerLetter"/>
      <w:lvlText w:val="%2."/>
      <w:lvlJc w:val="left"/>
      <w:pPr>
        <w:ind w:left="1440" w:hanging="360"/>
      </w:pPr>
    </w:lvl>
    <w:lvl w:ilvl="2" w:tplc="52B083AA" w:tentative="1">
      <w:start w:val="1"/>
      <w:numFmt w:val="lowerRoman"/>
      <w:lvlText w:val="%3."/>
      <w:lvlJc w:val="right"/>
      <w:pPr>
        <w:ind w:left="2160" w:hanging="180"/>
      </w:pPr>
    </w:lvl>
    <w:lvl w:ilvl="3" w:tplc="88A21290" w:tentative="1">
      <w:start w:val="1"/>
      <w:numFmt w:val="decimal"/>
      <w:lvlText w:val="%4."/>
      <w:lvlJc w:val="left"/>
      <w:pPr>
        <w:ind w:left="2880" w:hanging="360"/>
      </w:pPr>
    </w:lvl>
    <w:lvl w:ilvl="4" w:tplc="A5844968" w:tentative="1">
      <w:start w:val="1"/>
      <w:numFmt w:val="lowerLetter"/>
      <w:lvlText w:val="%5."/>
      <w:lvlJc w:val="left"/>
      <w:pPr>
        <w:ind w:left="3600" w:hanging="360"/>
      </w:pPr>
    </w:lvl>
    <w:lvl w:ilvl="5" w:tplc="6F6881DE" w:tentative="1">
      <w:start w:val="1"/>
      <w:numFmt w:val="lowerRoman"/>
      <w:lvlText w:val="%6."/>
      <w:lvlJc w:val="right"/>
      <w:pPr>
        <w:ind w:left="4320" w:hanging="180"/>
      </w:pPr>
    </w:lvl>
    <w:lvl w:ilvl="6" w:tplc="A81A58D6" w:tentative="1">
      <w:start w:val="1"/>
      <w:numFmt w:val="decimal"/>
      <w:lvlText w:val="%7."/>
      <w:lvlJc w:val="left"/>
      <w:pPr>
        <w:ind w:left="5040" w:hanging="360"/>
      </w:pPr>
    </w:lvl>
    <w:lvl w:ilvl="7" w:tplc="609E0598" w:tentative="1">
      <w:start w:val="1"/>
      <w:numFmt w:val="lowerLetter"/>
      <w:lvlText w:val="%8."/>
      <w:lvlJc w:val="left"/>
      <w:pPr>
        <w:ind w:left="5760" w:hanging="360"/>
      </w:pPr>
    </w:lvl>
    <w:lvl w:ilvl="8" w:tplc="DDB61950" w:tentative="1">
      <w:start w:val="1"/>
      <w:numFmt w:val="lowerRoman"/>
      <w:lvlText w:val="%9."/>
      <w:lvlJc w:val="right"/>
      <w:pPr>
        <w:ind w:left="6480" w:hanging="180"/>
      </w:pPr>
    </w:lvl>
  </w:abstractNum>
  <w:abstractNum w:abstractNumId="11" w15:restartNumberingAfterBreak="0">
    <w:nsid w:val="13B65E92"/>
    <w:multiLevelType w:val="hybridMultilevel"/>
    <w:tmpl w:val="9BBE3D2A"/>
    <w:lvl w:ilvl="0" w:tplc="384E820C">
      <w:start w:val="3"/>
      <w:numFmt w:val="bullet"/>
      <w:lvlText w:val="-"/>
      <w:lvlJc w:val="left"/>
      <w:pPr>
        <w:ind w:left="700" w:hanging="360"/>
      </w:pPr>
      <w:rPr>
        <w:rFonts w:ascii="David" w:eastAsiaTheme="minorHAnsi" w:hAnsi="David" w:cs="David" w:hint="default"/>
      </w:rPr>
    </w:lvl>
    <w:lvl w:ilvl="1" w:tplc="7C32E9BC" w:tentative="1">
      <w:start w:val="1"/>
      <w:numFmt w:val="bullet"/>
      <w:lvlText w:val="o"/>
      <w:lvlJc w:val="left"/>
      <w:pPr>
        <w:ind w:left="1420" w:hanging="360"/>
      </w:pPr>
      <w:rPr>
        <w:rFonts w:ascii="Courier New" w:hAnsi="Courier New" w:cs="Courier New" w:hint="default"/>
      </w:rPr>
    </w:lvl>
    <w:lvl w:ilvl="2" w:tplc="6812E8A2" w:tentative="1">
      <w:start w:val="1"/>
      <w:numFmt w:val="bullet"/>
      <w:lvlText w:val=""/>
      <w:lvlJc w:val="left"/>
      <w:pPr>
        <w:ind w:left="2140" w:hanging="360"/>
      </w:pPr>
      <w:rPr>
        <w:rFonts w:ascii="Wingdings" w:hAnsi="Wingdings" w:hint="default"/>
      </w:rPr>
    </w:lvl>
    <w:lvl w:ilvl="3" w:tplc="55C00E7E" w:tentative="1">
      <w:start w:val="1"/>
      <w:numFmt w:val="bullet"/>
      <w:lvlText w:val=""/>
      <w:lvlJc w:val="left"/>
      <w:pPr>
        <w:ind w:left="2860" w:hanging="360"/>
      </w:pPr>
      <w:rPr>
        <w:rFonts w:ascii="Symbol" w:hAnsi="Symbol" w:hint="default"/>
      </w:rPr>
    </w:lvl>
    <w:lvl w:ilvl="4" w:tplc="7C78807A" w:tentative="1">
      <w:start w:val="1"/>
      <w:numFmt w:val="bullet"/>
      <w:lvlText w:val="o"/>
      <w:lvlJc w:val="left"/>
      <w:pPr>
        <w:ind w:left="3580" w:hanging="360"/>
      </w:pPr>
      <w:rPr>
        <w:rFonts w:ascii="Courier New" w:hAnsi="Courier New" w:cs="Courier New" w:hint="default"/>
      </w:rPr>
    </w:lvl>
    <w:lvl w:ilvl="5" w:tplc="5C382892" w:tentative="1">
      <w:start w:val="1"/>
      <w:numFmt w:val="bullet"/>
      <w:lvlText w:val=""/>
      <w:lvlJc w:val="left"/>
      <w:pPr>
        <w:ind w:left="4300" w:hanging="360"/>
      </w:pPr>
      <w:rPr>
        <w:rFonts w:ascii="Wingdings" w:hAnsi="Wingdings" w:hint="default"/>
      </w:rPr>
    </w:lvl>
    <w:lvl w:ilvl="6" w:tplc="E5BE49C4" w:tentative="1">
      <w:start w:val="1"/>
      <w:numFmt w:val="bullet"/>
      <w:lvlText w:val=""/>
      <w:lvlJc w:val="left"/>
      <w:pPr>
        <w:ind w:left="5020" w:hanging="360"/>
      </w:pPr>
      <w:rPr>
        <w:rFonts w:ascii="Symbol" w:hAnsi="Symbol" w:hint="default"/>
      </w:rPr>
    </w:lvl>
    <w:lvl w:ilvl="7" w:tplc="43DCD33E" w:tentative="1">
      <w:start w:val="1"/>
      <w:numFmt w:val="bullet"/>
      <w:lvlText w:val="o"/>
      <w:lvlJc w:val="left"/>
      <w:pPr>
        <w:ind w:left="5740" w:hanging="360"/>
      </w:pPr>
      <w:rPr>
        <w:rFonts w:ascii="Courier New" w:hAnsi="Courier New" w:cs="Courier New" w:hint="default"/>
      </w:rPr>
    </w:lvl>
    <w:lvl w:ilvl="8" w:tplc="76F61ABE" w:tentative="1">
      <w:start w:val="1"/>
      <w:numFmt w:val="bullet"/>
      <w:lvlText w:val=""/>
      <w:lvlJc w:val="left"/>
      <w:pPr>
        <w:ind w:left="6460" w:hanging="360"/>
      </w:pPr>
      <w:rPr>
        <w:rFonts w:ascii="Wingdings" w:hAnsi="Wingdings" w:hint="default"/>
      </w:rPr>
    </w:lvl>
  </w:abstractNum>
  <w:abstractNum w:abstractNumId="12" w15:restartNumberingAfterBreak="0">
    <w:nsid w:val="17972A86"/>
    <w:multiLevelType w:val="hybridMultilevel"/>
    <w:tmpl w:val="0D5028AE"/>
    <w:lvl w:ilvl="0" w:tplc="F29272F8">
      <w:start w:val="1"/>
      <w:numFmt w:val="decimal"/>
      <w:lvlText w:val="%1."/>
      <w:lvlJc w:val="left"/>
      <w:pPr>
        <w:ind w:left="700" w:hanging="360"/>
      </w:pPr>
      <w:rPr>
        <w:rFonts w:hint="default"/>
      </w:rPr>
    </w:lvl>
    <w:lvl w:ilvl="1" w:tplc="0FFA5CA6" w:tentative="1">
      <w:start w:val="1"/>
      <w:numFmt w:val="lowerLetter"/>
      <w:lvlText w:val="%2."/>
      <w:lvlJc w:val="left"/>
      <w:pPr>
        <w:ind w:left="1420" w:hanging="360"/>
      </w:pPr>
    </w:lvl>
    <w:lvl w:ilvl="2" w:tplc="B4C68E62" w:tentative="1">
      <w:start w:val="1"/>
      <w:numFmt w:val="lowerRoman"/>
      <w:lvlText w:val="%3."/>
      <w:lvlJc w:val="right"/>
      <w:pPr>
        <w:ind w:left="2140" w:hanging="180"/>
      </w:pPr>
    </w:lvl>
    <w:lvl w:ilvl="3" w:tplc="DB167C74" w:tentative="1">
      <w:start w:val="1"/>
      <w:numFmt w:val="decimal"/>
      <w:lvlText w:val="%4."/>
      <w:lvlJc w:val="left"/>
      <w:pPr>
        <w:ind w:left="2860" w:hanging="360"/>
      </w:pPr>
    </w:lvl>
    <w:lvl w:ilvl="4" w:tplc="F28ECF2E" w:tentative="1">
      <w:start w:val="1"/>
      <w:numFmt w:val="lowerLetter"/>
      <w:lvlText w:val="%5."/>
      <w:lvlJc w:val="left"/>
      <w:pPr>
        <w:ind w:left="3580" w:hanging="360"/>
      </w:pPr>
    </w:lvl>
    <w:lvl w:ilvl="5" w:tplc="9370D21E" w:tentative="1">
      <w:start w:val="1"/>
      <w:numFmt w:val="lowerRoman"/>
      <w:lvlText w:val="%6."/>
      <w:lvlJc w:val="right"/>
      <w:pPr>
        <w:ind w:left="4300" w:hanging="180"/>
      </w:pPr>
    </w:lvl>
    <w:lvl w:ilvl="6" w:tplc="7A2C850A" w:tentative="1">
      <w:start w:val="1"/>
      <w:numFmt w:val="decimal"/>
      <w:lvlText w:val="%7."/>
      <w:lvlJc w:val="left"/>
      <w:pPr>
        <w:ind w:left="5020" w:hanging="360"/>
      </w:pPr>
    </w:lvl>
    <w:lvl w:ilvl="7" w:tplc="30E87BD8" w:tentative="1">
      <w:start w:val="1"/>
      <w:numFmt w:val="lowerLetter"/>
      <w:lvlText w:val="%8."/>
      <w:lvlJc w:val="left"/>
      <w:pPr>
        <w:ind w:left="5740" w:hanging="360"/>
      </w:pPr>
    </w:lvl>
    <w:lvl w:ilvl="8" w:tplc="A7169876" w:tentative="1">
      <w:start w:val="1"/>
      <w:numFmt w:val="lowerRoman"/>
      <w:lvlText w:val="%9."/>
      <w:lvlJc w:val="right"/>
      <w:pPr>
        <w:ind w:left="6460" w:hanging="180"/>
      </w:pPr>
    </w:lvl>
  </w:abstractNum>
  <w:abstractNum w:abstractNumId="13" w15:restartNumberingAfterBreak="0">
    <w:nsid w:val="1CDD78F3"/>
    <w:multiLevelType w:val="hybridMultilevel"/>
    <w:tmpl w:val="9E4C4E42"/>
    <w:lvl w:ilvl="0" w:tplc="E32CA14A">
      <w:start w:val="1"/>
      <w:numFmt w:val="decimal"/>
      <w:lvlText w:val="(%1)"/>
      <w:lvlJc w:val="left"/>
      <w:pPr>
        <w:tabs>
          <w:tab w:val="num" w:pos="624"/>
        </w:tabs>
        <w:ind w:left="0" w:firstLine="0"/>
      </w:pPr>
      <w:rPr>
        <w:rFonts w:hint="default"/>
      </w:rPr>
    </w:lvl>
    <w:lvl w:ilvl="1" w:tplc="395A9A84" w:tentative="1">
      <w:start w:val="1"/>
      <w:numFmt w:val="lowerLetter"/>
      <w:lvlText w:val="%2."/>
      <w:lvlJc w:val="left"/>
      <w:pPr>
        <w:tabs>
          <w:tab w:val="num" w:pos="1440"/>
        </w:tabs>
        <w:ind w:left="1440" w:hanging="360"/>
      </w:pPr>
    </w:lvl>
    <w:lvl w:ilvl="2" w:tplc="22961922" w:tentative="1">
      <w:start w:val="1"/>
      <w:numFmt w:val="lowerRoman"/>
      <w:lvlText w:val="%3."/>
      <w:lvlJc w:val="right"/>
      <w:pPr>
        <w:tabs>
          <w:tab w:val="num" w:pos="2160"/>
        </w:tabs>
        <w:ind w:left="2160" w:hanging="180"/>
      </w:pPr>
    </w:lvl>
    <w:lvl w:ilvl="3" w:tplc="8D7EAE12" w:tentative="1">
      <w:start w:val="1"/>
      <w:numFmt w:val="decimal"/>
      <w:lvlText w:val="%4."/>
      <w:lvlJc w:val="left"/>
      <w:pPr>
        <w:tabs>
          <w:tab w:val="num" w:pos="2880"/>
        </w:tabs>
        <w:ind w:left="2880" w:hanging="360"/>
      </w:pPr>
    </w:lvl>
    <w:lvl w:ilvl="4" w:tplc="533C7A16" w:tentative="1">
      <w:start w:val="1"/>
      <w:numFmt w:val="lowerLetter"/>
      <w:lvlText w:val="%5."/>
      <w:lvlJc w:val="left"/>
      <w:pPr>
        <w:tabs>
          <w:tab w:val="num" w:pos="3600"/>
        </w:tabs>
        <w:ind w:left="3600" w:hanging="360"/>
      </w:pPr>
    </w:lvl>
    <w:lvl w:ilvl="5" w:tplc="21A2B8E0" w:tentative="1">
      <w:start w:val="1"/>
      <w:numFmt w:val="lowerRoman"/>
      <w:lvlText w:val="%6."/>
      <w:lvlJc w:val="right"/>
      <w:pPr>
        <w:tabs>
          <w:tab w:val="num" w:pos="4320"/>
        </w:tabs>
        <w:ind w:left="4320" w:hanging="180"/>
      </w:pPr>
    </w:lvl>
    <w:lvl w:ilvl="6" w:tplc="E7E03458" w:tentative="1">
      <w:start w:val="1"/>
      <w:numFmt w:val="decimal"/>
      <w:lvlText w:val="%7."/>
      <w:lvlJc w:val="left"/>
      <w:pPr>
        <w:tabs>
          <w:tab w:val="num" w:pos="5040"/>
        </w:tabs>
        <w:ind w:left="5040" w:hanging="360"/>
      </w:pPr>
    </w:lvl>
    <w:lvl w:ilvl="7" w:tplc="8E8E850A" w:tentative="1">
      <w:start w:val="1"/>
      <w:numFmt w:val="lowerLetter"/>
      <w:lvlText w:val="%8."/>
      <w:lvlJc w:val="left"/>
      <w:pPr>
        <w:tabs>
          <w:tab w:val="num" w:pos="5760"/>
        </w:tabs>
        <w:ind w:left="5760" w:hanging="360"/>
      </w:pPr>
    </w:lvl>
    <w:lvl w:ilvl="8" w:tplc="78E2E234" w:tentative="1">
      <w:start w:val="1"/>
      <w:numFmt w:val="lowerRoman"/>
      <w:lvlText w:val="%9."/>
      <w:lvlJc w:val="right"/>
      <w:pPr>
        <w:tabs>
          <w:tab w:val="num" w:pos="6480"/>
        </w:tabs>
        <w:ind w:left="6480" w:hanging="180"/>
      </w:pPr>
    </w:lvl>
  </w:abstractNum>
  <w:abstractNum w:abstractNumId="14" w15:restartNumberingAfterBreak="0">
    <w:nsid w:val="2AE84B2C"/>
    <w:multiLevelType w:val="hybridMultilevel"/>
    <w:tmpl w:val="5D0055EA"/>
    <w:lvl w:ilvl="0" w:tplc="BB788F88">
      <w:start w:val="6"/>
      <w:numFmt w:val="decimal"/>
      <w:lvlText w:val="%1."/>
      <w:lvlJc w:val="left"/>
      <w:pPr>
        <w:tabs>
          <w:tab w:val="num" w:pos="0"/>
        </w:tabs>
        <w:ind w:left="0" w:firstLine="0"/>
      </w:pPr>
      <w:rPr>
        <w:rFonts w:hint="default"/>
      </w:rPr>
    </w:lvl>
    <w:lvl w:ilvl="1" w:tplc="CD46991A" w:tentative="1">
      <w:start w:val="1"/>
      <w:numFmt w:val="lowerLetter"/>
      <w:lvlText w:val="%2."/>
      <w:lvlJc w:val="left"/>
      <w:pPr>
        <w:ind w:left="1440" w:hanging="360"/>
      </w:pPr>
    </w:lvl>
    <w:lvl w:ilvl="2" w:tplc="1EFACA4A" w:tentative="1">
      <w:start w:val="1"/>
      <w:numFmt w:val="lowerRoman"/>
      <w:lvlText w:val="%3."/>
      <w:lvlJc w:val="right"/>
      <w:pPr>
        <w:ind w:left="2160" w:hanging="180"/>
      </w:pPr>
    </w:lvl>
    <w:lvl w:ilvl="3" w:tplc="EC3C6B1C" w:tentative="1">
      <w:start w:val="1"/>
      <w:numFmt w:val="decimal"/>
      <w:lvlText w:val="%4."/>
      <w:lvlJc w:val="left"/>
      <w:pPr>
        <w:ind w:left="2880" w:hanging="360"/>
      </w:pPr>
    </w:lvl>
    <w:lvl w:ilvl="4" w:tplc="A07AF944" w:tentative="1">
      <w:start w:val="1"/>
      <w:numFmt w:val="lowerLetter"/>
      <w:lvlText w:val="%5."/>
      <w:lvlJc w:val="left"/>
      <w:pPr>
        <w:ind w:left="3600" w:hanging="360"/>
      </w:pPr>
    </w:lvl>
    <w:lvl w:ilvl="5" w:tplc="6DEC6C4C" w:tentative="1">
      <w:start w:val="1"/>
      <w:numFmt w:val="lowerRoman"/>
      <w:lvlText w:val="%6."/>
      <w:lvlJc w:val="right"/>
      <w:pPr>
        <w:ind w:left="4320" w:hanging="180"/>
      </w:pPr>
    </w:lvl>
    <w:lvl w:ilvl="6" w:tplc="40BCEAEA" w:tentative="1">
      <w:start w:val="1"/>
      <w:numFmt w:val="decimal"/>
      <w:lvlText w:val="%7."/>
      <w:lvlJc w:val="left"/>
      <w:pPr>
        <w:ind w:left="5040" w:hanging="360"/>
      </w:pPr>
    </w:lvl>
    <w:lvl w:ilvl="7" w:tplc="A4E809D6" w:tentative="1">
      <w:start w:val="1"/>
      <w:numFmt w:val="lowerLetter"/>
      <w:lvlText w:val="%8."/>
      <w:lvlJc w:val="left"/>
      <w:pPr>
        <w:ind w:left="5760" w:hanging="360"/>
      </w:pPr>
    </w:lvl>
    <w:lvl w:ilvl="8" w:tplc="C7942AA6" w:tentative="1">
      <w:start w:val="1"/>
      <w:numFmt w:val="lowerRoman"/>
      <w:lvlText w:val="%9."/>
      <w:lvlJc w:val="right"/>
      <w:pPr>
        <w:ind w:left="6480" w:hanging="180"/>
      </w:pPr>
    </w:lvl>
  </w:abstractNum>
  <w:abstractNum w:abstractNumId="15" w15:restartNumberingAfterBreak="0">
    <w:nsid w:val="2D9A1F3E"/>
    <w:multiLevelType w:val="hybridMultilevel"/>
    <w:tmpl w:val="FA88BD40"/>
    <w:lvl w:ilvl="0" w:tplc="1AC416D6">
      <w:start w:val="1"/>
      <w:numFmt w:val="bullet"/>
      <w:lvlText w:val="-"/>
      <w:lvlJc w:val="left"/>
      <w:pPr>
        <w:ind w:left="700" w:hanging="360"/>
      </w:pPr>
      <w:rPr>
        <w:rFonts w:ascii="David" w:eastAsia="Arial Unicode MS" w:hAnsi="David" w:cs="David" w:hint="default"/>
        <w:sz w:val="26"/>
      </w:rPr>
    </w:lvl>
    <w:lvl w:ilvl="1" w:tplc="84D45BD6" w:tentative="1">
      <w:start w:val="1"/>
      <w:numFmt w:val="bullet"/>
      <w:lvlText w:val="o"/>
      <w:lvlJc w:val="left"/>
      <w:pPr>
        <w:ind w:left="1420" w:hanging="360"/>
      </w:pPr>
      <w:rPr>
        <w:rFonts w:ascii="Courier New" w:hAnsi="Courier New" w:cs="Courier New" w:hint="default"/>
      </w:rPr>
    </w:lvl>
    <w:lvl w:ilvl="2" w:tplc="BBF099EE" w:tentative="1">
      <w:start w:val="1"/>
      <w:numFmt w:val="bullet"/>
      <w:lvlText w:val=""/>
      <w:lvlJc w:val="left"/>
      <w:pPr>
        <w:ind w:left="2140" w:hanging="360"/>
      </w:pPr>
      <w:rPr>
        <w:rFonts w:ascii="Wingdings" w:hAnsi="Wingdings" w:hint="default"/>
      </w:rPr>
    </w:lvl>
    <w:lvl w:ilvl="3" w:tplc="D7EAAA80" w:tentative="1">
      <w:start w:val="1"/>
      <w:numFmt w:val="bullet"/>
      <w:lvlText w:val=""/>
      <w:lvlJc w:val="left"/>
      <w:pPr>
        <w:ind w:left="2860" w:hanging="360"/>
      </w:pPr>
      <w:rPr>
        <w:rFonts w:ascii="Symbol" w:hAnsi="Symbol" w:hint="default"/>
      </w:rPr>
    </w:lvl>
    <w:lvl w:ilvl="4" w:tplc="777C2A48" w:tentative="1">
      <w:start w:val="1"/>
      <w:numFmt w:val="bullet"/>
      <w:lvlText w:val="o"/>
      <w:lvlJc w:val="left"/>
      <w:pPr>
        <w:ind w:left="3580" w:hanging="360"/>
      </w:pPr>
      <w:rPr>
        <w:rFonts w:ascii="Courier New" w:hAnsi="Courier New" w:cs="Courier New" w:hint="default"/>
      </w:rPr>
    </w:lvl>
    <w:lvl w:ilvl="5" w:tplc="8132F856" w:tentative="1">
      <w:start w:val="1"/>
      <w:numFmt w:val="bullet"/>
      <w:lvlText w:val=""/>
      <w:lvlJc w:val="left"/>
      <w:pPr>
        <w:ind w:left="4300" w:hanging="360"/>
      </w:pPr>
      <w:rPr>
        <w:rFonts w:ascii="Wingdings" w:hAnsi="Wingdings" w:hint="default"/>
      </w:rPr>
    </w:lvl>
    <w:lvl w:ilvl="6" w:tplc="B1E8AA4E" w:tentative="1">
      <w:start w:val="1"/>
      <w:numFmt w:val="bullet"/>
      <w:lvlText w:val=""/>
      <w:lvlJc w:val="left"/>
      <w:pPr>
        <w:ind w:left="5020" w:hanging="360"/>
      </w:pPr>
      <w:rPr>
        <w:rFonts w:ascii="Symbol" w:hAnsi="Symbol" w:hint="default"/>
      </w:rPr>
    </w:lvl>
    <w:lvl w:ilvl="7" w:tplc="0158DADC" w:tentative="1">
      <w:start w:val="1"/>
      <w:numFmt w:val="bullet"/>
      <w:lvlText w:val="o"/>
      <w:lvlJc w:val="left"/>
      <w:pPr>
        <w:ind w:left="5740" w:hanging="360"/>
      </w:pPr>
      <w:rPr>
        <w:rFonts w:ascii="Courier New" w:hAnsi="Courier New" w:cs="Courier New" w:hint="default"/>
      </w:rPr>
    </w:lvl>
    <w:lvl w:ilvl="8" w:tplc="B666EAF2" w:tentative="1">
      <w:start w:val="1"/>
      <w:numFmt w:val="bullet"/>
      <w:lvlText w:val=""/>
      <w:lvlJc w:val="left"/>
      <w:pPr>
        <w:ind w:left="6460" w:hanging="360"/>
      </w:pPr>
      <w:rPr>
        <w:rFonts w:ascii="Wingdings" w:hAnsi="Wingdings" w:hint="default"/>
      </w:rPr>
    </w:lvl>
  </w:abstractNum>
  <w:abstractNum w:abstractNumId="16" w15:restartNumberingAfterBreak="0">
    <w:nsid w:val="351C3E8E"/>
    <w:multiLevelType w:val="hybridMultilevel"/>
    <w:tmpl w:val="22B02328"/>
    <w:lvl w:ilvl="0" w:tplc="2966A200">
      <w:start w:val="1"/>
      <w:numFmt w:val="decimal"/>
      <w:lvlText w:val="(%1)"/>
      <w:lvlJc w:val="left"/>
      <w:pPr>
        <w:tabs>
          <w:tab w:val="num" w:pos="624"/>
        </w:tabs>
        <w:ind w:left="0" w:firstLine="0"/>
      </w:pPr>
    </w:lvl>
    <w:lvl w:ilvl="1" w:tplc="64FEBEC0" w:tentative="1">
      <w:start w:val="1"/>
      <w:numFmt w:val="lowerLetter"/>
      <w:lvlText w:val="%2."/>
      <w:lvlJc w:val="left"/>
      <w:pPr>
        <w:ind w:left="1440" w:hanging="360"/>
      </w:pPr>
    </w:lvl>
    <w:lvl w:ilvl="2" w:tplc="7542FD76" w:tentative="1">
      <w:start w:val="1"/>
      <w:numFmt w:val="lowerRoman"/>
      <w:lvlText w:val="%3."/>
      <w:lvlJc w:val="right"/>
      <w:pPr>
        <w:ind w:left="2160" w:hanging="180"/>
      </w:pPr>
    </w:lvl>
    <w:lvl w:ilvl="3" w:tplc="2408A0E4" w:tentative="1">
      <w:start w:val="1"/>
      <w:numFmt w:val="decimal"/>
      <w:lvlText w:val="%4."/>
      <w:lvlJc w:val="left"/>
      <w:pPr>
        <w:ind w:left="2880" w:hanging="360"/>
      </w:pPr>
    </w:lvl>
    <w:lvl w:ilvl="4" w:tplc="D68E96FC" w:tentative="1">
      <w:start w:val="1"/>
      <w:numFmt w:val="lowerLetter"/>
      <w:lvlText w:val="%5."/>
      <w:lvlJc w:val="left"/>
      <w:pPr>
        <w:ind w:left="3600" w:hanging="360"/>
      </w:pPr>
    </w:lvl>
    <w:lvl w:ilvl="5" w:tplc="D97CFABE" w:tentative="1">
      <w:start w:val="1"/>
      <w:numFmt w:val="lowerRoman"/>
      <w:lvlText w:val="%6."/>
      <w:lvlJc w:val="right"/>
      <w:pPr>
        <w:ind w:left="4320" w:hanging="180"/>
      </w:pPr>
    </w:lvl>
    <w:lvl w:ilvl="6" w:tplc="DC101208" w:tentative="1">
      <w:start w:val="1"/>
      <w:numFmt w:val="decimal"/>
      <w:lvlText w:val="%7."/>
      <w:lvlJc w:val="left"/>
      <w:pPr>
        <w:ind w:left="5040" w:hanging="360"/>
      </w:pPr>
    </w:lvl>
    <w:lvl w:ilvl="7" w:tplc="39A26410" w:tentative="1">
      <w:start w:val="1"/>
      <w:numFmt w:val="lowerLetter"/>
      <w:lvlText w:val="%8."/>
      <w:lvlJc w:val="left"/>
      <w:pPr>
        <w:ind w:left="5760" w:hanging="360"/>
      </w:pPr>
    </w:lvl>
    <w:lvl w:ilvl="8" w:tplc="15584930" w:tentative="1">
      <w:start w:val="1"/>
      <w:numFmt w:val="lowerRoman"/>
      <w:lvlText w:val="%9."/>
      <w:lvlJc w:val="right"/>
      <w:pPr>
        <w:ind w:left="6480" w:hanging="180"/>
      </w:pPr>
    </w:lvl>
  </w:abstractNum>
  <w:abstractNum w:abstractNumId="17" w15:restartNumberingAfterBreak="0">
    <w:nsid w:val="3A691E6D"/>
    <w:multiLevelType w:val="hybridMultilevel"/>
    <w:tmpl w:val="FE640A38"/>
    <w:lvl w:ilvl="0" w:tplc="FD2652E4">
      <w:start w:val="1"/>
      <w:numFmt w:val="decimal"/>
      <w:lvlText w:val="(%1)"/>
      <w:lvlJc w:val="left"/>
      <w:pPr>
        <w:tabs>
          <w:tab w:val="num" w:pos="624"/>
        </w:tabs>
        <w:ind w:left="0" w:firstLine="0"/>
      </w:pPr>
    </w:lvl>
    <w:lvl w:ilvl="1" w:tplc="474A50BC" w:tentative="1">
      <w:start w:val="1"/>
      <w:numFmt w:val="lowerLetter"/>
      <w:lvlText w:val="%2."/>
      <w:lvlJc w:val="left"/>
      <w:pPr>
        <w:ind w:left="1440" w:hanging="360"/>
      </w:pPr>
    </w:lvl>
    <w:lvl w:ilvl="2" w:tplc="BD0E3F68" w:tentative="1">
      <w:start w:val="1"/>
      <w:numFmt w:val="lowerRoman"/>
      <w:lvlText w:val="%3."/>
      <w:lvlJc w:val="right"/>
      <w:pPr>
        <w:ind w:left="2160" w:hanging="180"/>
      </w:pPr>
    </w:lvl>
    <w:lvl w:ilvl="3" w:tplc="071066A6" w:tentative="1">
      <w:start w:val="1"/>
      <w:numFmt w:val="decimal"/>
      <w:lvlText w:val="%4."/>
      <w:lvlJc w:val="left"/>
      <w:pPr>
        <w:ind w:left="2880" w:hanging="360"/>
      </w:pPr>
    </w:lvl>
    <w:lvl w:ilvl="4" w:tplc="8D80D398" w:tentative="1">
      <w:start w:val="1"/>
      <w:numFmt w:val="lowerLetter"/>
      <w:lvlText w:val="%5."/>
      <w:lvlJc w:val="left"/>
      <w:pPr>
        <w:ind w:left="3600" w:hanging="360"/>
      </w:pPr>
    </w:lvl>
    <w:lvl w:ilvl="5" w:tplc="1BF01E4E" w:tentative="1">
      <w:start w:val="1"/>
      <w:numFmt w:val="lowerRoman"/>
      <w:lvlText w:val="%6."/>
      <w:lvlJc w:val="right"/>
      <w:pPr>
        <w:ind w:left="4320" w:hanging="180"/>
      </w:pPr>
    </w:lvl>
    <w:lvl w:ilvl="6" w:tplc="D6AABC6C" w:tentative="1">
      <w:start w:val="1"/>
      <w:numFmt w:val="decimal"/>
      <w:lvlText w:val="%7."/>
      <w:lvlJc w:val="left"/>
      <w:pPr>
        <w:ind w:left="5040" w:hanging="360"/>
      </w:pPr>
    </w:lvl>
    <w:lvl w:ilvl="7" w:tplc="12964944" w:tentative="1">
      <w:start w:val="1"/>
      <w:numFmt w:val="lowerLetter"/>
      <w:lvlText w:val="%8."/>
      <w:lvlJc w:val="left"/>
      <w:pPr>
        <w:ind w:left="5760" w:hanging="360"/>
      </w:pPr>
    </w:lvl>
    <w:lvl w:ilvl="8" w:tplc="194E1214" w:tentative="1">
      <w:start w:val="1"/>
      <w:numFmt w:val="lowerRoman"/>
      <w:lvlText w:val="%9."/>
      <w:lvlJc w:val="right"/>
      <w:pPr>
        <w:ind w:left="6480" w:hanging="180"/>
      </w:pPr>
    </w:lvl>
  </w:abstractNum>
  <w:abstractNum w:abstractNumId="18" w15:restartNumberingAfterBreak="0">
    <w:nsid w:val="3C3F03E7"/>
    <w:multiLevelType w:val="hybridMultilevel"/>
    <w:tmpl w:val="E1BED9D6"/>
    <w:lvl w:ilvl="0" w:tplc="0F5A71C0">
      <w:start w:val="1"/>
      <w:numFmt w:val="hebrew1"/>
      <w:lvlText w:val="(%1)"/>
      <w:lvlJc w:val="left"/>
      <w:pPr>
        <w:tabs>
          <w:tab w:val="num" w:pos="624"/>
        </w:tabs>
        <w:ind w:left="0" w:firstLine="0"/>
      </w:pPr>
    </w:lvl>
    <w:lvl w:ilvl="1" w:tplc="5BBCBDDE" w:tentative="1">
      <w:start w:val="1"/>
      <w:numFmt w:val="lowerLetter"/>
      <w:lvlText w:val="%2."/>
      <w:lvlJc w:val="left"/>
      <w:pPr>
        <w:ind w:left="1440" w:hanging="360"/>
      </w:pPr>
    </w:lvl>
    <w:lvl w:ilvl="2" w:tplc="881C3E98" w:tentative="1">
      <w:start w:val="1"/>
      <w:numFmt w:val="lowerRoman"/>
      <w:lvlText w:val="%3."/>
      <w:lvlJc w:val="right"/>
      <w:pPr>
        <w:ind w:left="2160" w:hanging="180"/>
      </w:pPr>
    </w:lvl>
    <w:lvl w:ilvl="3" w:tplc="96222F04" w:tentative="1">
      <w:start w:val="1"/>
      <w:numFmt w:val="decimal"/>
      <w:lvlText w:val="%4."/>
      <w:lvlJc w:val="left"/>
      <w:pPr>
        <w:ind w:left="2880" w:hanging="360"/>
      </w:pPr>
    </w:lvl>
    <w:lvl w:ilvl="4" w:tplc="F1CE2742" w:tentative="1">
      <w:start w:val="1"/>
      <w:numFmt w:val="lowerLetter"/>
      <w:lvlText w:val="%5."/>
      <w:lvlJc w:val="left"/>
      <w:pPr>
        <w:ind w:left="3600" w:hanging="360"/>
      </w:pPr>
    </w:lvl>
    <w:lvl w:ilvl="5" w:tplc="56068060" w:tentative="1">
      <w:start w:val="1"/>
      <w:numFmt w:val="lowerRoman"/>
      <w:lvlText w:val="%6."/>
      <w:lvlJc w:val="right"/>
      <w:pPr>
        <w:ind w:left="4320" w:hanging="180"/>
      </w:pPr>
    </w:lvl>
    <w:lvl w:ilvl="6" w:tplc="44DC1F34" w:tentative="1">
      <w:start w:val="1"/>
      <w:numFmt w:val="decimal"/>
      <w:lvlText w:val="%7."/>
      <w:lvlJc w:val="left"/>
      <w:pPr>
        <w:ind w:left="5040" w:hanging="360"/>
      </w:pPr>
    </w:lvl>
    <w:lvl w:ilvl="7" w:tplc="6FC8E060" w:tentative="1">
      <w:start w:val="1"/>
      <w:numFmt w:val="lowerLetter"/>
      <w:lvlText w:val="%8."/>
      <w:lvlJc w:val="left"/>
      <w:pPr>
        <w:ind w:left="5760" w:hanging="360"/>
      </w:pPr>
    </w:lvl>
    <w:lvl w:ilvl="8" w:tplc="5B38CFB0" w:tentative="1">
      <w:start w:val="1"/>
      <w:numFmt w:val="lowerRoman"/>
      <w:lvlText w:val="%9."/>
      <w:lvlJc w:val="right"/>
      <w:pPr>
        <w:ind w:left="6480" w:hanging="180"/>
      </w:pPr>
    </w:lvl>
  </w:abstractNum>
  <w:abstractNum w:abstractNumId="19" w15:restartNumberingAfterBreak="0">
    <w:nsid w:val="416F1163"/>
    <w:multiLevelType w:val="hybridMultilevel"/>
    <w:tmpl w:val="1CF65B3A"/>
    <w:lvl w:ilvl="0" w:tplc="348E87F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E4BD0"/>
    <w:multiLevelType w:val="hybridMultilevel"/>
    <w:tmpl w:val="6FAC942E"/>
    <w:lvl w:ilvl="0" w:tplc="EF286B32">
      <w:start w:val="1"/>
      <w:numFmt w:val="decimal"/>
      <w:lvlText w:val="(%1)"/>
      <w:lvlJc w:val="left"/>
      <w:pPr>
        <w:tabs>
          <w:tab w:val="num" w:pos="624"/>
        </w:tabs>
        <w:ind w:left="0" w:firstLine="0"/>
      </w:pPr>
    </w:lvl>
    <w:lvl w:ilvl="1" w:tplc="C3FC2B64" w:tentative="1">
      <w:start w:val="1"/>
      <w:numFmt w:val="lowerLetter"/>
      <w:lvlText w:val="%2."/>
      <w:lvlJc w:val="left"/>
      <w:pPr>
        <w:ind w:left="1440" w:hanging="360"/>
      </w:pPr>
    </w:lvl>
    <w:lvl w:ilvl="2" w:tplc="F8EAB866" w:tentative="1">
      <w:start w:val="1"/>
      <w:numFmt w:val="lowerRoman"/>
      <w:lvlText w:val="%3."/>
      <w:lvlJc w:val="right"/>
      <w:pPr>
        <w:ind w:left="2160" w:hanging="180"/>
      </w:pPr>
    </w:lvl>
    <w:lvl w:ilvl="3" w:tplc="C46283A2" w:tentative="1">
      <w:start w:val="1"/>
      <w:numFmt w:val="decimal"/>
      <w:lvlText w:val="%4."/>
      <w:lvlJc w:val="left"/>
      <w:pPr>
        <w:ind w:left="2880" w:hanging="360"/>
      </w:pPr>
    </w:lvl>
    <w:lvl w:ilvl="4" w:tplc="412A6742" w:tentative="1">
      <w:start w:val="1"/>
      <w:numFmt w:val="lowerLetter"/>
      <w:lvlText w:val="%5."/>
      <w:lvlJc w:val="left"/>
      <w:pPr>
        <w:ind w:left="3600" w:hanging="360"/>
      </w:pPr>
    </w:lvl>
    <w:lvl w:ilvl="5" w:tplc="C9323B28" w:tentative="1">
      <w:start w:val="1"/>
      <w:numFmt w:val="lowerRoman"/>
      <w:lvlText w:val="%6."/>
      <w:lvlJc w:val="right"/>
      <w:pPr>
        <w:ind w:left="4320" w:hanging="180"/>
      </w:pPr>
    </w:lvl>
    <w:lvl w:ilvl="6" w:tplc="DC38FEA2" w:tentative="1">
      <w:start w:val="1"/>
      <w:numFmt w:val="decimal"/>
      <w:lvlText w:val="%7."/>
      <w:lvlJc w:val="left"/>
      <w:pPr>
        <w:ind w:left="5040" w:hanging="360"/>
      </w:pPr>
    </w:lvl>
    <w:lvl w:ilvl="7" w:tplc="24C4FBCE" w:tentative="1">
      <w:start w:val="1"/>
      <w:numFmt w:val="lowerLetter"/>
      <w:lvlText w:val="%8."/>
      <w:lvlJc w:val="left"/>
      <w:pPr>
        <w:ind w:left="5760" w:hanging="360"/>
      </w:pPr>
    </w:lvl>
    <w:lvl w:ilvl="8" w:tplc="CDB4F572" w:tentative="1">
      <w:start w:val="1"/>
      <w:numFmt w:val="lowerRoman"/>
      <w:lvlText w:val="%9."/>
      <w:lvlJc w:val="right"/>
      <w:pPr>
        <w:ind w:left="6480" w:hanging="180"/>
      </w:pPr>
    </w:lvl>
  </w:abstractNum>
  <w:abstractNum w:abstractNumId="21" w15:restartNumberingAfterBreak="0">
    <w:nsid w:val="47A42047"/>
    <w:multiLevelType w:val="hybridMultilevel"/>
    <w:tmpl w:val="161EC63E"/>
    <w:lvl w:ilvl="0" w:tplc="46D25F28">
      <w:start w:val="1"/>
      <w:numFmt w:val="hebrew1"/>
      <w:lvlText w:val="(%1)"/>
      <w:lvlJc w:val="left"/>
      <w:pPr>
        <w:tabs>
          <w:tab w:val="num" w:pos="624"/>
        </w:tabs>
        <w:ind w:left="0" w:firstLine="0"/>
      </w:pPr>
    </w:lvl>
    <w:lvl w:ilvl="1" w:tplc="FB940448" w:tentative="1">
      <w:start w:val="1"/>
      <w:numFmt w:val="lowerLetter"/>
      <w:lvlText w:val="%2."/>
      <w:lvlJc w:val="left"/>
      <w:pPr>
        <w:ind w:left="1440" w:hanging="360"/>
      </w:pPr>
    </w:lvl>
    <w:lvl w:ilvl="2" w:tplc="972E46A2" w:tentative="1">
      <w:start w:val="1"/>
      <w:numFmt w:val="lowerRoman"/>
      <w:lvlText w:val="%3."/>
      <w:lvlJc w:val="right"/>
      <w:pPr>
        <w:ind w:left="2160" w:hanging="180"/>
      </w:pPr>
    </w:lvl>
    <w:lvl w:ilvl="3" w:tplc="18A611C8" w:tentative="1">
      <w:start w:val="1"/>
      <w:numFmt w:val="decimal"/>
      <w:lvlText w:val="%4."/>
      <w:lvlJc w:val="left"/>
      <w:pPr>
        <w:ind w:left="2880" w:hanging="360"/>
      </w:pPr>
    </w:lvl>
    <w:lvl w:ilvl="4" w:tplc="6564296E" w:tentative="1">
      <w:start w:val="1"/>
      <w:numFmt w:val="lowerLetter"/>
      <w:lvlText w:val="%5."/>
      <w:lvlJc w:val="left"/>
      <w:pPr>
        <w:ind w:left="3600" w:hanging="360"/>
      </w:pPr>
    </w:lvl>
    <w:lvl w:ilvl="5" w:tplc="E49CC6DA" w:tentative="1">
      <w:start w:val="1"/>
      <w:numFmt w:val="lowerRoman"/>
      <w:lvlText w:val="%6."/>
      <w:lvlJc w:val="right"/>
      <w:pPr>
        <w:ind w:left="4320" w:hanging="180"/>
      </w:pPr>
    </w:lvl>
    <w:lvl w:ilvl="6" w:tplc="2A5A4048" w:tentative="1">
      <w:start w:val="1"/>
      <w:numFmt w:val="decimal"/>
      <w:lvlText w:val="%7."/>
      <w:lvlJc w:val="left"/>
      <w:pPr>
        <w:ind w:left="5040" w:hanging="360"/>
      </w:pPr>
    </w:lvl>
    <w:lvl w:ilvl="7" w:tplc="88521216" w:tentative="1">
      <w:start w:val="1"/>
      <w:numFmt w:val="lowerLetter"/>
      <w:lvlText w:val="%8."/>
      <w:lvlJc w:val="left"/>
      <w:pPr>
        <w:ind w:left="5760" w:hanging="360"/>
      </w:pPr>
    </w:lvl>
    <w:lvl w:ilvl="8" w:tplc="25A0DF92" w:tentative="1">
      <w:start w:val="1"/>
      <w:numFmt w:val="lowerRoman"/>
      <w:lvlText w:val="%9."/>
      <w:lvlJc w:val="right"/>
      <w:pPr>
        <w:ind w:left="6480" w:hanging="180"/>
      </w:pPr>
    </w:lvl>
  </w:abstractNum>
  <w:abstractNum w:abstractNumId="22" w15:restartNumberingAfterBreak="0">
    <w:nsid w:val="48E071B1"/>
    <w:multiLevelType w:val="hybridMultilevel"/>
    <w:tmpl w:val="D36C5BC2"/>
    <w:lvl w:ilvl="0" w:tplc="5D088A80">
      <w:start w:val="1"/>
      <w:numFmt w:val="hebrew1"/>
      <w:lvlText w:val="(%1)"/>
      <w:lvlJc w:val="left"/>
      <w:pPr>
        <w:tabs>
          <w:tab w:val="num" w:pos="624"/>
        </w:tabs>
        <w:ind w:left="0" w:firstLine="0"/>
      </w:pPr>
    </w:lvl>
    <w:lvl w:ilvl="1" w:tplc="C166E45A" w:tentative="1">
      <w:start w:val="1"/>
      <w:numFmt w:val="lowerLetter"/>
      <w:lvlText w:val="%2."/>
      <w:lvlJc w:val="left"/>
      <w:pPr>
        <w:ind w:left="1440" w:hanging="360"/>
      </w:pPr>
    </w:lvl>
    <w:lvl w:ilvl="2" w:tplc="0ED094D8" w:tentative="1">
      <w:start w:val="1"/>
      <w:numFmt w:val="lowerRoman"/>
      <w:lvlText w:val="%3."/>
      <w:lvlJc w:val="right"/>
      <w:pPr>
        <w:ind w:left="2160" w:hanging="180"/>
      </w:pPr>
    </w:lvl>
    <w:lvl w:ilvl="3" w:tplc="9254344A" w:tentative="1">
      <w:start w:val="1"/>
      <w:numFmt w:val="decimal"/>
      <w:lvlText w:val="%4."/>
      <w:lvlJc w:val="left"/>
      <w:pPr>
        <w:ind w:left="2880" w:hanging="360"/>
      </w:pPr>
    </w:lvl>
    <w:lvl w:ilvl="4" w:tplc="4BA09BB2" w:tentative="1">
      <w:start w:val="1"/>
      <w:numFmt w:val="lowerLetter"/>
      <w:lvlText w:val="%5."/>
      <w:lvlJc w:val="left"/>
      <w:pPr>
        <w:ind w:left="3600" w:hanging="360"/>
      </w:pPr>
    </w:lvl>
    <w:lvl w:ilvl="5" w:tplc="7278D872" w:tentative="1">
      <w:start w:val="1"/>
      <w:numFmt w:val="lowerRoman"/>
      <w:lvlText w:val="%6."/>
      <w:lvlJc w:val="right"/>
      <w:pPr>
        <w:ind w:left="4320" w:hanging="180"/>
      </w:pPr>
    </w:lvl>
    <w:lvl w:ilvl="6" w:tplc="1DE2E92C" w:tentative="1">
      <w:start w:val="1"/>
      <w:numFmt w:val="decimal"/>
      <w:lvlText w:val="%7."/>
      <w:lvlJc w:val="left"/>
      <w:pPr>
        <w:ind w:left="5040" w:hanging="360"/>
      </w:pPr>
    </w:lvl>
    <w:lvl w:ilvl="7" w:tplc="F4CE34EE" w:tentative="1">
      <w:start w:val="1"/>
      <w:numFmt w:val="lowerLetter"/>
      <w:lvlText w:val="%8."/>
      <w:lvlJc w:val="left"/>
      <w:pPr>
        <w:ind w:left="5760" w:hanging="360"/>
      </w:pPr>
    </w:lvl>
    <w:lvl w:ilvl="8" w:tplc="ECAC26FE" w:tentative="1">
      <w:start w:val="1"/>
      <w:numFmt w:val="lowerRoman"/>
      <w:lvlText w:val="%9."/>
      <w:lvlJc w:val="right"/>
      <w:pPr>
        <w:ind w:left="6480" w:hanging="180"/>
      </w:pPr>
    </w:lvl>
  </w:abstractNum>
  <w:abstractNum w:abstractNumId="23" w15:restartNumberingAfterBreak="0">
    <w:nsid w:val="50B44493"/>
    <w:multiLevelType w:val="hybridMultilevel"/>
    <w:tmpl w:val="F6EA37AC"/>
    <w:lvl w:ilvl="0" w:tplc="FB8E230E">
      <w:start w:val="1"/>
      <w:numFmt w:val="hebrew1"/>
      <w:lvlText w:val="(%1)"/>
      <w:lvlJc w:val="left"/>
      <w:pPr>
        <w:tabs>
          <w:tab w:val="num" w:pos="624"/>
        </w:tabs>
        <w:ind w:left="0" w:firstLine="0"/>
      </w:pPr>
    </w:lvl>
    <w:lvl w:ilvl="1" w:tplc="3E3AC716" w:tentative="1">
      <w:start w:val="1"/>
      <w:numFmt w:val="lowerLetter"/>
      <w:lvlText w:val="%2."/>
      <w:lvlJc w:val="left"/>
      <w:pPr>
        <w:ind w:left="1440" w:hanging="360"/>
      </w:pPr>
    </w:lvl>
    <w:lvl w:ilvl="2" w:tplc="4224C51A" w:tentative="1">
      <w:start w:val="1"/>
      <w:numFmt w:val="lowerRoman"/>
      <w:lvlText w:val="%3."/>
      <w:lvlJc w:val="right"/>
      <w:pPr>
        <w:ind w:left="2160" w:hanging="180"/>
      </w:pPr>
    </w:lvl>
    <w:lvl w:ilvl="3" w:tplc="F3582AE0" w:tentative="1">
      <w:start w:val="1"/>
      <w:numFmt w:val="decimal"/>
      <w:lvlText w:val="%4."/>
      <w:lvlJc w:val="left"/>
      <w:pPr>
        <w:ind w:left="2880" w:hanging="360"/>
      </w:pPr>
    </w:lvl>
    <w:lvl w:ilvl="4" w:tplc="47DC4FE6" w:tentative="1">
      <w:start w:val="1"/>
      <w:numFmt w:val="lowerLetter"/>
      <w:lvlText w:val="%5."/>
      <w:lvlJc w:val="left"/>
      <w:pPr>
        <w:ind w:left="3600" w:hanging="360"/>
      </w:pPr>
    </w:lvl>
    <w:lvl w:ilvl="5" w:tplc="B3F65786" w:tentative="1">
      <w:start w:val="1"/>
      <w:numFmt w:val="lowerRoman"/>
      <w:lvlText w:val="%6."/>
      <w:lvlJc w:val="right"/>
      <w:pPr>
        <w:ind w:left="4320" w:hanging="180"/>
      </w:pPr>
    </w:lvl>
    <w:lvl w:ilvl="6" w:tplc="41F004B2" w:tentative="1">
      <w:start w:val="1"/>
      <w:numFmt w:val="decimal"/>
      <w:lvlText w:val="%7."/>
      <w:lvlJc w:val="left"/>
      <w:pPr>
        <w:ind w:left="5040" w:hanging="360"/>
      </w:pPr>
    </w:lvl>
    <w:lvl w:ilvl="7" w:tplc="79EA81A0" w:tentative="1">
      <w:start w:val="1"/>
      <w:numFmt w:val="lowerLetter"/>
      <w:lvlText w:val="%8."/>
      <w:lvlJc w:val="left"/>
      <w:pPr>
        <w:ind w:left="5760" w:hanging="360"/>
      </w:pPr>
    </w:lvl>
    <w:lvl w:ilvl="8" w:tplc="37200E48" w:tentative="1">
      <w:start w:val="1"/>
      <w:numFmt w:val="lowerRoman"/>
      <w:lvlText w:val="%9."/>
      <w:lvlJc w:val="right"/>
      <w:pPr>
        <w:ind w:left="6480" w:hanging="180"/>
      </w:pPr>
    </w:lvl>
  </w:abstractNum>
  <w:abstractNum w:abstractNumId="24" w15:restartNumberingAfterBreak="0">
    <w:nsid w:val="555A2B35"/>
    <w:multiLevelType w:val="hybridMultilevel"/>
    <w:tmpl w:val="F61ADD04"/>
    <w:lvl w:ilvl="0" w:tplc="5C302DD8">
      <w:start w:val="1"/>
      <w:numFmt w:val="hebrew1"/>
      <w:pStyle w:val="4"/>
      <w:suff w:val="space"/>
      <w:lvlText w:val="%1."/>
      <w:lvlJc w:val="left"/>
      <w:pPr>
        <w:ind w:left="0" w:firstLine="0"/>
      </w:pPr>
      <w:rPr>
        <w:rFonts w:hint="default"/>
      </w:rPr>
    </w:lvl>
    <w:lvl w:ilvl="1" w:tplc="265E31AC">
      <w:start w:val="1"/>
      <w:numFmt w:val="decimal"/>
      <w:lvlText w:val="(%2)"/>
      <w:lvlJc w:val="left"/>
      <w:pPr>
        <w:tabs>
          <w:tab w:val="num" w:pos="624"/>
        </w:tabs>
        <w:ind w:left="0" w:firstLine="0"/>
      </w:pPr>
      <w:rPr>
        <w:rFonts w:hint="default"/>
      </w:rPr>
    </w:lvl>
    <w:lvl w:ilvl="2" w:tplc="EE04CC84">
      <w:start w:val="1"/>
      <w:numFmt w:val="hebrew1"/>
      <w:lvlText w:val="(%3)"/>
      <w:lvlJc w:val="left"/>
      <w:pPr>
        <w:tabs>
          <w:tab w:val="num" w:pos="624"/>
        </w:tabs>
        <w:ind w:left="0" w:firstLine="0"/>
      </w:pPr>
      <w:rPr>
        <w:rFonts w:hint="default"/>
      </w:rPr>
    </w:lvl>
    <w:lvl w:ilvl="3" w:tplc="845AEC0C">
      <w:start w:val="1"/>
      <w:numFmt w:val="hebrew1"/>
      <w:lvlRestart w:val="0"/>
      <w:lvlText w:val="(%4)"/>
      <w:lvlJc w:val="left"/>
      <w:pPr>
        <w:tabs>
          <w:tab w:val="num" w:pos="624"/>
        </w:tabs>
        <w:ind w:left="0" w:firstLine="0"/>
      </w:pPr>
      <w:rPr>
        <w:rFonts w:hint="default"/>
      </w:rPr>
    </w:lvl>
    <w:lvl w:ilvl="4" w:tplc="513244E6">
      <w:start w:val="1"/>
      <w:numFmt w:val="decimal"/>
      <w:lvlRestart w:val="0"/>
      <w:lvlText w:val="(%5)"/>
      <w:lvlJc w:val="left"/>
      <w:pPr>
        <w:tabs>
          <w:tab w:val="num" w:pos="3864"/>
        </w:tabs>
        <w:ind w:left="3240" w:firstLine="0"/>
      </w:pPr>
      <w:rPr>
        <w:rFonts w:hint="default"/>
      </w:rPr>
    </w:lvl>
    <w:lvl w:ilvl="5" w:tplc="94DC4DCC" w:tentative="1">
      <w:start w:val="1"/>
      <w:numFmt w:val="lowerRoman"/>
      <w:lvlText w:val="%6."/>
      <w:lvlJc w:val="right"/>
      <w:pPr>
        <w:tabs>
          <w:tab w:val="num" w:pos="4320"/>
        </w:tabs>
        <w:ind w:left="4320" w:hanging="180"/>
      </w:pPr>
    </w:lvl>
    <w:lvl w:ilvl="6" w:tplc="0DEEB5F2" w:tentative="1">
      <w:start w:val="1"/>
      <w:numFmt w:val="decimal"/>
      <w:lvlText w:val="%7."/>
      <w:lvlJc w:val="left"/>
      <w:pPr>
        <w:tabs>
          <w:tab w:val="num" w:pos="5040"/>
        </w:tabs>
        <w:ind w:left="5040" w:hanging="360"/>
      </w:pPr>
    </w:lvl>
    <w:lvl w:ilvl="7" w:tplc="8D822144" w:tentative="1">
      <w:start w:val="1"/>
      <w:numFmt w:val="lowerLetter"/>
      <w:lvlText w:val="%8."/>
      <w:lvlJc w:val="left"/>
      <w:pPr>
        <w:tabs>
          <w:tab w:val="num" w:pos="5760"/>
        </w:tabs>
        <w:ind w:left="5760" w:hanging="360"/>
      </w:pPr>
    </w:lvl>
    <w:lvl w:ilvl="8" w:tplc="9AD6A738" w:tentative="1">
      <w:start w:val="1"/>
      <w:numFmt w:val="lowerRoman"/>
      <w:lvlText w:val="%9."/>
      <w:lvlJc w:val="right"/>
      <w:pPr>
        <w:tabs>
          <w:tab w:val="num" w:pos="6480"/>
        </w:tabs>
        <w:ind w:left="6480" w:hanging="180"/>
      </w:pPr>
    </w:lvl>
  </w:abstractNum>
  <w:abstractNum w:abstractNumId="25" w15:restartNumberingAfterBreak="0">
    <w:nsid w:val="5B3B28B0"/>
    <w:multiLevelType w:val="hybridMultilevel"/>
    <w:tmpl w:val="41ACEA96"/>
    <w:lvl w:ilvl="0" w:tplc="B07E6E9C">
      <w:start w:val="1"/>
      <w:numFmt w:val="decimal"/>
      <w:pStyle w:val="TOC3"/>
      <w:lvlText w:val="%1."/>
      <w:lvlJc w:val="left"/>
      <w:pPr>
        <w:ind w:left="1287" w:hanging="360"/>
      </w:pPr>
      <w:rPr>
        <w:rFonts w:cs="David" w:hint="default"/>
        <w:bCs w:val="0"/>
        <w:iCs w:val="0"/>
        <w:szCs w:val="24"/>
      </w:rPr>
    </w:lvl>
    <w:lvl w:ilvl="1" w:tplc="DC5A10AA" w:tentative="1">
      <w:start w:val="1"/>
      <w:numFmt w:val="lowerLetter"/>
      <w:lvlText w:val="%2."/>
      <w:lvlJc w:val="left"/>
      <w:pPr>
        <w:ind w:left="2007" w:hanging="360"/>
      </w:pPr>
    </w:lvl>
    <w:lvl w:ilvl="2" w:tplc="8E48EF02" w:tentative="1">
      <w:start w:val="1"/>
      <w:numFmt w:val="lowerRoman"/>
      <w:lvlText w:val="%3."/>
      <w:lvlJc w:val="right"/>
      <w:pPr>
        <w:ind w:left="2727" w:hanging="180"/>
      </w:pPr>
    </w:lvl>
    <w:lvl w:ilvl="3" w:tplc="B044D51E" w:tentative="1">
      <w:start w:val="1"/>
      <w:numFmt w:val="decimal"/>
      <w:lvlText w:val="%4."/>
      <w:lvlJc w:val="left"/>
      <w:pPr>
        <w:ind w:left="3447" w:hanging="360"/>
      </w:pPr>
    </w:lvl>
    <w:lvl w:ilvl="4" w:tplc="6E367C32" w:tentative="1">
      <w:start w:val="1"/>
      <w:numFmt w:val="lowerLetter"/>
      <w:lvlText w:val="%5."/>
      <w:lvlJc w:val="left"/>
      <w:pPr>
        <w:ind w:left="4167" w:hanging="360"/>
      </w:pPr>
    </w:lvl>
    <w:lvl w:ilvl="5" w:tplc="FA1E1440" w:tentative="1">
      <w:start w:val="1"/>
      <w:numFmt w:val="lowerRoman"/>
      <w:lvlText w:val="%6."/>
      <w:lvlJc w:val="right"/>
      <w:pPr>
        <w:ind w:left="4887" w:hanging="180"/>
      </w:pPr>
    </w:lvl>
    <w:lvl w:ilvl="6" w:tplc="4FE0B10A" w:tentative="1">
      <w:start w:val="1"/>
      <w:numFmt w:val="decimal"/>
      <w:lvlText w:val="%7."/>
      <w:lvlJc w:val="left"/>
      <w:pPr>
        <w:ind w:left="5607" w:hanging="360"/>
      </w:pPr>
    </w:lvl>
    <w:lvl w:ilvl="7" w:tplc="623C0688" w:tentative="1">
      <w:start w:val="1"/>
      <w:numFmt w:val="lowerLetter"/>
      <w:lvlText w:val="%8."/>
      <w:lvlJc w:val="left"/>
      <w:pPr>
        <w:ind w:left="6327" w:hanging="360"/>
      </w:pPr>
    </w:lvl>
    <w:lvl w:ilvl="8" w:tplc="ED8EFE02" w:tentative="1">
      <w:start w:val="1"/>
      <w:numFmt w:val="lowerRoman"/>
      <w:lvlText w:val="%9."/>
      <w:lvlJc w:val="right"/>
      <w:pPr>
        <w:ind w:left="7047" w:hanging="180"/>
      </w:pPr>
    </w:lvl>
  </w:abstractNum>
  <w:abstractNum w:abstractNumId="26" w15:restartNumberingAfterBreak="0">
    <w:nsid w:val="753C544D"/>
    <w:multiLevelType w:val="hybridMultilevel"/>
    <w:tmpl w:val="5C34B22C"/>
    <w:lvl w:ilvl="0" w:tplc="09C631A0">
      <w:start w:val="1"/>
      <w:numFmt w:val="decimal"/>
      <w:lvlText w:val="%1."/>
      <w:lvlJc w:val="left"/>
      <w:pPr>
        <w:tabs>
          <w:tab w:val="num" w:pos="0"/>
        </w:tabs>
        <w:ind w:left="0" w:firstLine="0"/>
      </w:pPr>
      <w:rPr>
        <w:rFonts w:hint="default"/>
      </w:rPr>
    </w:lvl>
    <w:lvl w:ilvl="1" w:tplc="52D670C4">
      <w:start w:val="1"/>
      <w:numFmt w:val="decimal"/>
      <w:lvlText w:val="(%2)"/>
      <w:lvlJc w:val="left"/>
      <w:pPr>
        <w:tabs>
          <w:tab w:val="num" w:pos="624"/>
        </w:tabs>
        <w:ind w:left="0" w:firstLine="0"/>
      </w:pPr>
      <w:rPr>
        <w:rFonts w:hint="default"/>
      </w:rPr>
    </w:lvl>
    <w:lvl w:ilvl="2" w:tplc="76D8DE60">
      <w:start w:val="1"/>
      <w:numFmt w:val="hebrew1"/>
      <w:lvlText w:val="(%3)"/>
      <w:lvlJc w:val="left"/>
      <w:pPr>
        <w:tabs>
          <w:tab w:val="num" w:pos="624"/>
        </w:tabs>
        <w:ind w:left="0" w:firstLine="0"/>
      </w:pPr>
      <w:rPr>
        <w:rFonts w:hint="default"/>
        <w:lang w:val="en-US"/>
      </w:rPr>
    </w:lvl>
    <w:lvl w:ilvl="3" w:tplc="8DB61B6C">
      <w:start w:val="1"/>
      <w:numFmt w:val="hebrew1"/>
      <w:lvlRestart w:val="0"/>
      <w:lvlText w:val="(%4)"/>
      <w:lvlJc w:val="left"/>
      <w:pPr>
        <w:tabs>
          <w:tab w:val="num" w:pos="624"/>
        </w:tabs>
        <w:ind w:left="0" w:firstLine="0"/>
      </w:pPr>
      <w:rPr>
        <w:rFonts w:hint="default"/>
      </w:rPr>
    </w:lvl>
    <w:lvl w:ilvl="4" w:tplc="7632C4F0">
      <w:start w:val="1"/>
      <w:numFmt w:val="decimal"/>
      <w:lvlRestart w:val="0"/>
      <w:lvlText w:val="(%5)"/>
      <w:lvlJc w:val="left"/>
      <w:pPr>
        <w:tabs>
          <w:tab w:val="num" w:pos="3864"/>
        </w:tabs>
        <w:ind w:left="3240" w:firstLine="0"/>
      </w:pPr>
      <w:rPr>
        <w:rFonts w:hint="default"/>
      </w:rPr>
    </w:lvl>
    <w:lvl w:ilvl="5" w:tplc="AABC69D2" w:tentative="1">
      <w:start w:val="1"/>
      <w:numFmt w:val="lowerRoman"/>
      <w:lvlText w:val="%6."/>
      <w:lvlJc w:val="right"/>
      <w:pPr>
        <w:tabs>
          <w:tab w:val="num" w:pos="4320"/>
        </w:tabs>
        <w:ind w:left="4320" w:hanging="180"/>
      </w:pPr>
    </w:lvl>
    <w:lvl w:ilvl="6" w:tplc="3A82F142" w:tentative="1">
      <w:start w:val="1"/>
      <w:numFmt w:val="decimal"/>
      <w:lvlText w:val="%7."/>
      <w:lvlJc w:val="left"/>
      <w:pPr>
        <w:tabs>
          <w:tab w:val="num" w:pos="5040"/>
        </w:tabs>
        <w:ind w:left="5040" w:hanging="360"/>
      </w:pPr>
    </w:lvl>
    <w:lvl w:ilvl="7" w:tplc="0A3AAFFC" w:tentative="1">
      <w:start w:val="1"/>
      <w:numFmt w:val="lowerLetter"/>
      <w:lvlText w:val="%8."/>
      <w:lvlJc w:val="left"/>
      <w:pPr>
        <w:tabs>
          <w:tab w:val="num" w:pos="5760"/>
        </w:tabs>
        <w:ind w:left="5760" w:hanging="360"/>
      </w:pPr>
    </w:lvl>
    <w:lvl w:ilvl="8" w:tplc="D9FC2536" w:tentative="1">
      <w:start w:val="1"/>
      <w:numFmt w:val="lowerRoman"/>
      <w:lvlText w:val="%9."/>
      <w:lvlJc w:val="right"/>
      <w:pPr>
        <w:tabs>
          <w:tab w:val="num" w:pos="6480"/>
        </w:tabs>
        <w:ind w:left="6480" w:hanging="180"/>
      </w:pPr>
    </w:lvl>
  </w:abstractNum>
  <w:abstractNum w:abstractNumId="27" w15:restartNumberingAfterBreak="0">
    <w:nsid w:val="75C858E4"/>
    <w:multiLevelType w:val="hybridMultilevel"/>
    <w:tmpl w:val="882C6ED4"/>
    <w:lvl w:ilvl="0" w:tplc="B85C0EF0">
      <w:start w:val="1"/>
      <w:numFmt w:val="hebrew1"/>
      <w:lvlText w:val="(%1)"/>
      <w:lvlJc w:val="left"/>
      <w:pPr>
        <w:tabs>
          <w:tab w:val="num" w:pos="624"/>
        </w:tabs>
        <w:ind w:left="0" w:firstLine="0"/>
      </w:pPr>
      <w:rPr>
        <w:rFonts w:hint="default"/>
      </w:rPr>
    </w:lvl>
    <w:lvl w:ilvl="1" w:tplc="7AB6382E">
      <w:start w:val="1"/>
      <w:numFmt w:val="decimal"/>
      <w:lvlRestart w:val="0"/>
      <w:lvlText w:val="(%2)"/>
      <w:lvlJc w:val="left"/>
      <w:pPr>
        <w:tabs>
          <w:tab w:val="num" w:pos="1704"/>
        </w:tabs>
        <w:ind w:left="1080" w:firstLine="0"/>
      </w:pPr>
      <w:rPr>
        <w:rFonts w:hint="default"/>
      </w:rPr>
    </w:lvl>
    <w:lvl w:ilvl="2" w:tplc="CA860A02">
      <w:start w:val="1"/>
      <w:numFmt w:val="decimal"/>
      <w:lvlRestart w:val="0"/>
      <w:lvlText w:val="(%3)"/>
      <w:lvlJc w:val="left"/>
      <w:pPr>
        <w:tabs>
          <w:tab w:val="num" w:pos="2604"/>
        </w:tabs>
        <w:ind w:left="1980" w:firstLine="0"/>
      </w:pPr>
      <w:rPr>
        <w:rFonts w:hint="default"/>
      </w:rPr>
    </w:lvl>
    <w:lvl w:ilvl="3" w:tplc="560469EE" w:tentative="1">
      <w:start w:val="1"/>
      <w:numFmt w:val="decimal"/>
      <w:lvlText w:val="%4."/>
      <w:lvlJc w:val="left"/>
      <w:pPr>
        <w:tabs>
          <w:tab w:val="num" w:pos="2880"/>
        </w:tabs>
        <w:ind w:left="2880" w:hanging="360"/>
      </w:pPr>
    </w:lvl>
    <w:lvl w:ilvl="4" w:tplc="68C6F3DA" w:tentative="1">
      <w:start w:val="1"/>
      <w:numFmt w:val="lowerLetter"/>
      <w:lvlText w:val="%5."/>
      <w:lvlJc w:val="left"/>
      <w:pPr>
        <w:tabs>
          <w:tab w:val="num" w:pos="3600"/>
        </w:tabs>
        <w:ind w:left="3600" w:hanging="360"/>
      </w:pPr>
    </w:lvl>
    <w:lvl w:ilvl="5" w:tplc="BB064EF8" w:tentative="1">
      <w:start w:val="1"/>
      <w:numFmt w:val="lowerRoman"/>
      <w:lvlText w:val="%6."/>
      <w:lvlJc w:val="right"/>
      <w:pPr>
        <w:tabs>
          <w:tab w:val="num" w:pos="4320"/>
        </w:tabs>
        <w:ind w:left="4320" w:hanging="180"/>
      </w:pPr>
    </w:lvl>
    <w:lvl w:ilvl="6" w:tplc="19C02BB2" w:tentative="1">
      <w:start w:val="1"/>
      <w:numFmt w:val="decimal"/>
      <w:lvlText w:val="%7."/>
      <w:lvlJc w:val="left"/>
      <w:pPr>
        <w:tabs>
          <w:tab w:val="num" w:pos="5040"/>
        </w:tabs>
        <w:ind w:left="5040" w:hanging="360"/>
      </w:pPr>
    </w:lvl>
    <w:lvl w:ilvl="7" w:tplc="96E8E146" w:tentative="1">
      <w:start w:val="1"/>
      <w:numFmt w:val="lowerLetter"/>
      <w:lvlText w:val="%8."/>
      <w:lvlJc w:val="left"/>
      <w:pPr>
        <w:tabs>
          <w:tab w:val="num" w:pos="5760"/>
        </w:tabs>
        <w:ind w:left="5760" w:hanging="360"/>
      </w:pPr>
    </w:lvl>
    <w:lvl w:ilvl="8" w:tplc="C3C26E66"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6"/>
  </w:num>
  <w:num w:numId="5">
    <w:abstractNumId w:val="13"/>
  </w:num>
  <w:num w:numId="6">
    <w:abstractNumId w:val="27"/>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24"/>
  </w:num>
  <w:num w:numId="17">
    <w:abstractNumId w:val="24"/>
    <w:lvlOverride w:ilvl="0">
      <w:startOverride w:val="1"/>
    </w:lvlOverride>
  </w:num>
  <w:num w:numId="18">
    <w:abstractNumId w:val="12"/>
  </w:num>
  <w:num w:numId="19">
    <w:abstractNumId w:val="25"/>
  </w:num>
  <w:num w:numId="20">
    <w:abstractNumId w:val="18"/>
  </w:num>
  <w:num w:numId="21">
    <w:abstractNumId w:val="20"/>
  </w:num>
  <w:num w:numId="22">
    <w:abstractNumId w:val="17"/>
  </w:num>
  <w:num w:numId="23">
    <w:abstractNumId w:val="22"/>
  </w:num>
  <w:num w:numId="24">
    <w:abstractNumId w:val="14"/>
  </w:num>
  <w:num w:numId="25">
    <w:abstractNumId w:val="23"/>
  </w:num>
  <w:num w:numId="26">
    <w:abstractNumId w:val="10"/>
  </w:num>
  <w:num w:numId="27">
    <w:abstractNumId w:val="11"/>
  </w:num>
  <w:num w:numId="28">
    <w:abstractNumId w:val="16"/>
  </w:num>
  <w:num w:numId="29">
    <w:abstractNumId w:val="21"/>
  </w:num>
  <w:num w:numId="30">
    <w:abstractNumId w:val="1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84"/>
    <w:rsid w:val="00070AFD"/>
    <w:rsid w:val="000B1470"/>
    <w:rsid w:val="0011075A"/>
    <w:rsid w:val="00153135"/>
    <w:rsid w:val="00212E92"/>
    <w:rsid w:val="00217192"/>
    <w:rsid w:val="002C2084"/>
    <w:rsid w:val="002D58D8"/>
    <w:rsid w:val="002F770F"/>
    <w:rsid w:val="00307DE7"/>
    <w:rsid w:val="00307E94"/>
    <w:rsid w:val="00346562"/>
    <w:rsid w:val="003B67C9"/>
    <w:rsid w:val="003D34E0"/>
    <w:rsid w:val="00410A74"/>
    <w:rsid w:val="004B40C9"/>
    <w:rsid w:val="00515A99"/>
    <w:rsid w:val="00516A83"/>
    <w:rsid w:val="00524407"/>
    <w:rsid w:val="00537828"/>
    <w:rsid w:val="00544ACB"/>
    <w:rsid w:val="00571CAF"/>
    <w:rsid w:val="00592E58"/>
    <w:rsid w:val="005B2D25"/>
    <w:rsid w:val="005C2C60"/>
    <w:rsid w:val="005D1B45"/>
    <w:rsid w:val="005E1F67"/>
    <w:rsid w:val="005E6A3C"/>
    <w:rsid w:val="005F3DEC"/>
    <w:rsid w:val="00626C24"/>
    <w:rsid w:val="0064688B"/>
    <w:rsid w:val="00682452"/>
    <w:rsid w:val="0069293F"/>
    <w:rsid w:val="006E13FA"/>
    <w:rsid w:val="006E71CD"/>
    <w:rsid w:val="007549BF"/>
    <w:rsid w:val="00765140"/>
    <w:rsid w:val="007E374E"/>
    <w:rsid w:val="008213E6"/>
    <w:rsid w:val="00842D6B"/>
    <w:rsid w:val="008A4D2F"/>
    <w:rsid w:val="008B58CF"/>
    <w:rsid w:val="008D671F"/>
    <w:rsid w:val="009843C9"/>
    <w:rsid w:val="00994CDF"/>
    <w:rsid w:val="009E55A8"/>
    <w:rsid w:val="009F7F11"/>
    <w:rsid w:val="00A06CD6"/>
    <w:rsid w:val="00A160BB"/>
    <w:rsid w:val="00A41C25"/>
    <w:rsid w:val="00A730C4"/>
    <w:rsid w:val="00A74F08"/>
    <w:rsid w:val="00A81FF2"/>
    <w:rsid w:val="00AA2958"/>
    <w:rsid w:val="00AA346C"/>
    <w:rsid w:val="00AD5D58"/>
    <w:rsid w:val="00AE1C7E"/>
    <w:rsid w:val="00AF1A75"/>
    <w:rsid w:val="00B03670"/>
    <w:rsid w:val="00B12EE5"/>
    <w:rsid w:val="00B35EB0"/>
    <w:rsid w:val="00B96431"/>
    <w:rsid w:val="00BC4EE7"/>
    <w:rsid w:val="00C1581F"/>
    <w:rsid w:val="00C31271"/>
    <w:rsid w:val="00C438A8"/>
    <w:rsid w:val="00C922A8"/>
    <w:rsid w:val="00CC3970"/>
    <w:rsid w:val="00CC5D3F"/>
    <w:rsid w:val="00CD41A8"/>
    <w:rsid w:val="00D0269D"/>
    <w:rsid w:val="00D05E9D"/>
    <w:rsid w:val="00D06CA6"/>
    <w:rsid w:val="00D3090B"/>
    <w:rsid w:val="00D5425D"/>
    <w:rsid w:val="00DB6FC1"/>
    <w:rsid w:val="00DE58A2"/>
    <w:rsid w:val="00E362D0"/>
    <w:rsid w:val="00E36D4B"/>
    <w:rsid w:val="00E42565"/>
    <w:rsid w:val="00E46F11"/>
    <w:rsid w:val="00E64387"/>
    <w:rsid w:val="00E81F42"/>
    <w:rsid w:val="00E861BD"/>
    <w:rsid w:val="00E930BB"/>
    <w:rsid w:val="00EA7393"/>
    <w:rsid w:val="00EE2500"/>
    <w:rsid w:val="00EF1537"/>
    <w:rsid w:val="00F24A78"/>
    <w:rsid w:val="00F42041"/>
    <w:rsid w:val="00F85ABC"/>
    <w:rsid w:val="00FE29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2BDD7-B9DD-4208-ADDA-AD399D90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2084"/>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2C2084"/>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2C2084"/>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2C2084"/>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2C2084"/>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2C2084"/>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2C2084"/>
    <w:rPr>
      <w:rFonts w:asciiTheme="majorHAnsi" w:eastAsiaTheme="majorEastAsia" w:hAnsiTheme="majorHAnsi" w:cs="David"/>
      <w:bCs/>
      <w:sz w:val="32"/>
      <w:szCs w:val="36"/>
    </w:rPr>
  </w:style>
  <w:style w:type="character" w:customStyle="1" w:styleId="40">
    <w:name w:val="כותרת 4 תו"/>
    <w:basedOn w:val="a0"/>
    <w:link w:val="4"/>
    <w:uiPriority w:val="9"/>
    <w:rsid w:val="002C2084"/>
    <w:rPr>
      <w:rFonts w:ascii="David" w:hAnsi="David" w:cs="David"/>
      <w:b/>
      <w:bCs/>
      <w:color w:val="000000" w:themeColor="text1"/>
      <w:sz w:val="24"/>
      <w:szCs w:val="28"/>
    </w:rPr>
  </w:style>
  <w:style w:type="paragraph" w:customStyle="1" w:styleId="TableText">
    <w:name w:val="Table Text"/>
    <w:basedOn w:val="a"/>
    <w:rsid w:val="002C2084"/>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2C2084"/>
    <w:pPr>
      <w:outlineLvl w:val="2"/>
    </w:pPr>
  </w:style>
  <w:style w:type="paragraph" w:customStyle="1" w:styleId="TableBlock">
    <w:name w:val="Table Block"/>
    <w:basedOn w:val="TableText"/>
    <w:rsid w:val="002C2084"/>
    <w:pPr>
      <w:jc w:val="both"/>
    </w:pPr>
  </w:style>
  <w:style w:type="paragraph" w:customStyle="1" w:styleId="TableHead">
    <w:name w:val="Table Head"/>
    <w:basedOn w:val="TableText"/>
    <w:rsid w:val="002C2084"/>
    <w:pPr>
      <w:jc w:val="center"/>
      <w:outlineLvl w:val="1"/>
    </w:pPr>
    <w:rPr>
      <w:b/>
      <w:bCs/>
    </w:rPr>
  </w:style>
  <w:style w:type="paragraph" w:customStyle="1" w:styleId="HeadMitparsemetBaze">
    <w:name w:val="Head MitparsemetBaze"/>
    <w:basedOn w:val="a"/>
    <w:rsid w:val="002C2084"/>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2C2084"/>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2C2084"/>
    <w:pPr>
      <w:tabs>
        <w:tab w:val="left" w:pos="680"/>
        <w:tab w:val="left" w:pos="1020"/>
      </w:tabs>
      <w:ind w:firstLine="0"/>
    </w:pPr>
  </w:style>
  <w:style w:type="paragraph" w:customStyle="1" w:styleId="HeadDivreiHesber">
    <w:name w:val="Head DivreiHesber"/>
    <w:basedOn w:val="a"/>
    <w:rsid w:val="002C2084"/>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2C2084"/>
    <w:rPr>
      <w:rFonts w:asciiTheme="majorHAnsi" w:eastAsiaTheme="majorEastAsia" w:hAnsiTheme="majorHAnsi" w:cs="David"/>
      <w:bCs/>
      <w:sz w:val="26"/>
      <w:szCs w:val="36"/>
      <w:u w:val="single"/>
    </w:rPr>
  </w:style>
  <w:style w:type="character" w:customStyle="1" w:styleId="30">
    <w:name w:val="כותרת 3 תו"/>
    <w:basedOn w:val="a0"/>
    <w:link w:val="3"/>
    <w:rsid w:val="002C2084"/>
    <w:rPr>
      <w:rFonts w:asciiTheme="majorHAnsi" w:eastAsiaTheme="majorEastAsia" w:hAnsiTheme="majorHAnsi" w:cs="David"/>
      <w:sz w:val="24"/>
      <w:szCs w:val="28"/>
      <w:u w:val="double"/>
    </w:rPr>
  </w:style>
  <w:style w:type="character" w:customStyle="1" w:styleId="50">
    <w:name w:val="כותרת 5 תו"/>
    <w:basedOn w:val="a0"/>
    <w:link w:val="5"/>
    <w:uiPriority w:val="9"/>
    <w:rsid w:val="002C2084"/>
    <w:rPr>
      <w:rFonts w:ascii="David" w:hAnsi="David" w:cs="David"/>
      <w:color w:val="000000" w:themeColor="text1"/>
      <w:sz w:val="24"/>
      <w:szCs w:val="24"/>
    </w:rPr>
  </w:style>
  <w:style w:type="paragraph" w:customStyle="1" w:styleId="HeadHatzaotHok4Futer">
    <w:name w:val="Head HatzaotHok4Futer"/>
    <w:basedOn w:val="HeadHatzaotHok"/>
    <w:rsid w:val="002C2084"/>
    <w:pPr>
      <w:spacing w:before="120" w:after="120"/>
    </w:pPr>
    <w:rPr>
      <w:color w:val="FF0000"/>
      <w:w w:val="80"/>
    </w:rPr>
  </w:style>
  <w:style w:type="paragraph" w:styleId="a3">
    <w:name w:val="endnote text"/>
    <w:basedOn w:val="a"/>
    <w:link w:val="a4"/>
    <w:semiHidden/>
    <w:rsid w:val="002C2084"/>
    <w:pPr>
      <w:ind w:left="227" w:hanging="227"/>
    </w:pPr>
    <w:rPr>
      <w:sz w:val="14"/>
      <w:szCs w:val="22"/>
    </w:rPr>
  </w:style>
  <w:style w:type="character" w:customStyle="1" w:styleId="a4">
    <w:name w:val="טקסט הערת סיום תו"/>
    <w:basedOn w:val="a0"/>
    <w:link w:val="a3"/>
    <w:semiHidden/>
    <w:rsid w:val="002C2084"/>
    <w:rPr>
      <w:rFonts w:ascii="David" w:hAnsi="David" w:cs="David"/>
      <w:sz w:val="14"/>
    </w:rPr>
  </w:style>
  <w:style w:type="paragraph" w:customStyle="1" w:styleId="TableInnerSideHeading">
    <w:name w:val="Table InnerSideHeading"/>
    <w:basedOn w:val="TableSideHeading"/>
    <w:rsid w:val="002C2084"/>
    <w:pPr>
      <w:outlineLvl w:val="9"/>
    </w:pPr>
  </w:style>
  <w:style w:type="paragraph" w:customStyle="1" w:styleId="Hesber">
    <w:name w:val="Hesber"/>
    <w:basedOn w:val="a"/>
    <w:rsid w:val="002C2084"/>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2C2084"/>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2C2084"/>
    <w:rPr>
      <w:rFonts w:ascii="Arial" w:eastAsia="Arial Unicode MS" w:hAnsi="Arial" w:cs="David"/>
      <w:snapToGrid w:val="0"/>
      <w:sz w:val="14"/>
      <w:szCs w:val="20"/>
    </w:rPr>
  </w:style>
  <w:style w:type="character" w:styleId="a7">
    <w:name w:val="footnote reference"/>
    <w:aliases w:val="Footnote Reference_0,Footnote Reference_0_0"/>
    <w:basedOn w:val="a0"/>
    <w:uiPriority w:val="99"/>
    <w:semiHidden/>
    <w:rsid w:val="002C2084"/>
    <w:rPr>
      <w:vertAlign w:val="superscript"/>
    </w:rPr>
  </w:style>
  <w:style w:type="paragraph" w:customStyle="1" w:styleId="HesberHeading">
    <w:name w:val="Hesber Heading"/>
    <w:basedOn w:val="Hesber"/>
    <w:rsid w:val="002C2084"/>
    <w:pPr>
      <w:tabs>
        <w:tab w:val="left" w:pos="624"/>
        <w:tab w:val="left" w:pos="1247"/>
      </w:tabs>
    </w:pPr>
    <w:rPr>
      <w:b/>
      <w:bCs/>
    </w:rPr>
  </w:style>
  <w:style w:type="paragraph" w:customStyle="1" w:styleId="HesberWriters">
    <w:name w:val="Hesber Writers"/>
    <w:basedOn w:val="Hesber"/>
    <w:rsid w:val="002C2084"/>
    <w:pPr>
      <w:spacing w:before="120" w:after="120"/>
      <w:ind w:left="1418"/>
      <w:jc w:val="right"/>
    </w:pPr>
    <w:rPr>
      <w:b/>
      <w:bCs/>
    </w:rPr>
  </w:style>
  <w:style w:type="character" w:styleId="a8">
    <w:name w:val="endnote reference"/>
    <w:basedOn w:val="a0"/>
    <w:semiHidden/>
    <w:rsid w:val="002C2084"/>
    <w:rPr>
      <w:vertAlign w:val="superscript"/>
    </w:rPr>
  </w:style>
  <w:style w:type="paragraph" w:customStyle="1" w:styleId="TableBlockOutdent">
    <w:name w:val="Table BlockOutdent"/>
    <w:basedOn w:val="TableBlock"/>
    <w:rsid w:val="002C2084"/>
    <w:pPr>
      <w:ind w:left="624" w:hanging="624"/>
    </w:pPr>
  </w:style>
  <w:style w:type="paragraph" w:styleId="a9">
    <w:name w:val="header"/>
    <w:basedOn w:val="a"/>
    <w:link w:val="aa"/>
    <w:rsid w:val="002C2084"/>
    <w:pPr>
      <w:tabs>
        <w:tab w:val="center" w:pos="4153"/>
        <w:tab w:val="right" w:pos="8306"/>
      </w:tabs>
    </w:pPr>
  </w:style>
  <w:style w:type="character" w:customStyle="1" w:styleId="aa">
    <w:name w:val="כותרת עליונה תו"/>
    <w:basedOn w:val="a0"/>
    <w:link w:val="a9"/>
    <w:rsid w:val="002C2084"/>
    <w:rPr>
      <w:rFonts w:ascii="David" w:hAnsi="David" w:cs="David"/>
      <w:sz w:val="24"/>
      <w:szCs w:val="24"/>
    </w:rPr>
  </w:style>
  <w:style w:type="paragraph" w:styleId="ab">
    <w:name w:val="footer"/>
    <w:basedOn w:val="a"/>
    <w:link w:val="ac"/>
    <w:rsid w:val="002C2084"/>
    <w:pPr>
      <w:tabs>
        <w:tab w:val="center" w:pos="4153"/>
        <w:tab w:val="right" w:pos="8306"/>
      </w:tabs>
    </w:pPr>
  </w:style>
  <w:style w:type="character" w:customStyle="1" w:styleId="ac">
    <w:name w:val="כותרת תחתונה תו"/>
    <w:basedOn w:val="a0"/>
    <w:link w:val="ab"/>
    <w:rsid w:val="002C2084"/>
    <w:rPr>
      <w:rFonts w:ascii="David" w:hAnsi="David" w:cs="David"/>
      <w:sz w:val="24"/>
      <w:szCs w:val="24"/>
    </w:rPr>
  </w:style>
  <w:style w:type="character" w:styleId="ad">
    <w:name w:val="page number"/>
    <w:basedOn w:val="a0"/>
    <w:rsid w:val="002C2084"/>
  </w:style>
  <w:style w:type="paragraph" w:customStyle="1" w:styleId="Cover1-Reshumot">
    <w:name w:val="Cover 1-Reshumot"/>
    <w:basedOn w:val="a"/>
    <w:rsid w:val="002C2084"/>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2C2084"/>
    <w:rPr>
      <w:sz w:val="36"/>
      <w:szCs w:val="52"/>
    </w:rPr>
  </w:style>
  <w:style w:type="paragraph" w:customStyle="1" w:styleId="Cover3-Haknesset">
    <w:name w:val="Cover 3-Haknesset"/>
    <w:basedOn w:val="Cover1-Reshumot"/>
    <w:rsid w:val="002C2084"/>
    <w:rPr>
      <w:b/>
      <w:bCs/>
      <w:spacing w:val="60"/>
    </w:rPr>
  </w:style>
  <w:style w:type="paragraph" w:customStyle="1" w:styleId="Cover4-Date">
    <w:name w:val="Cover 4-Date"/>
    <w:basedOn w:val="a"/>
    <w:rsid w:val="002C2084"/>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2C2084"/>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2C2084"/>
    <w:pPr>
      <w:widowControl/>
      <w:spacing w:before="120" w:after="120"/>
      <w:outlineLvl w:val="9"/>
    </w:pPr>
    <w:rPr>
      <w:rtl/>
      <w:cs/>
    </w:rPr>
  </w:style>
  <w:style w:type="paragraph" w:styleId="TOC1">
    <w:name w:val="toc 1"/>
    <w:basedOn w:val="a"/>
    <w:next w:val="a"/>
    <w:autoRedefine/>
    <w:uiPriority w:val="39"/>
    <w:unhideWhenUsed/>
    <w:rsid w:val="002C2084"/>
    <w:pPr>
      <w:tabs>
        <w:tab w:val="right" w:leader="dot" w:pos="9629"/>
      </w:tabs>
      <w:spacing w:after="100"/>
    </w:pPr>
    <w:rPr>
      <w:bCs/>
      <w:szCs w:val="22"/>
    </w:rPr>
  </w:style>
  <w:style w:type="paragraph" w:styleId="TOC2">
    <w:name w:val="toc 2"/>
    <w:basedOn w:val="a"/>
    <w:next w:val="a"/>
    <w:uiPriority w:val="39"/>
    <w:unhideWhenUsed/>
    <w:rsid w:val="002C2084"/>
    <w:pPr>
      <w:tabs>
        <w:tab w:val="right" w:leader="dot" w:pos="9628"/>
      </w:tabs>
      <w:spacing w:after="100"/>
    </w:pPr>
    <w:rPr>
      <w:szCs w:val="22"/>
    </w:rPr>
  </w:style>
  <w:style w:type="character" w:styleId="Hyperlink">
    <w:name w:val="Hyperlink"/>
    <w:basedOn w:val="a0"/>
    <w:uiPriority w:val="99"/>
    <w:unhideWhenUsed/>
    <w:rsid w:val="002C2084"/>
    <w:rPr>
      <w:color w:val="0563C1" w:themeColor="hyperlink"/>
      <w:u w:val="single"/>
    </w:rPr>
  </w:style>
  <w:style w:type="paragraph" w:styleId="TOC3">
    <w:name w:val="toc 3"/>
    <w:basedOn w:val="a"/>
    <w:next w:val="a"/>
    <w:uiPriority w:val="39"/>
    <w:unhideWhenUsed/>
    <w:rsid w:val="002C2084"/>
    <w:pPr>
      <w:numPr>
        <w:numId w:val="19"/>
      </w:numPr>
      <w:tabs>
        <w:tab w:val="right" w:leader="dot" w:pos="9629"/>
      </w:tabs>
      <w:spacing w:after="100"/>
      <w:ind w:left="811" w:hanging="357"/>
    </w:pPr>
    <w:rPr>
      <w:szCs w:val="22"/>
    </w:rPr>
  </w:style>
  <w:style w:type="paragraph" w:styleId="TOC4">
    <w:name w:val="toc 4"/>
    <w:basedOn w:val="a"/>
    <w:next w:val="a"/>
    <w:autoRedefine/>
    <w:unhideWhenUsed/>
    <w:qFormat/>
    <w:rsid w:val="002C2084"/>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2C2084"/>
    <w:pPr>
      <w:tabs>
        <w:tab w:val="right" w:leader="dot" w:pos="9628"/>
      </w:tabs>
      <w:spacing w:after="100"/>
      <w:ind w:left="567"/>
    </w:pPr>
    <w:rPr>
      <w:szCs w:val="22"/>
    </w:rPr>
  </w:style>
  <w:style w:type="paragraph" w:styleId="TOC6">
    <w:name w:val="toc 6"/>
    <w:basedOn w:val="a"/>
    <w:next w:val="a"/>
    <w:autoRedefine/>
    <w:semiHidden/>
    <w:unhideWhenUsed/>
    <w:rsid w:val="002C2084"/>
    <w:pPr>
      <w:spacing w:after="100"/>
      <w:ind w:left="850"/>
    </w:pPr>
  </w:style>
  <w:style w:type="paragraph" w:styleId="TOC7">
    <w:name w:val="toc 7"/>
    <w:basedOn w:val="a"/>
    <w:next w:val="a"/>
    <w:autoRedefine/>
    <w:semiHidden/>
    <w:unhideWhenUsed/>
    <w:rsid w:val="002C2084"/>
    <w:pPr>
      <w:spacing w:after="100"/>
      <w:ind w:left="1020"/>
    </w:pPr>
  </w:style>
  <w:style w:type="paragraph" w:styleId="TOC8">
    <w:name w:val="toc 8"/>
    <w:basedOn w:val="a"/>
    <w:next w:val="a"/>
    <w:autoRedefine/>
    <w:semiHidden/>
    <w:unhideWhenUsed/>
    <w:rsid w:val="002C2084"/>
    <w:pPr>
      <w:spacing w:after="100"/>
      <w:ind w:left="1190"/>
    </w:pPr>
  </w:style>
  <w:style w:type="paragraph" w:styleId="TOC9">
    <w:name w:val="toc 9"/>
    <w:basedOn w:val="a"/>
    <w:next w:val="a"/>
    <w:autoRedefine/>
    <w:semiHidden/>
    <w:unhideWhenUsed/>
    <w:rsid w:val="002C2084"/>
    <w:pPr>
      <w:spacing w:after="100"/>
      <w:ind w:left="1360"/>
    </w:pPr>
  </w:style>
  <w:style w:type="paragraph" w:customStyle="1" w:styleId="TableHead2">
    <w:name w:val="Table Head2"/>
    <w:basedOn w:val="TableHead"/>
    <w:qFormat/>
    <w:rsid w:val="002C2084"/>
    <w:pPr>
      <w:outlineLvl w:val="9"/>
    </w:pPr>
  </w:style>
  <w:style w:type="paragraph" w:customStyle="1" w:styleId="TableSideHeading2">
    <w:name w:val="Table SideHeading2"/>
    <w:basedOn w:val="TableSideHeading"/>
    <w:autoRedefine/>
    <w:qFormat/>
    <w:rsid w:val="002C2084"/>
    <w:pPr>
      <w:keepLines w:val="0"/>
      <w:outlineLvl w:val="9"/>
    </w:pPr>
  </w:style>
  <w:style w:type="paragraph" w:customStyle="1" w:styleId="0">
    <w:name w:val="סגנון שורה ראשונה:  0  ס''מ"/>
    <w:basedOn w:val="2"/>
    <w:rsid w:val="002C2084"/>
    <w:rPr>
      <w:rFonts w:eastAsia="Times New Roman"/>
    </w:rPr>
  </w:style>
  <w:style w:type="paragraph" w:styleId="af">
    <w:name w:val="List Paragraph"/>
    <w:basedOn w:val="a"/>
    <w:uiPriority w:val="34"/>
    <w:qFormat/>
    <w:rsid w:val="002C2084"/>
    <w:pPr>
      <w:widowControl/>
      <w:spacing w:line="259" w:lineRule="auto"/>
    </w:pPr>
    <w:rPr>
      <w:rFonts w:asciiTheme="minorHAnsi" w:hAnsiTheme="minorHAnsi"/>
      <w:sz w:val="22"/>
    </w:rPr>
  </w:style>
  <w:style w:type="table" w:styleId="af0">
    <w:name w:val="Table Grid"/>
    <w:basedOn w:val="a1"/>
    <w:rsid w:val="002C208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2C2084"/>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2C2084"/>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2C2084"/>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2C2084"/>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2">
    <w:name w:val="Balloon Text"/>
    <w:basedOn w:val="a"/>
    <w:link w:val="af3"/>
    <w:uiPriority w:val="99"/>
    <w:semiHidden/>
    <w:unhideWhenUsed/>
    <w:rsid w:val="005E1F67"/>
    <w:pPr>
      <w:spacing w:line="240" w:lineRule="auto"/>
    </w:pPr>
    <w:rPr>
      <w:rFonts w:ascii="Tahoma" w:hAnsi="Tahoma" w:cs="Tahoma"/>
      <w:sz w:val="18"/>
      <w:szCs w:val="18"/>
    </w:rPr>
  </w:style>
  <w:style w:type="character" w:customStyle="1" w:styleId="af3">
    <w:name w:val="טקסט בלונים תו"/>
    <w:basedOn w:val="a0"/>
    <w:link w:val="af2"/>
    <w:uiPriority w:val="99"/>
    <w:semiHidden/>
    <w:rsid w:val="005E1F67"/>
    <w:rPr>
      <w:rFonts w:ascii="Tahoma" w:hAnsi="Tahoma" w:cs="Tahoma"/>
      <w:sz w:val="18"/>
      <w:szCs w:val="18"/>
    </w:rPr>
  </w:style>
  <w:style w:type="character" w:styleId="af4">
    <w:name w:val="annotation reference"/>
    <w:basedOn w:val="a0"/>
    <w:uiPriority w:val="99"/>
    <w:semiHidden/>
    <w:unhideWhenUsed/>
    <w:rsid w:val="003B67C9"/>
    <w:rPr>
      <w:sz w:val="16"/>
      <w:szCs w:val="16"/>
    </w:rPr>
  </w:style>
  <w:style w:type="paragraph" w:styleId="af5">
    <w:name w:val="annotation text"/>
    <w:basedOn w:val="a"/>
    <w:link w:val="af6"/>
    <w:uiPriority w:val="99"/>
    <w:semiHidden/>
    <w:unhideWhenUsed/>
    <w:rsid w:val="003B67C9"/>
    <w:pPr>
      <w:spacing w:line="240" w:lineRule="auto"/>
    </w:pPr>
    <w:rPr>
      <w:sz w:val="20"/>
      <w:szCs w:val="20"/>
    </w:rPr>
  </w:style>
  <w:style w:type="character" w:customStyle="1" w:styleId="af6">
    <w:name w:val="טקסט הערה תו"/>
    <w:basedOn w:val="a0"/>
    <w:link w:val="af5"/>
    <w:uiPriority w:val="99"/>
    <w:semiHidden/>
    <w:rsid w:val="003B67C9"/>
    <w:rPr>
      <w:rFonts w:ascii="David" w:hAnsi="David" w:cs="David"/>
      <w:sz w:val="20"/>
      <w:szCs w:val="20"/>
    </w:rPr>
  </w:style>
  <w:style w:type="paragraph" w:styleId="af7">
    <w:name w:val="annotation subject"/>
    <w:basedOn w:val="af5"/>
    <w:next w:val="af5"/>
    <w:link w:val="af8"/>
    <w:uiPriority w:val="99"/>
    <w:semiHidden/>
    <w:unhideWhenUsed/>
    <w:rsid w:val="003B67C9"/>
    <w:rPr>
      <w:b/>
      <w:bCs/>
    </w:rPr>
  </w:style>
  <w:style w:type="character" w:customStyle="1" w:styleId="af8">
    <w:name w:val="נושא הערה תו"/>
    <w:basedOn w:val="af6"/>
    <w:link w:val="af7"/>
    <w:uiPriority w:val="99"/>
    <w:semiHidden/>
    <w:rsid w:val="003B67C9"/>
    <w:rPr>
      <w:rFonts w:ascii="David" w:hAnsi="David" w:cs="David"/>
      <w:b/>
      <w:bCs/>
      <w:sz w:val="20"/>
      <w:szCs w:val="20"/>
    </w:rPr>
  </w:style>
  <w:style w:type="paragraph" w:styleId="af9">
    <w:name w:val="Revision"/>
    <w:hidden/>
    <w:uiPriority w:val="99"/>
    <w:semiHidden/>
    <w:rsid w:val="00AE1C7E"/>
    <w:pPr>
      <w:spacing w:after="0" w:line="240" w:lineRule="auto"/>
    </w:pPr>
    <w:rPr>
      <w:rFonts w:ascii="David" w:hAnsi="David"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359AF-5411-40F0-8730-D5E68F60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1230</Words>
  <Characters>6155</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Clement</dc:creator>
  <cp:lastModifiedBy>איילת זלדין</cp:lastModifiedBy>
  <cp:revision>2</cp:revision>
  <dcterms:created xsi:type="dcterms:W3CDTF">2022-05-12T19:52:00Z</dcterms:created>
  <dcterms:modified xsi:type="dcterms:W3CDTF">2022-05-12T19:52:00Z</dcterms:modified>
</cp:coreProperties>
</file>