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FF956E" w14:textId="77777777" w:rsidR="00D56CBB" w:rsidRPr="00261A72" w:rsidRDefault="00D56CBB" w:rsidP="00D56CBB">
      <w:pPr>
        <w:jc w:val="center"/>
        <w:rPr>
          <w:b/>
          <w:bCs/>
          <w:sz w:val="26"/>
          <w:szCs w:val="26"/>
          <w:rtl/>
        </w:rPr>
      </w:pPr>
      <w:bookmarkStart w:id="0" w:name="_GoBack"/>
      <w:bookmarkEnd w:id="0"/>
      <w:r w:rsidRPr="00261A72">
        <w:rPr>
          <w:noProof/>
        </w:rPr>
        <w:drawing>
          <wp:inline distT="0" distB="0" distL="0" distR="0" wp14:anchorId="48AB9B47" wp14:editId="7A70D672">
            <wp:extent cx="509905" cy="624205"/>
            <wp:effectExtent l="0" t="0" r="4445" b="4445"/>
            <wp:docPr id="1" name="תמונה 1" descr="סמל המדינה"/>
            <wp:cNvGraphicFramePr/>
            <a:graphic xmlns:a="http://schemas.openxmlformats.org/drawingml/2006/main">
              <a:graphicData uri="http://schemas.openxmlformats.org/drawingml/2006/picture">
                <pic:pic xmlns:pic="http://schemas.openxmlformats.org/drawingml/2006/picture">
                  <pic:nvPicPr>
                    <pic:cNvPr id="1" name="תמונה 1" descr="סמל המדינה"/>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09905" cy="624205"/>
                    </a:xfrm>
                    <a:prstGeom prst="rect">
                      <a:avLst/>
                    </a:prstGeom>
                    <a:noFill/>
                    <a:ln>
                      <a:noFill/>
                    </a:ln>
                  </pic:spPr>
                </pic:pic>
              </a:graphicData>
            </a:graphic>
          </wp:inline>
        </w:drawing>
      </w:r>
    </w:p>
    <w:p w14:paraId="55148004" w14:textId="77777777" w:rsidR="00D56CBB" w:rsidRPr="00261A72" w:rsidRDefault="00D56CBB" w:rsidP="00D56CBB">
      <w:pPr>
        <w:rPr>
          <w:b/>
          <w:bCs/>
          <w:sz w:val="26"/>
          <w:szCs w:val="26"/>
          <w:rtl/>
        </w:rPr>
      </w:pPr>
      <w:r w:rsidRPr="00261A72">
        <w:rPr>
          <w:b/>
          <w:bCs/>
          <w:sz w:val="26"/>
          <w:szCs w:val="26"/>
          <w:rtl/>
        </w:rPr>
        <w:t>תוכן עניינים</w:t>
      </w:r>
    </w:p>
    <w:p w14:paraId="5C3BBE46" w14:textId="6553CDB3" w:rsidR="0065160D" w:rsidRPr="00261A72" w:rsidRDefault="0065160D" w:rsidP="0065160D">
      <w:pPr>
        <w:pStyle w:val="TOC1"/>
        <w:rPr>
          <w:rFonts w:asciiTheme="minorHAnsi" w:eastAsiaTheme="minorEastAsia" w:hAnsiTheme="minorHAnsi" w:cstheme="minorBidi"/>
          <w:bCs w:val="0"/>
          <w:noProof/>
          <w:sz w:val="22"/>
          <w:rtl/>
        </w:rPr>
      </w:pPr>
      <w:r w:rsidRPr="00261A72">
        <w:rPr>
          <w:rtl/>
        </w:rPr>
        <w:fldChar w:fldCharType="begin"/>
      </w:r>
      <w:r w:rsidRPr="00261A72">
        <w:rPr>
          <w:rtl/>
        </w:rPr>
        <w:instrText xml:space="preserve"> </w:instrText>
      </w:r>
      <w:r w:rsidRPr="00261A72">
        <w:instrText>TOC</w:instrText>
      </w:r>
      <w:r w:rsidRPr="00261A72">
        <w:rPr>
          <w:rtl/>
        </w:rPr>
        <w:instrText xml:space="preserve"> \</w:instrText>
      </w:r>
      <w:r w:rsidRPr="00261A72">
        <w:instrText>o "1-9" \h \z \t "Table SideHeading,3,Table Head,2,Head HatzaotHok,1,Head DivreiHesber,2,Head HatzaotHok4Futer,1</w:instrText>
      </w:r>
      <w:r w:rsidRPr="00261A72">
        <w:rPr>
          <w:rtl/>
        </w:rPr>
        <w:instrText xml:space="preserve">" </w:instrText>
      </w:r>
      <w:r w:rsidRPr="00261A72">
        <w:rPr>
          <w:rtl/>
        </w:rPr>
        <w:fldChar w:fldCharType="separate"/>
      </w:r>
      <w:hyperlink w:anchor="_Toc97805060" w:history="1">
        <w:r w:rsidRPr="00261A72">
          <w:rPr>
            <w:rStyle w:val="Hyperlink"/>
            <w:noProof/>
            <w:rtl/>
          </w:rPr>
          <w:t>טיוטת צו</w:t>
        </w:r>
        <w:r w:rsidRPr="00261A72">
          <w:rPr>
            <w:noProof/>
            <w:webHidden/>
            <w:rtl/>
          </w:rPr>
          <w:tab/>
        </w:r>
        <w:r w:rsidRPr="00261A72">
          <w:rPr>
            <w:rStyle w:val="Hyperlink"/>
            <w:noProof/>
            <w:rtl/>
          </w:rPr>
          <w:fldChar w:fldCharType="begin"/>
        </w:r>
        <w:r w:rsidRPr="00261A72">
          <w:rPr>
            <w:noProof/>
            <w:webHidden/>
            <w:rtl/>
          </w:rPr>
          <w:instrText xml:space="preserve"> </w:instrText>
        </w:r>
        <w:r w:rsidRPr="00261A72">
          <w:rPr>
            <w:noProof/>
            <w:webHidden/>
          </w:rPr>
          <w:instrText>PAGEREF</w:instrText>
        </w:r>
        <w:r w:rsidRPr="00261A72">
          <w:rPr>
            <w:noProof/>
            <w:webHidden/>
            <w:rtl/>
          </w:rPr>
          <w:instrText xml:space="preserve"> _</w:instrText>
        </w:r>
        <w:r w:rsidRPr="00261A72">
          <w:rPr>
            <w:noProof/>
            <w:webHidden/>
          </w:rPr>
          <w:instrText>Toc97805060 \h</w:instrText>
        </w:r>
        <w:r w:rsidRPr="00261A72">
          <w:rPr>
            <w:noProof/>
            <w:webHidden/>
            <w:rtl/>
          </w:rPr>
          <w:instrText xml:space="preserve"> </w:instrText>
        </w:r>
        <w:r w:rsidRPr="00261A72">
          <w:rPr>
            <w:rStyle w:val="Hyperlink"/>
            <w:noProof/>
            <w:rtl/>
          </w:rPr>
        </w:r>
        <w:r w:rsidRPr="00261A72">
          <w:rPr>
            <w:rStyle w:val="Hyperlink"/>
            <w:noProof/>
            <w:rtl/>
          </w:rPr>
          <w:fldChar w:fldCharType="separate"/>
        </w:r>
        <w:r w:rsidRPr="00261A72">
          <w:rPr>
            <w:noProof/>
            <w:webHidden/>
            <w:rtl/>
          </w:rPr>
          <w:t>2</w:t>
        </w:r>
        <w:r w:rsidRPr="00261A72">
          <w:rPr>
            <w:rStyle w:val="Hyperlink"/>
            <w:noProof/>
            <w:rtl/>
          </w:rPr>
          <w:fldChar w:fldCharType="end"/>
        </w:r>
      </w:hyperlink>
    </w:p>
    <w:p w14:paraId="7AFF729F" w14:textId="6079DC86" w:rsidR="0065160D" w:rsidRPr="00261A72" w:rsidRDefault="001C6213" w:rsidP="0065160D">
      <w:pPr>
        <w:pStyle w:val="TOC4"/>
        <w:rPr>
          <w:rFonts w:cstheme="minorBidi"/>
          <w:rtl/>
        </w:rPr>
      </w:pPr>
      <w:hyperlink w:anchor="_Toc97805061" w:history="1">
        <w:r w:rsidR="0065160D" w:rsidRPr="00261A72">
          <w:rPr>
            <w:rStyle w:val="Hyperlink"/>
            <w:rtl/>
          </w:rPr>
          <w:t>א. שם הצו המוצע</w:t>
        </w:r>
        <w:r w:rsidR="0065160D" w:rsidRPr="00261A72">
          <w:rPr>
            <w:webHidden/>
            <w:rtl/>
          </w:rPr>
          <w:tab/>
        </w:r>
        <w:r w:rsidR="0065160D" w:rsidRPr="00261A72">
          <w:rPr>
            <w:rStyle w:val="Hyperlink"/>
            <w:rtl/>
          </w:rPr>
          <w:fldChar w:fldCharType="begin"/>
        </w:r>
        <w:r w:rsidR="0065160D" w:rsidRPr="00261A72">
          <w:rPr>
            <w:webHidden/>
            <w:rtl/>
          </w:rPr>
          <w:instrText xml:space="preserve"> </w:instrText>
        </w:r>
        <w:r w:rsidR="0065160D" w:rsidRPr="00261A72">
          <w:rPr>
            <w:webHidden/>
          </w:rPr>
          <w:instrText>PAGEREF</w:instrText>
        </w:r>
        <w:r w:rsidR="0065160D" w:rsidRPr="00261A72">
          <w:rPr>
            <w:webHidden/>
            <w:rtl/>
          </w:rPr>
          <w:instrText xml:space="preserve"> _</w:instrText>
        </w:r>
        <w:r w:rsidR="0065160D" w:rsidRPr="00261A72">
          <w:rPr>
            <w:webHidden/>
          </w:rPr>
          <w:instrText>Toc97805061 \h</w:instrText>
        </w:r>
        <w:r w:rsidR="0065160D" w:rsidRPr="00261A72">
          <w:rPr>
            <w:webHidden/>
            <w:rtl/>
          </w:rPr>
          <w:instrText xml:space="preserve"> </w:instrText>
        </w:r>
        <w:r w:rsidR="0065160D" w:rsidRPr="00261A72">
          <w:rPr>
            <w:rStyle w:val="Hyperlink"/>
            <w:rtl/>
          </w:rPr>
        </w:r>
        <w:r w:rsidR="0065160D" w:rsidRPr="00261A72">
          <w:rPr>
            <w:rStyle w:val="Hyperlink"/>
            <w:rtl/>
          </w:rPr>
          <w:fldChar w:fldCharType="separate"/>
        </w:r>
        <w:r w:rsidR="0065160D" w:rsidRPr="00261A72">
          <w:rPr>
            <w:webHidden/>
            <w:rtl/>
          </w:rPr>
          <w:t>2</w:t>
        </w:r>
        <w:r w:rsidR="0065160D" w:rsidRPr="00261A72">
          <w:rPr>
            <w:rStyle w:val="Hyperlink"/>
            <w:rtl/>
          </w:rPr>
          <w:fldChar w:fldCharType="end"/>
        </w:r>
      </w:hyperlink>
    </w:p>
    <w:p w14:paraId="34DD2CE2" w14:textId="27E79DFC" w:rsidR="0065160D" w:rsidRPr="00261A72" w:rsidRDefault="001C6213" w:rsidP="0065160D">
      <w:pPr>
        <w:pStyle w:val="TOC4"/>
        <w:rPr>
          <w:rFonts w:cstheme="minorBidi"/>
          <w:rtl/>
        </w:rPr>
      </w:pPr>
      <w:hyperlink w:anchor="_Toc97805062" w:history="1">
        <w:r w:rsidR="0065160D" w:rsidRPr="00261A72">
          <w:rPr>
            <w:rStyle w:val="Hyperlink"/>
            <w:rtl/>
          </w:rPr>
          <w:t>ב. מטרת הצו המוצע והצורך בו</w:t>
        </w:r>
        <w:r w:rsidR="0065160D" w:rsidRPr="00261A72">
          <w:rPr>
            <w:webHidden/>
            <w:rtl/>
          </w:rPr>
          <w:tab/>
        </w:r>
        <w:r w:rsidR="0065160D" w:rsidRPr="00261A72">
          <w:rPr>
            <w:rStyle w:val="Hyperlink"/>
            <w:rtl/>
          </w:rPr>
          <w:fldChar w:fldCharType="begin"/>
        </w:r>
        <w:r w:rsidR="0065160D" w:rsidRPr="00261A72">
          <w:rPr>
            <w:webHidden/>
            <w:rtl/>
          </w:rPr>
          <w:instrText xml:space="preserve"> </w:instrText>
        </w:r>
        <w:r w:rsidR="0065160D" w:rsidRPr="00261A72">
          <w:rPr>
            <w:webHidden/>
          </w:rPr>
          <w:instrText>PAGEREF</w:instrText>
        </w:r>
        <w:r w:rsidR="0065160D" w:rsidRPr="00261A72">
          <w:rPr>
            <w:webHidden/>
            <w:rtl/>
          </w:rPr>
          <w:instrText xml:space="preserve"> _</w:instrText>
        </w:r>
        <w:r w:rsidR="0065160D" w:rsidRPr="00261A72">
          <w:rPr>
            <w:webHidden/>
          </w:rPr>
          <w:instrText>Toc97805062 \h</w:instrText>
        </w:r>
        <w:r w:rsidR="0065160D" w:rsidRPr="00261A72">
          <w:rPr>
            <w:webHidden/>
            <w:rtl/>
          </w:rPr>
          <w:instrText xml:space="preserve"> </w:instrText>
        </w:r>
        <w:r w:rsidR="0065160D" w:rsidRPr="00261A72">
          <w:rPr>
            <w:rStyle w:val="Hyperlink"/>
            <w:rtl/>
          </w:rPr>
        </w:r>
        <w:r w:rsidR="0065160D" w:rsidRPr="00261A72">
          <w:rPr>
            <w:rStyle w:val="Hyperlink"/>
            <w:rtl/>
          </w:rPr>
          <w:fldChar w:fldCharType="separate"/>
        </w:r>
        <w:r w:rsidR="0065160D" w:rsidRPr="00261A72">
          <w:rPr>
            <w:webHidden/>
            <w:rtl/>
          </w:rPr>
          <w:t>2</w:t>
        </w:r>
        <w:r w:rsidR="0065160D" w:rsidRPr="00261A72">
          <w:rPr>
            <w:rStyle w:val="Hyperlink"/>
            <w:rtl/>
          </w:rPr>
          <w:fldChar w:fldCharType="end"/>
        </w:r>
      </w:hyperlink>
    </w:p>
    <w:p w14:paraId="240F9BF7" w14:textId="058DDD0F" w:rsidR="0065160D" w:rsidRPr="00261A72" w:rsidRDefault="001C6213" w:rsidP="0065160D">
      <w:pPr>
        <w:pStyle w:val="TOC4"/>
        <w:rPr>
          <w:rFonts w:cstheme="minorBidi"/>
          <w:rtl/>
        </w:rPr>
      </w:pPr>
      <w:hyperlink w:anchor="_Toc97805063" w:history="1">
        <w:r w:rsidR="0065160D" w:rsidRPr="00261A72">
          <w:rPr>
            <w:rStyle w:val="Hyperlink"/>
            <w:rtl/>
          </w:rPr>
          <w:t>ג. להלן נוסח טיוטת הצו המוצע:</w:t>
        </w:r>
        <w:r w:rsidR="0065160D" w:rsidRPr="00261A72">
          <w:rPr>
            <w:webHidden/>
            <w:rtl/>
          </w:rPr>
          <w:tab/>
        </w:r>
        <w:r w:rsidR="0065160D" w:rsidRPr="00261A72">
          <w:rPr>
            <w:rStyle w:val="Hyperlink"/>
            <w:rtl/>
          </w:rPr>
          <w:fldChar w:fldCharType="begin"/>
        </w:r>
        <w:r w:rsidR="0065160D" w:rsidRPr="00261A72">
          <w:rPr>
            <w:webHidden/>
            <w:rtl/>
          </w:rPr>
          <w:instrText xml:space="preserve"> </w:instrText>
        </w:r>
        <w:r w:rsidR="0065160D" w:rsidRPr="00261A72">
          <w:rPr>
            <w:webHidden/>
          </w:rPr>
          <w:instrText>PAGEREF</w:instrText>
        </w:r>
        <w:r w:rsidR="0065160D" w:rsidRPr="00261A72">
          <w:rPr>
            <w:webHidden/>
            <w:rtl/>
          </w:rPr>
          <w:instrText xml:space="preserve"> _</w:instrText>
        </w:r>
        <w:r w:rsidR="0065160D" w:rsidRPr="00261A72">
          <w:rPr>
            <w:webHidden/>
          </w:rPr>
          <w:instrText>Toc97805063 \h</w:instrText>
        </w:r>
        <w:r w:rsidR="0065160D" w:rsidRPr="00261A72">
          <w:rPr>
            <w:webHidden/>
            <w:rtl/>
          </w:rPr>
          <w:instrText xml:space="preserve"> </w:instrText>
        </w:r>
        <w:r w:rsidR="0065160D" w:rsidRPr="00261A72">
          <w:rPr>
            <w:rStyle w:val="Hyperlink"/>
            <w:rtl/>
          </w:rPr>
        </w:r>
        <w:r w:rsidR="0065160D" w:rsidRPr="00261A72">
          <w:rPr>
            <w:rStyle w:val="Hyperlink"/>
            <w:rtl/>
          </w:rPr>
          <w:fldChar w:fldCharType="separate"/>
        </w:r>
        <w:r w:rsidR="0065160D" w:rsidRPr="00261A72">
          <w:rPr>
            <w:webHidden/>
            <w:rtl/>
          </w:rPr>
          <w:t>2</w:t>
        </w:r>
        <w:r w:rsidR="0065160D" w:rsidRPr="00261A72">
          <w:rPr>
            <w:rStyle w:val="Hyperlink"/>
            <w:rtl/>
          </w:rPr>
          <w:fldChar w:fldCharType="end"/>
        </w:r>
      </w:hyperlink>
    </w:p>
    <w:p w14:paraId="05DF1F9C" w14:textId="2E25BF8F" w:rsidR="0065160D" w:rsidRPr="00261A72" w:rsidRDefault="001C6213" w:rsidP="0065160D">
      <w:pPr>
        <w:pStyle w:val="TOC1"/>
        <w:rPr>
          <w:rFonts w:asciiTheme="minorHAnsi" w:eastAsiaTheme="minorEastAsia" w:hAnsiTheme="minorHAnsi" w:cstheme="minorBidi"/>
          <w:bCs w:val="0"/>
          <w:noProof/>
          <w:sz w:val="22"/>
          <w:rtl/>
        </w:rPr>
      </w:pPr>
      <w:hyperlink w:anchor="_Toc97805064" w:history="1">
        <w:r w:rsidR="0065160D" w:rsidRPr="00261A72">
          <w:rPr>
            <w:rStyle w:val="Hyperlink"/>
            <w:noProof/>
            <w:rtl/>
          </w:rPr>
          <w:t>טיוטת צו תעריף המכס והפטורים ומס קנייה על טובין (תיקון מס'...הוראת שעה מס'...), התשפ"ב-2022</w:t>
        </w:r>
        <w:r w:rsidR="0065160D" w:rsidRPr="00261A72">
          <w:rPr>
            <w:noProof/>
            <w:webHidden/>
            <w:rtl/>
          </w:rPr>
          <w:tab/>
        </w:r>
        <w:r w:rsidR="0065160D" w:rsidRPr="00261A72">
          <w:rPr>
            <w:rStyle w:val="Hyperlink"/>
            <w:noProof/>
            <w:rtl/>
          </w:rPr>
          <w:fldChar w:fldCharType="begin"/>
        </w:r>
        <w:r w:rsidR="0065160D" w:rsidRPr="00261A72">
          <w:rPr>
            <w:noProof/>
            <w:webHidden/>
            <w:rtl/>
          </w:rPr>
          <w:instrText xml:space="preserve"> </w:instrText>
        </w:r>
        <w:r w:rsidR="0065160D" w:rsidRPr="00261A72">
          <w:rPr>
            <w:noProof/>
            <w:webHidden/>
          </w:rPr>
          <w:instrText>PAGEREF</w:instrText>
        </w:r>
        <w:r w:rsidR="0065160D" w:rsidRPr="00261A72">
          <w:rPr>
            <w:noProof/>
            <w:webHidden/>
            <w:rtl/>
          </w:rPr>
          <w:instrText xml:space="preserve"> _</w:instrText>
        </w:r>
        <w:r w:rsidR="0065160D" w:rsidRPr="00261A72">
          <w:rPr>
            <w:noProof/>
            <w:webHidden/>
          </w:rPr>
          <w:instrText>Toc97805064 \h</w:instrText>
        </w:r>
        <w:r w:rsidR="0065160D" w:rsidRPr="00261A72">
          <w:rPr>
            <w:noProof/>
            <w:webHidden/>
            <w:rtl/>
          </w:rPr>
          <w:instrText xml:space="preserve"> </w:instrText>
        </w:r>
        <w:r w:rsidR="0065160D" w:rsidRPr="00261A72">
          <w:rPr>
            <w:rStyle w:val="Hyperlink"/>
            <w:noProof/>
            <w:rtl/>
          </w:rPr>
        </w:r>
        <w:r w:rsidR="0065160D" w:rsidRPr="00261A72">
          <w:rPr>
            <w:rStyle w:val="Hyperlink"/>
            <w:noProof/>
            <w:rtl/>
          </w:rPr>
          <w:fldChar w:fldCharType="separate"/>
        </w:r>
        <w:r w:rsidR="0065160D" w:rsidRPr="00261A72">
          <w:rPr>
            <w:noProof/>
            <w:webHidden/>
            <w:rtl/>
          </w:rPr>
          <w:t>3</w:t>
        </w:r>
        <w:r w:rsidR="0065160D" w:rsidRPr="00261A72">
          <w:rPr>
            <w:rStyle w:val="Hyperlink"/>
            <w:noProof/>
            <w:rtl/>
          </w:rPr>
          <w:fldChar w:fldCharType="end"/>
        </w:r>
      </w:hyperlink>
    </w:p>
    <w:p w14:paraId="5BCC6515" w14:textId="173DE2AB" w:rsidR="0065160D" w:rsidRPr="00261A72" w:rsidRDefault="001C6213" w:rsidP="0065160D">
      <w:pPr>
        <w:pStyle w:val="TOC3"/>
        <w:rPr>
          <w:rFonts w:asciiTheme="minorHAnsi" w:eastAsiaTheme="minorEastAsia" w:hAnsiTheme="minorHAnsi" w:cstheme="minorBidi"/>
          <w:noProof/>
          <w:sz w:val="22"/>
          <w:rtl/>
        </w:rPr>
      </w:pPr>
      <w:hyperlink w:anchor="_Toc97805065" w:history="1">
        <w:r w:rsidR="0065160D" w:rsidRPr="00261A72">
          <w:rPr>
            <w:rStyle w:val="Hyperlink"/>
            <w:noProof/>
            <w:rtl/>
          </w:rPr>
          <w:t>תיקון התוספת הראשונה</w:t>
        </w:r>
        <w:r w:rsidR="0065160D" w:rsidRPr="00261A72">
          <w:rPr>
            <w:noProof/>
            <w:webHidden/>
            <w:rtl/>
          </w:rPr>
          <w:tab/>
        </w:r>
        <w:r w:rsidR="0065160D" w:rsidRPr="00261A72">
          <w:rPr>
            <w:rStyle w:val="Hyperlink"/>
            <w:noProof/>
            <w:rtl/>
          </w:rPr>
          <w:fldChar w:fldCharType="begin"/>
        </w:r>
        <w:r w:rsidR="0065160D" w:rsidRPr="00261A72">
          <w:rPr>
            <w:noProof/>
            <w:webHidden/>
            <w:rtl/>
          </w:rPr>
          <w:instrText xml:space="preserve"> </w:instrText>
        </w:r>
        <w:r w:rsidR="0065160D" w:rsidRPr="00261A72">
          <w:rPr>
            <w:noProof/>
            <w:webHidden/>
          </w:rPr>
          <w:instrText>PAGEREF</w:instrText>
        </w:r>
        <w:r w:rsidR="0065160D" w:rsidRPr="00261A72">
          <w:rPr>
            <w:noProof/>
            <w:webHidden/>
            <w:rtl/>
          </w:rPr>
          <w:instrText xml:space="preserve"> _</w:instrText>
        </w:r>
        <w:r w:rsidR="0065160D" w:rsidRPr="00261A72">
          <w:rPr>
            <w:noProof/>
            <w:webHidden/>
          </w:rPr>
          <w:instrText>Toc97805065 \h</w:instrText>
        </w:r>
        <w:r w:rsidR="0065160D" w:rsidRPr="00261A72">
          <w:rPr>
            <w:noProof/>
            <w:webHidden/>
            <w:rtl/>
          </w:rPr>
          <w:instrText xml:space="preserve"> </w:instrText>
        </w:r>
        <w:r w:rsidR="0065160D" w:rsidRPr="00261A72">
          <w:rPr>
            <w:rStyle w:val="Hyperlink"/>
            <w:noProof/>
            <w:rtl/>
          </w:rPr>
        </w:r>
        <w:r w:rsidR="0065160D" w:rsidRPr="00261A72">
          <w:rPr>
            <w:rStyle w:val="Hyperlink"/>
            <w:noProof/>
            <w:rtl/>
          </w:rPr>
          <w:fldChar w:fldCharType="separate"/>
        </w:r>
        <w:r w:rsidR="0065160D" w:rsidRPr="00261A72">
          <w:rPr>
            <w:noProof/>
            <w:webHidden/>
            <w:rtl/>
          </w:rPr>
          <w:t>3</w:t>
        </w:r>
        <w:r w:rsidR="0065160D" w:rsidRPr="00261A72">
          <w:rPr>
            <w:rStyle w:val="Hyperlink"/>
            <w:noProof/>
            <w:rtl/>
          </w:rPr>
          <w:fldChar w:fldCharType="end"/>
        </w:r>
      </w:hyperlink>
    </w:p>
    <w:p w14:paraId="4B4EC66C" w14:textId="68F827FC" w:rsidR="0065160D" w:rsidRPr="00261A72" w:rsidRDefault="001C6213" w:rsidP="0065160D">
      <w:pPr>
        <w:pStyle w:val="TOC3"/>
        <w:rPr>
          <w:rFonts w:asciiTheme="minorHAnsi" w:eastAsiaTheme="minorEastAsia" w:hAnsiTheme="minorHAnsi" w:cstheme="minorBidi"/>
          <w:noProof/>
          <w:sz w:val="22"/>
          <w:rtl/>
        </w:rPr>
      </w:pPr>
      <w:hyperlink w:anchor="_Toc97805066" w:history="1">
        <w:r w:rsidR="0065160D" w:rsidRPr="00261A72">
          <w:rPr>
            <w:rStyle w:val="Hyperlink"/>
            <w:noProof/>
            <w:rtl/>
          </w:rPr>
          <w:t>הוראת שעה</w:t>
        </w:r>
        <w:r w:rsidR="0065160D" w:rsidRPr="00261A72">
          <w:rPr>
            <w:noProof/>
            <w:webHidden/>
            <w:rtl/>
          </w:rPr>
          <w:tab/>
        </w:r>
        <w:r w:rsidR="0065160D" w:rsidRPr="00261A72">
          <w:rPr>
            <w:rStyle w:val="Hyperlink"/>
            <w:noProof/>
            <w:rtl/>
          </w:rPr>
          <w:fldChar w:fldCharType="begin"/>
        </w:r>
        <w:r w:rsidR="0065160D" w:rsidRPr="00261A72">
          <w:rPr>
            <w:noProof/>
            <w:webHidden/>
            <w:rtl/>
          </w:rPr>
          <w:instrText xml:space="preserve"> </w:instrText>
        </w:r>
        <w:r w:rsidR="0065160D" w:rsidRPr="00261A72">
          <w:rPr>
            <w:noProof/>
            <w:webHidden/>
          </w:rPr>
          <w:instrText>PAGEREF</w:instrText>
        </w:r>
        <w:r w:rsidR="0065160D" w:rsidRPr="00261A72">
          <w:rPr>
            <w:noProof/>
            <w:webHidden/>
            <w:rtl/>
          </w:rPr>
          <w:instrText xml:space="preserve"> _</w:instrText>
        </w:r>
        <w:r w:rsidR="0065160D" w:rsidRPr="00261A72">
          <w:rPr>
            <w:noProof/>
            <w:webHidden/>
          </w:rPr>
          <w:instrText>Toc97805066 \h</w:instrText>
        </w:r>
        <w:r w:rsidR="0065160D" w:rsidRPr="00261A72">
          <w:rPr>
            <w:noProof/>
            <w:webHidden/>
            <w:rtl/>
          </w:rPr>
          <w:instrText xml:space="preserve"> </w:instrText>
        </w:r>
        <w:r w:rsidR="0065160D" w:rsidRPr="00261A72">
          <w:rPr>
            <w:rStyle w:val="Hyperlink"/>
            <w:noProof/>
            <w:rtl/>
          </w:rPr>
        </w:r>
        <w:r w:rsidR="0065160D" w:rsidRPr="00261A72">
          <w:rPr>
            <w:rStyle w:val="Hyperlink"/>
            <w:noProof/>
            <w:rtl/>
          </w:rPr>
          <w:fldChar w:fldCharType="separate"/>
        </w:r>
        <w:r w:rsidR="0065160D" w:rsidRPr="00261A72">
          <w:rPr>
            <w:noProof/>
            <w:webHidden/>
            <w:rtl/>
          </w:rPr>
          <w:t>3</w:t>
        </w:r>
        <w:r w:rsidR="0065160D" w:rsidRPr="00261A72">
          <w:rPr>
            <w:rStyle w:val="Hyperlink"/>
            <w:noProof/>
            <w:rtl/>
          </w:rPr>
          <w:fldChar w:fldCharType="end"/>
        </w:r>
      </w:hyperlink>
    </w:p>
    <w:p w14:paraId="51FF5CAB" w14:textId="1E464728" w:rsidR="0065160D" w:rsidRPr="00261A72" w:rsidRDefault="001C6213" w:rsidP="0065160D">
      <w:pPr>
        <w:pStyle w:val="TOC2"/>
        <w:rPr>
          <w:rFonts w:asciiTheme="minorHAnsi" w:eastAsiaTheme="minorEastAsia" w:hAnsiTheme="minorHAnsi" w:cstheme="minorBidi"/>
          <w:noProof/>
          <w:sz w:val="22"/>
          <w:rtl/>
        </w:rPr>
      </w:pPr>
      <w:hyperlink w:anchor="_Toc97805081" w:history="1">
        <w:r w:rsidR="0065160D" w:rsidRPr="00261A72">
          <w:rPr>
            <w:rStyle w:val="Hyperlink"/>
            <w:noProof/>
            <w:rtl/>
          </w:rPr>
          <w:t>דברי הסבר</w:t>
        </w:r>
        <w:r w:rsidR="0065160D" w:rsidRPr="00261A72">
          <w:rPr>
            <w:noProof/>
            <w:webHidden/>
            <w:rtl/>
          </w:rPr>
          <w:tab/>
        </w:r>
        <w:r w:rsidR="0065160D" w:rsidRPr="00261A72">
          <w:rPr>
            <w:rStyle w:val="Hyperlink"/>
            <w:noProof/>
            <w:rtl/>
          </w:rPr>
          <w:fldChar w:fldCharType="begin"/>
        </w:r>
        <w:r w:rsidR="0065160D" w:rsidRPr="00261A72">
          <w:rPr>
            <w:noProof/>
            <w:webHidden/>
            <w:rtl/>
          </w:rPr>
          <w:instrText xml:space="preserve"> </w:instrText>
        </w:r>
        <w:r w:rsidR="0065160D" w:rsidRPr="00261A72">
          <w:rPr>
            <w:noProof/>
            <w:webHidden/>
          </w:rPr>
          <w:instrText>PAGEREF</w:instrText>
        </w:r>
        <w:r w:rsidR="0065160D" w:rsidRPr="00261A72">
          <w:rPr>
            <w:noProof/>
            <w:webHidden/>
            <w:rtl/>
          </w:rPr>
          <w:instrText xml:space="preserve"> _</w:instrText>
        </w:r>
        <w:r w:rsidR="0065160D" w:rsidRPr="00261A72">
          <w:rPr>
            <w:noProof/>
            <w:webHidden/>
          </w:rPr>
          <w:instrText>Toc97805081 \h</w:instrText>
        </w:r>
        <w:r w:rsidR="0065160D" w:rsidRPr="00261A72">
          <w:rPr>
            <w:noProof/>
            <w:webHidden/>
            <w:rtl/>
          </w:rPr>
          <w:instrText xml:space="preserve"> </w:instrText>
        </w:r>
        <w:r w:rsidR="0065160D" w:rsidRPr="00261A72">
          <w:rPr>
            <w:rStyle w:val="Hyperlink"/>
            <w:noProof/>
            <w:rtl/>
          </w:rPr>
        </w:r>
        <w:r w:rsidR="0065160D" w:rsidRPr="00261A72">
          <w:rPr>
            <w:rStyle w:val="Hyperlink"/>
            <w:noProof/>
            <w:rtl/>
          </w:rPr>
          <w:fldChar w:fldCharType="separate"/>
        </w:r>
        <w:r w:rsidR="0065160D" w:rsidRPr="00261A72">
          <w:rPr>
            <w:noProof/>
            <w:webHidden/>
            <w:rtl/>
          </w:rPr>
          <w:t>4</w:t>
        </w:r>
        <w:r w:rsidR="0065160D" w:rsidRPr="00261A72">
          <w:rPr>
            <w:rStyle w:val="Hyperlink"/>
            <w:noProof/>
            <w:rtl/>
          </w:rPr>
          <w:fldChar w:fldCharType="end"/>
        </w:r>
      </w:hyperlink>
    </w:p>
    <w:p w14:paraId="7754465F" w14:textId="3E304109" w:rsidR="00D56CBB" w:rsidRPr="00261A72" w:rsidRDefault="0065160D" w:rsidP="0065160D">
      <w:pPr>
        <w:rPr>
          <w:snapToGrid w:val="0"/>
          <w:rtl/>
        </w:rPr>
      </w:pPr>
      <w:r w:rsidRPr="00261A72">
        <w:rPr>
          <w:rtl/>
        </w:rPr>
        <w:fldChar w:fldCharType="end"/>
      </w:r>
      <w:r w:rsidR="00D56CBB" w:rsidRPr="00261A72">
        <w:rPr>
          <w:rtl/>
        </w:rPr>
        <w:br w:type="page"/>
      </w:r>
    </w:p>
    <w:p w14:paraId="771C9D86" w14:textId="77777777" w:rsidR="00D56CBB" w:rsidRPr="00261A72" w:rsidRDefault="00D56CBB" w:rsidP="00D56CBB">
      <w:pPr>
        <w:pStyle w:val="1"/>
        <w:keepNext w:val="0"/>
        <w:keepLines w:val="0"/>
      </w:pPr>
      <w:bookmarkStart w:id="1" w:name="_Toc96435813"/>
      <w:bookmarkStart w:id="2" w:name="_Toc96435824"/>
      <w:bookmarkStart w:id="3" w:name="_Toc97805060"/>
      <w:r w:rsidRPr="00261A72">
        <w:rPr>
          <w:rtl/>
        </w:rPr>
        <w:lastRenderedPageBreak/>
        <w:t>טיוטת צו</w:t>
      </w:r>
      <w:bookmarkEnd w:id="1"/>
      <w:bookmarkEnd w:id="2"/>
      <w:bookmarkEnd w:id="3"/>
    </w:p>
    <w:p w14:paraId="1FD416FE" w14:textId="77777777" w:rsidR="00D56CBB" w:rsidRPr="00261A72" w:rsidRDefault="00D56CBB" w:rsidP="00D56CBB">
      <w:pPr>
        <w:rPr>
          <w:rtl/>
        </w:rPr>
      </w:pPr>
    </w:p>
    <w:p w14:paraId="2682C4C0" w14:textId="77777777" w:rsidR="00D56CBB" w:rsidRPr="00261A72" w:rsidRDefault="00D56CBB" w:rsidP="00D56CBB">
      <w:pPr>
        <w:pStyle w:val="4"/>
        <w:rPr>
          <w:rtl/>
        </w:rPr>
      </w:pPr>
      <w:bookmarkStart w:id="4" w:name="_Toc96435825"/>
      <w:bookmarkStart w:id="5" w:name="_Toc97805061"/>
      <w:r w:rsidRPr="00261A72">
        <w:rPr>
          <w:rFonts w:hint="cs"/>
          <w:rtl/>
        </w:rPr>
        <w:t>שם הצו המוצע</w:t>
      </w:r>
      <w:bookmarkEnd w:id="4"/>
      <w:bookmarkEnd w:id="5"/>
    </w:p>
    <w:p w14:paraId="01C2AF41" w14:textId="77777777" w:rsidR="00D56CBB" w:rsidRPr="00261A72" w:rsidRDefault="00D56CBB" w:rsidP="00D56CBB">
      <w:r w:rsidRPr="00261A72">
        <w:rPr>
          <w:rFonts w:hint="cs"/>
          <w:rtl/>
        </w:rPr>
        <w:t>צו תעריף המכס והפטורים ומס קנייה על טובין (</w:t>
      </w:r>
      <w:r w:rsidR="00D00762" w:rsidRPr="00261A72">
        <w:rPr>
          <w:rFonts w:hint="cs"/>
          <w:rtl/>
        </w:rPr>
        <w:t>תיקון מס'...</w:t>
      </w:r>
      <w:r w:rsidRPr="00261A72">
        <w:rPr>
          <w:rFonts w:hint="cs"/>
          <w:rtl/>
        </w:rPr>
        <w:t>הוראת שעה מס'...), התשפ"ב-2022</w:t>
      </w:r>
    </w:p>
    <w:p w14:paraId="24C9F841" w14:textId="77777777" w:rsidR="00D56CBB" w:rsidRPr="00261A72" w:rsidRDefault="00D56CBB" w:rsidP="00D56CBB">
      <w:pPr>
        <w:rPr>
          <w:rtl/>
        </w:rPr>
      </w:pPr>
    </w:p>
    <w:p w14:paraId="73458C76" w14:textId="77777777" w:rsidR="00D56CBB" w:rsidRPr="00261A72" w:rsidRDefault="00D56CBB" w:rsidP="00D56CBB">
      <w:pPr>
        <w:rPr>
          <w:rtl/>
        </w:rPr>
      </w:pPr>
    </w:p>
    <w:p w14:paraId="4E2A7A36" w14:textId="77777777" w:rsidR="00D56CBB" w:rsidRPr="00261A72" w:rsidRDefault="00D56CBB" w:rsidP="00D56CBB">
      <w:pPr>
        <w:pStyle w:val="4"/>
        <w:rPr>
          <w:rtl/>
        </w:rPr>
      </w:pPr>
      <w:bookmarkStart w:id="6" w:name="_Toc96435826"/>
      <w:bookmarkStart w:id="7" w:name="_Toc97805062"/>
      <w:r w:rsidRPr="00261A72">
        <w:rPr>
          <w:rFonts w:hint="cs"/>
          <w:rtl/>
        </w:rPr>
        <w:t>מטרת הצו המוצע והצורך בו</w:t>
      </w:r>
      <w:bookmarkEnd w:id="6"/>
      <w:bookmarkEnd w:id="7"/>
      <w:r w:rsidRPr="00261A72">
        <w:rPr>
          <w:rFonts w:hint="cs"/>
          <w:rtl/>
        </w:rPr>
        <w:t xml:space="preserve"> </w:t>
      </w:r>
    </w:p>
    <w:p w14:paraId="48B077EB" w14:textId="77777777" w:rsidR="000874C0" w:rsidRDefault="000874C0" w:rsidP="000874C0">
      <w:pPr>
        <w:rPr>
          <w:rtl/>
        </w:rPr>
      </w:pPr>
      <w:r>
        <w:rPr>
          <w:rtl/>
        </w:rPr>
        <w:t xml:space="preserve">במסגרת התכנית להקלה על יוקר המחייה בישראל, הודיע שר האוצר כי בכוונתו להפחית מכסים על מוצרים רבים ביניהם מוצרי מזון, כלי מטבח, כלי מיטה, רהיטים, חלקי חילוף לרכב ועוד, וזאת בהוראת שעה שתוקפה עד סוף שנת 2022. לעמדת גורמי המקצוע במשרד האוצר הפחתות מסים דומות בענפים אחרים שנעשו בשנים האחרונות הובילו לירידת מחירים לצרכן. </w:t>
      </w:r>
    </w:p>
    <w:p w14:paraId="34F54EFC" w14:textId="77777777" w:rsidR="000874C0" w:rsidRDefault="000874C0" w:rsidP="000874C0">
      <w:pPr>
        <w:rPr>
          <w:rtl/>
        </w:rPr>
      </w:pPr>
      <w:r>
        <w:rPr>
          <w:rtl/>
        </w:rPr>
        <w:t>בהתאם, בצו זה מוצע לתקן את צו תעריף המכס והפטורים ומס קנייה על טובין, התשע"ז-2017 כמפורט להלן:</w:t>
      </w:r>
    </w:p>
    <w:p w14:paraId="41E3E081" w14:textId="002948A9" w:rsidR="000874C0" w:rsidRDefault="000874C0" w:rsidP="000874C0">
      <w:pPr>
        <w:rPr>
          <w:rtl/>
        </w:rPr>
      </w:pPr>
      <w:r>
        <w:rPr>
          <w:rtl/>
        </w:rPr>
        <w:tab/>
        <w:t>1.לקבוע פטור קבוע ממכס על בשר בקר טרי או צונן, שיירים אכילים טריים של בקר ובשר בקר מעובד. מאז שנת 2016 המכס על יבוא טובין אלה הופחת ברובו ונפתחו מכסות ליבוא בפטור ממכס. ביטול המכס על יבוא בשר בקר טרי מהווה סיום של תהליך ארוך טווח של חשיפה השוק ליבוא ותחרות, ועל כן מוצע כי ביטול המכס יהיה קבוע.</w:t>
      </w:r>
      <w:r w:rsidR="00C676B2">
        <w:rPr>
          <w:rFonts w:hint="cs"/>
          <w:rtl/>
        </w:rPr>
        <w:t xml:space="preserve"> </w:t>
      </w:r>
    </w:p>
    <w:p w14:paraId="74BBEF7A" w14:textId="52F1E33D" w:rsidR="00261A72" w:rsidRPr="00261A72" w:rsidRDefault="000874C0" w:rsidP="00293BB1">
      <w:pPr>
        <w:rPr>
          <w:rtl/>
        </w:rPr>
      </w:pPr>
      <w:r>
        <w:rPr>
          <w:rtl/>
        </w:rPr>
        <w:tab/>
        <w:t xml:space="preserve">2. לקבוע פטור ממכס בהוראת שעה עד סוף שנת 2022 על בשר </w:t>
      </w:r>
      <w:r w:rsidR="00293BB1">
        <w:rPr>
          <w:rFonts w:hint="cs"/>
          <w:rtl/>
        </w:rPr>
        <w:t>בקר וצאן מעובד ומשומר</w:t>
      </w:r>
      <w:r>
        <w:rPr>
          <w:rtl/>
        </w:rPr>
        <w:t>. פטור ממכס יחול בין היתר על נקניקים ומוצרים דומים, בשר מעובד ומשומר, לרבות בשר מעובד ומשומר מכבד של בעלי חיים כלשהם ותכשירי מזון המכילים פחות מ-20% בשר. על מנת לבחון השלכות הצו על שוק הבשר בישראל, הצו ייקבע בהוראת שעה עד סוף שנת 2022.</w:t>
      </w:r>
    </w:p>
    <w:p w14:paraId="07F8591D" w14:textId="77777777" w:rsidR="00D56CBB" w:rsidRPr="00261A72" w:rsidRDefault="00D56CBB" w:rsidP="00D56CBB">
      <w:pPr>
        <w:rPr>
          <w:rtl/>
        </w:rPr>
      </w:pPr>
    </w:p>
    <w:p w14:paraId="5D7F6CC6" w14:textId="77777777" w:rsidR="00D56CBB" w:rsidRPr="00261A72" w:rsidRDefault="00D56CBB" w:rsidP="00D56CBB">
      <w:pPr>
        <w:pStyle w:val="4"/>
        <w:rPr>
          <w:rtl/>
        </w:rPr>
      </w:pPr>
      <w:bookmarkStart w:id="8" w:name="_Toc96435827"/>
      <w:bookmarkStart w:id="9" w:name="_Toc97805063"/>
      <w:r w:rsidRPr="00261A72">
        <w:rPr>
          <w:rFonts w:hint="cs"/>
          <w:rtl/>
        </w:rPr>
        <w:t>להלן נוסח טיוטת הצו המוצע:</w:t>
      </w:r>
      <w:bookmarkEnd w:id="8"/>
      <w:bookmarkEnd w:id="9"/>
      <w:r w:rsidRPr="00261A72">
        <w:rPr>
          <w:rFonts w:hint="cs"/>
          <w:rtl/>
        </w:rPr>
        <w:t xml:space="preserve"> </w:t>
      </w:r>
    </w:p>
    <w:p w14:paraId="7C7CCD74" w14:textId="77777777" w:rsidR="00D56CBB" w:rsidRPr="00261A72" w:rsidRDefault="00D56CBB" w:rsidP="00D56CBB">
      <w:pPr>
        <w:bidi w:val="0"/>
      </w:pPr>
      <w:r w:rsidRPr="00261A72">
        <w:rPr>
          <w:rtl/>
        </w:rPr>
        <w:br w:type="page"/>
      </w:r>
    </w:p>
    <w:p w14:paraId="5AE2E010" w14:textId="77777777" w:rsidR="00D56CBB" w:rsidRPr="00261A72" w:rsidRDefault="00D56CBB" w:rsidP="00D56CBB">
      <w:pPr>
        <w:pStyle w:val="HeadMitparsemetBaze"/>
        <w:keepNext w:val="0"/>
        <w:keepLines w:val="0"/>
        <w:pageBreakBefore w:val="0"/>
        <w:rPr>
          <w:rtl/>
        </w:rPr>
      </w:pPr>
      <w:r w:rsidRPr="00261A72">
        <w:rPr>
          <w:rtl/>
        </w:rPr>
        <w:lastRenderedPageBreak/>
        <w:t>טיוטת צו מטעם משרד</w:t>
      </w:r>
      <w:r w:rsidRPr="00261A72">
        <w:rPr>
          <w:rFonts w:hint="cs"/>
          <w:rtl/>
        </w:rPr>
        <w:t xml:space="preserve"> האוצר</w:t>
      </w:r>
      <w:r w:rsidRPr="00261A72">
        <w:rPr>
          <w:rtl/>
        </w:rPr>
        <w:t xml:space="preserve">: </w:t>
      </w:r>
    </w:p>
    <w:p w14:paraId="4CBAA8A4" w14:textId="77777777" w:rsidR="00D56CBB" w:rsidRPr="00261A72" w:rsidRDefault="00D56CBB" w:rsidP="00D56CBB">
      <w:pPr>
        <w:pStyle w:val="HeadHatzaotHok"/>
        <w:keepNext w:val="0"/>
        <w:keepLines w:val="0"/>
        <w:rPr>
          <w:rtl/>
        </w:rPr>
      </w:pPr>
      <w:bookmarkStart w:id="10" w:name="_Toc96435814"/>
      <w:bookmarkStart w:id="11" w:name="_Toc96435828"/>
      <w:bookmarkStart w:id="12" w:name="_Toc97805064"/>
      <w:r w:rsidRPr="00261A72">
        <w:rPr>
          <w:rtl/>
        </w:rPr>
        <w:t xml:space="preserve">טיוטת צו </w:t>
      </w:r>
      <w:r w:rsidRPr="00261A72">
        <w:rPr>
          <w:rFonts w:hint="cs"/>
          <w:rtl/>
        </w:rPr>
        <w:t xml:space="preserve">תעריף המכס והפטורים ומס קנייה על טובין </w:t>
      </w:r>
      <w:r w:rsidRPr="00261A72">
        <w:rPr>
          <w:rtl/>
        </w:rPr>
        <w:t>(</w:t>
      </w:r>
      <w:r w:rsidR="00D00762" w:rsidRPr="00261A72">
        <w:rPr>
          <w:rFonts w:hint="cs"/>
          <w:rtl/>
        </w:rPr>
        <w:t>תיקון מס'...</w:t>
      </w:r>
      <w:r w:rsidRPr="00261A72">
        <w:rPr>
          <w:rFonts w:hint="cs"/>
          <w:rtl/>
        </w:rPr>
        <w:t>הוראת שעה</w:t>
      </w:r>
      <w:r w:rsidRPr="00261A72">
        <w:rPr>
          <w:rtl/>
        </w:rPr>
        <w:t xml:space="preserve"> מס'...)</w:t>
      </w:r>
      <w:r w:rsidRPr="00261A72">
        <w:rPr>
          <w:rFonts w:hint="cs"/>
          <w:rtl/>
        </w:rPr>
        <w:t>, התשפ"ב-2022</w:t>
      </w:r>
      <w:bookmarkEnd w:id="10"/>
      <w:bookmarkEnd w:id="11"/>
      <w:bookmarkEnd w:id="12"/>
    </w:p>
    <w:tbl>
      <w:tblPr>
        <w:bidiVisual/>
        <w:tblW w:w="9641" w:type="dxa"/>
        <w:tblLayout w:type="fixed"/>
        <w:tblCellMar>
          <w:top w:w="57" w:type="dxa"/>
          <w:left w:w="0" w:type="dxa"/>
          <w:bottom w:w="57" w:type="dxa"/>
          <w:right w:w="0" w:type="dxa"/>
        </w:tblCellMar>
        <w:tblLook w:val="01E0" w:firstRow="1" w:lastRow="1" w:firstColumn="1" w:lastColumn="1" w:noHBand="0" w:noVBand="0"/>
      </w:tblPr>
      <w:tblGrid>
        <w:gridCol w:w="1871"/>
        <w:gridCol w:w="624"/>
        <w:gridCol w:w="624"/>
        <w:gridCol w:w="6522"/>
      </w:tblGrid>
      <w:tr w:rsidR="00D56CBB" w:rsidRPr="00261A72" w14:paraId="66B1CB51" w14:textId="77777777" w:rsidTr="009C7337">
        <w:trPr>
          <w:cantSplit/>
          <w:trHeight w:val="60"/>
        </w:trPr>
        <w:tc>
          <w:tcPr>
            <w:tcW w:w="1871" w:type="dxa"/>
          </w:tcPr>
          <w:p w14:paraId="2FE48BD2" w14:textId="77777777" w:rsidR="00D56CBB" w:rsidRPr="00261A72" w:rsidRDefault="00D56CBB" w:rsidP="009C7337">
            <w:pPr>
              <w:pStyle w:val="TableSideHeading"/>
              <w:rPr>
                <w:rtl/>
              </w:rPr>
            </w:pPr>
          </w:p>
        </w:tc>
        <w:tc>
          <w:tcPr>
            <w:tcW w:w="624" w:type="dxa"/>
          </w:tcPr>
          <w:p w14:paraId="6DD4D4DF" w14:textId="77777777" w:rsidR="00D56CBB" w:rsidRPr="00261A72" w:rsidRDefault="00D56CBB" w:rsidP="009C7337">
            <w:pPr>
              <w:pStyle w:val="TableText"/>
            </w:pPr>
          </w:p>
        </w:tc>
        <w:tc>
          <w:tcPr>
            <w:tcW w:w="7146" w:type="dxa"/>
            <w:gridSpan w:val="2"/>
            <w:hideMark/>
          </w:tcPr>
          <w:p w14:paraId="18F76A32" w14:textId="77777777" w:rsidR="00D56CBB" w:rsidRPr="00261A72" w:rsidRDefault="00D56CBB" w:rsidP="009C7337">
            <w:pPr>
              <w:pStyle w:val="TableBlock"/>
            </w:pPr>
            <w:r w:rsidRPr="00261A72">
              <w:rPr>
                <w:rFonts w:hint="cs"/>
                <w:rtl/>
              </w:rPr>
              <w:t>בתוקף סמכותי לפי סעיפים 3 ו-5  לפקודת תעריף המכס והפטורים, 1937</w:t>
            </w:r>
            <w:r w:rsidRPr="00261A72">
              <w:rPr>
                <w:vertAlign w:val="superscript"/>
                <w:rtl/>
              </w:rPr>
              <w:footnoteReference w:id="1"/>
            </w:r>
            <w:r w:rsidRPr="00261A72">
              <w:rPr>
                <w:rFonts w:hint="cs"/>
                <w:rtl/>
              </w:rPr>
              <w:t>, לפי סעיף 1 לחוק מסי מכס ובלו (שינוי התעריף), התש"ט-1949</w:t>
            </w:r>
            <w:r w:rsidRPr="00261A72">
              <w:rPr>
                <w:vertAlign w:val="superscript"/>
                <w:rtl/>
              </w:rPr>
              <w:footnoteReference w:id="2"/>
            </w:r>
            <w:r w:rsidRPr="00261A72">
              <w:rPr>
                <w:rFonts w:hint="cs"/>
                <w:rtl/>
              </w:rPr>
              <w:t>, ולפי סעיף 3 לחוק מס קנייה (טובין ושירותים), התשי"ב-1952</w:t>
            </w:r>
            <w:r w:rsidRPr="00261A72">
              <w:rPr>
                <w:vertAlign w:val="superscript"/>
                <w:rtl/>
              </w:rPr>
              <w:footnoteReference w:id="3"/>
            </w:r>
            <w:r w:rsidRPr="00261A72">
              <w:rPr>
                <w:rtl/>
              </w:rPr>
              <w:t>, אני מצווה לאמור:</w:t>
            </w:r>
          </w:p>
        </w:tc>
      </w:tr>
      <w:tr w:rsidR="00D56CBB" w:rsidRPr="00261A72" w14:paraId="4BB8CC31" w14:textId="77777777" w:rsidTr="009C7337">
        <w:trPr>
          <w:cantSplit/>
          <w:trHeight w:val="60"/>
        </w:trPr>
        <w:tc>
          <w:tcPr>
            <w:tcW w:w="1871" w:type="dxa"/>
          </w:tcPr>
          <w:p w14:paraId="4DD1C362" w14:textId="77777777" w:rsidR="00D56CBB" w:rsidRPr="00261A72" w:rsidRDefault="00D56CBB" w:rsidP="009C7337">
            <w:pPr>
              <w:pStyle w:val="TableSideHeading"/>
            </w:pPr>
          </w:p>
        </w:tc>
        <w:tc>
          <w:tcPr>
            <w:tcW w:w="624" w:type="dxa"/>
          </w:tcPr>
          <w:p w14:paraId="03416218" w14:textId="77777777" w:rsidR="00D56CBB" w:rsidRPr="00261A72" w:rsidRDefault="00D56CBB" w:rsidP="009C7337">
            <w:pPr>
              <w:pStyle w:val="TableText"/>
            </w:pPr>
          </w:p>
        </w:tc>
        <w:tc>
          <w:tcPr>
            <w:tcW w:w="7146" w:type="dxa"/>
            <w:gridSpan w:val="2"/>
          </w:tcPr>
          <w:p w14:paraId="7E5CDDE0" w14:textId="77777777" w:rsidR="00D56CBB" w:rsidRPr="00261A72" w:rsidRDefault="00D56CBB" w:rsidP="009C7337">
            <w:pPr>
              <w:pStyle w:val="TableHead"/>
            </w:pPr>
          </w:p>
        </w:tc>
      </w:tr>
      <w:tr w:rsidR="00D56CBB" w:rsidRPr="00261A72" w14:paraId="4A92F4EE" w14:textId="77777777" w:rsidTr="009C7337">
        <w:trPr>
          <w:cantSplit/>
          <w:trHeight w:val="60"/>
        </w:trPr>
        <w:tc>
          <w:tcPr>
            <w:tcW w:w="1871" w:type="dxa"/>
          </w:tcPr>
          <w:p w14:paraId="0B7E6146" w14:textId="77777777" w:rsidR="00D56CBB" w:rsidRPr="00261A72" w:rsidRDefault="00D00762" w:rsidP="009C7337">
            <w:pPr>
              <w:pStyle w:val="TableSideHeading"/>
            </w:pPr>
            <w:bookmarkStart w:id="13" w:name="_Toc97805065"/>
            <w:r w:rsidRPr="00261A72">
              <w:rPr>
                <w:rFonts w:hint="cs"/>
                <w:rtl/>
              </w:rPr>
              <w:t>תיקון התוספת הראשונה</w:t>
            </w:r>
            <w:bookmarkEnd w:id="13"/>
          </w:p>
        </w:tc>
        <w:tc>
          <w:tcPr>
            <w:tcW w:w="624" w:type="dxa"/>
          </w:tcPr>
          <w:p w14:paraId="0A667C5F" w14:textId="77777777" w:rsidR="00D56CBB" w:rsidRPr="00261A72" w:rsidRDefault="00D56CBB" w:rsidP="009C7337">
            <w:pPr>
              <w:pStyle w:val="TableText"/>
              <w:numPr>
                <w:ilvl w:val="0"/>
                <w:numId w:val="2"/>
              </w:numPr>
            </w:pPr>
          </w:p>
        </w:tc>
        <w:tc>
          <w:tcPr>
            <w:tcW w:w="7146" w:type="dxa"/>
            <w:gridSpan w:val="2"/>
          </w:tcPr>
          <w:p w14:paraId="18BDF5FF" w14:textId="77777777" w:rsidR="00D56CBB" w:rsidRPr="00261A72" w:rsidRDefault="00D00762" w:rsidP="009C7337">
            <w:pPr>
              <w:pStyle w:val="TableBlock"/>
            </w:pPr>
            <w:r w:rsidRPr="00261A72">
              <w:rPr>
                <w:rFonts w:hint="cs"/>
                <w:rtl/>
              </w:rPr>
              <w:t>בתוספת הראשונה לצו תעריף המכס והפטורים ומס קנייה על טובין, התשע"ז-2017</w:t>
            </w:r>
            <w:r w:rsidRPr="00261A72">
              <w:rPr>
                <w:rStyle w:val="a5"/>
                <w:rtl/>
              </w:rPr>
              <w:footnoteReference w:id="4"/>
            </w:r>
            <w:r w:rsidRPr="00261A72">
              <w:rPr>
                <w:rFonts w:hint="cs"/>
                <w:rtl/>
              </w:rPr>
              <w:t xml:space="preserve"> (להלן- הצו העיקרי)- </w:t>
            </w:r>
          </w:p>
        </w:tc>
      </w:tr>
      <w:tr w:rsidR="00D00762" w:rsidRPr="00261A72" w14:paraId="06859FE6" w14:textId="77777777">
        <w:trPr>
          <w:cantSplit/>
          <w:trHeight w:val="60"/>
        </w:trPr>
        <w:tc>
          <w:tcPr>
            <w:tcW w:w="1871" w:type="dxa"/>
          </w:tcPr>
          <w:p w14:paraId="02CB1845" w14:textId="77777777" w:rsidR="00D00762" w:rsidRPr="00261A72" w:rsidRDefault="00D00762">
            <w:pPr>
              <w:pStyle w:val="TableSideHeading"/>
            </w:pPr>
            <w:bookmarkStart w:id="14" w:name="_Toc96435815"/>
            <w:bookmarkStart w:id="15" w:name="_Toc96435829"/>
          </w:p>
        </w:tc>
        <w:tc>
          <w:tcPr>
            <w:tcW w:w="624" w:type="dxa"/>
          </w:tcPr>
          <w:p w14:paraId="446EBF52" w14:textId="77777777" w:rsidR="00D00762" w:rsidRPr="00261A72" w:rsidRDefault="00D00762">
            <w:pPr>
              <w:pStyle w:val="TableText"/>
            </w:pPr>
          </w:p>
        </w:tc>
        <w:tc>
          <w:tcPr>
            <w:tcW w:w="624" w:type="dxa"/>
          </w:tcPr>
          <w:p w14:paraId="67AE85BB" w14:textId="77777777" w:rsidR="00D00762" w:rsidRPr="00261A72" w:rsidRDefault="00D00762">
            <w:pPr>
              <w:pStyle w:val="TableText"/>
            </w:pPr>
          </w:p>
        </w:tc>
        <w:tc>
          <w:tcPr>
            <w:tcW w:w="6522" w:type="dxa"/>
          </w:tcPr>
          <w:p w14:paraId="2D4D38B7" w14:textId="77777777" w:rsidR="00D00762" w:rsidRPr="00261A72" w:rsidRDefault="00D00762" w:rsidP="00D00762">
            <w:pPr>
              <w:pStyle w:val="TableBlock"/>
              <w:numPr>
                <w:ilvl w:val="0"/>
                <w:numId w:val="6"/>
              </w:numPr>
              <w:tabs>
                <w:tab w:val="left" w:pos="624"/>
              </w:tabs>
            </w:pPr>
            <w:r w:rsidRPr="00261A72">
              <w:rPr>
                <w:rFonts w:hint="cs"/>
                <w:rtl/>
              </w:rPr>
              <w:t>בפרט 02.01, בפרטי משנה 100000, 200000 ו-300000, בטור ג', במקום האמור יבוא "פטור";</w:t>
            </w:r>
          </w:p>
        </w:tc>
      </w:tr>
      <w:tr w:rsidR="00D00762" w:rsidRPr="00261A72" w14:paraId="65733BF4" w14:textId="77777777">
        <w:trPr>
          <w:cantSplit/>
          <w:trHeight w:val="60"/>
        </w:trPr>
        <w:tc>
          <w:tcPr>
            <w:tcW w:w="1871" w:type="dxa"/>
          </w:tcPr>
          <w:p w14:paraId="4F53DEBF" w14:textId="77777777" w:rsidR="00D00762" w:rsidRPr="00261A72" w:rsidRDefault="00D00762">
            <w:pPr>
              <w:pStyle w:val="TableSideHeading"/>
            </w:pPr>
          </w:p>
        </w:tc>
        <w:tc>
          <w:tcPr>
            <w:tcW w:w="624" w:type="dxa"/>
          </w:tcPr>
          <w:p w14:paraId="5F9514F5" w14:textId="77777777" w:rsidR="00D00762" w:rsidRPr="00261A72" w:rsidRDefault="00D00762" w:rsidP="00D00762">
            <w:pPr>
              <w:pStyle w:val="TableText"/>
            </w:pPr>
          </w:p>
        </w:tc>
        <w:tc>
          <w:tcPr>
            <w:tcW w:w="624" w:type="dxa"/>
          </w:tcPr>
          <w:p w14:paraId="7551F775" w14:textId="77777777" w:rsidR="00D00762" w:rsidRPr="00261A72" w:rsidRDefault="00D00762">
            <w:pPr>
              <w:pStyle w:val="TableText"/>
            </w:pPr>
          </w:p>
        </w:tc>
        <w:tc>
          <w:tcPr>
            <w:tcW w:w="6522" w:type="dxa"/>
          </w:tcPr>
          <w:p w14:paraId="648F3864" w14:textId="77777777" w:rsidR="00D00762" w:rsidRPr="00261A72" w:rsidRDefault="00D00762" w:rsidP="00D00762">
            <w:pPr>
              <w:pStyle w:val="TableBlock"/>
              <w:numPr>
                <w:ilvl w:val="0"/>
                <w:numId w:val="6"/>
              </w:numPr>
              <w:tabs>
                <w:tab w:val="left" w:pos="624"/>
              </w:tabs>
              <w:rPr>
                <w:rtl/>
              </w:rPr>
            </w:pPr>
            <w:r w:rsidRPr="00261A72">
              <w:rPr>
                <w:rFonts w:hint="cs"/>
                <w:rtl/>
              </w:rPr>
              <w:t>בפרט 02.06, בפרט משנה 100000, בטור ג', במקום האמור יבוא "פטור";</w:t>
            </w:r>
          </w:p>
        </w:tc>
      </w:tr>
      <w:tr w:rsidR="00D00762" w:rsidRPr="00261A72" w14:paraId="349F5D99" w14:textId="77777777">
        <w:trPr>
          <w:cantSplit/>
          <w:trHeight w:val="60"/>
        </w:trPr>
        <w:tc>
          <w:tcPr>
            <w:tcW w:w="1871" w:type="dxa"/>
          </w:tcPr>
          <w:p w14:paraId="10CFE180" w14:textId="77777777" w:rsidR="00D00762" w:rsidRPr="00261A72" w:rsidRDefault="00D00762">
            <w:pPr>
              <w:pStyle w:val="TableSideHeading"/>
            </w:pPr>
          </w:p>
        </w:tc>
        <w:tc>
          <w:tcPr>
            <w:tcW w:w="624" w:type="dxa"/>
          </w:tcPr>
          <w:p w14:paraId="120AA785" w14:textId="77777777" w:rsidR="00D00762" w:rsidRPr="00261A72" w:rsidRDefault="00D00762" w:rsidP="00D00762">
            <w:pPr>
              <w:pStyle w:val="TableText"/>
            </w:pPr>
          </w:p>
        </w:tc>
        <w:tc>
          <w:tcPr>
            <w:tcW w:w="624" w:type="dxa"/>
          </w:tcPr>
          <w:p w14:paraId="3DC95FC0" w14:textId="77777777" w:rsidR="00D00762" w:rsidRPr="00261A72" w:rsidRDefault="00D00762">
            <w:pPr>
              <w:pStyle w:val="TableText"/>
            </w:pPr>
          </w:p>
        </w:tc>
        <w:tc>
          <w:tcPr>
            <w:tcW w:w="6522" w:type="dxa"/>
          </w:tcPr>
          <w:p w14:paraId="716B18B2" w14:textId="77777777" w:rsidR="00D00762" w:rsidRPr="00261A72" w:rsidRDefault="00D00762" w:rsidP="00D00762">
            <w:pPr>
              <w:pStyle w:val="TableBlock"/>
              <w:numPr>
                <w:ilvl w:val="0"/>
                <w:numId w:val="6"/>
              </w:numPr>
              <w:tabs>
                <w:tab w:val="left" w:pos="624"/>
              </w:tabs>
              <w:rPr>
                <w:rtl/>
              </w:rPr>
            </w:pPr>
            <w:r w:rsidRPr="00261A72">
              <w:rPr>
                <w:rFonts w:hint="cs"/>
                <w:rtl/>
              </w:rPr>
              <w:t>בפרט 02.10, בפרט משנה 200000, בטור ג', במקום האמור יבוא "פטור".</w:t>
            </w:r>
          </w:p>
        </w:tc>
      </w:tr>
      <w:tr w:rsidR="00D00762" w:rsidRPr="00261A72" w14:paraId="1671FF8E" w14:textId="77777777">
        <w:trPr>
          <w:cantSplit/>
          <w:trHeight w:val="60"/>
        </w:trPr>
        <w:tc>
          <w:tcPr>
            <w:tcW w:w="1871" w:type="dxa"/>
          </w:tcPr>
          <w:p w14:paraId="60D69703" w14:textId="77777777" w:rsidR="00D00762" w:rsidRPr="00261A72" w:rsidRDefault="00D00762" w:rsidP="007E751D">
            <w:pPr>
              <w:pStyle w:val="TableSideHeading"/>
              <w:keepLines w:val="0"/>
            </w:pPr>
            <w:bookmarkStart w:id="16" w:name="_Toc97805066"/>
            <w:r w:rsidRPr="00261A72">
              <w:rPr>
                <w:rFonts w:hint="cs"/>
                <w:rtl/>
              </w:rPr>
              <w:t>הוראת שעה</w:t>
            </w:r>
            <w:bookmarkEnd w:id="14"/>
            <w:bookmarkEnd w:id="15"/>
            <w:bookmarkEnd w:id="16"/>
          </w:p>
        </w:tc>
        <w:tc>
          <w:tcPr>
            <w:tcW w:w="624" w:type="dxa"/>
          </w:tcPr>
          <w:p w14:paraId="236C4587" w14:textId="77777777" w:rsidR="00D00762" w:rsidRPr="00261A72" w:rsidRDefault="00D00762" w:rsidP="00D00762">
            <w:pPr>
              <w:pStyle w:val="TableText"/>
              <w:keepLines w:val="0"/>
              <w:numPr>
                <w:ilvl w:val="0"/>
                <w:numId w:val="4"/>
              </w:numPr>
              <w:tabs>
                <w:tab w:val="clear" w:pos="624"/>
              </w:tabs>
            </w:pPr>
          </w:p>
        </w:tc>
        <w:tc>
          <w:tcPr>
            <w:tcW w:w="7146" w:type="dxa"/>
            <w:gridSpan w:val="2"/>
          </w:tcPr>
          <w:p w14:paraId="0BB4140D" w14:textId="77777777" w:rsidR="00D00762" w:rsidRPr="00261A72" w:rsidRDefault="00D00762" w:rsidP="00D00762">
            <w:pPr>
              <w:pStyle w:val="TableBlock"/>
              <w:keepLines w:val="0"/>
            </w:pPr>
            <w:r w:rsidRPr="00261A72">
              <w:rPr>
                <w:rFonts w:hint="cs"/>
                <w:rtl/>
              </w:rPr>
              <w:t xml:space="preserve">בתקופה שעד יום ז' בטבת </w:t>
            </w:r>
            <w:proofErr w:type="spellStart"/>
            <w:r w:rsidRPr="00261A72">
              <w:rPr>
                <w:rFonts w:hint="cs"/>
                <w:rtl/>
              </w:rPr>
              <w:t>התשפ"ג</w:t>
            </w:r>
            <w:proofErr w:type="spellEnd"/>
            <w:r w:rsidRPr="00261A72">
              <w:rPr>
                <w:rFonts w:hint="cs"/>
                <w:rtl/>
              </w:rPr>
              <w:t xml:space="preserve"> (31 בדצמבר 2022) יראו כאילו בתוספת הראשונה לצו העיקרי-</w:t>
            </w:r>
          </w:p>
        </w:tc>
      </w:tr>
      <w:tr w:rsidR="00D00762" w:rsidRPr="00261A72" w14:paraId="0851B68F" w14:textId="77777777">
        <w:trPr>
          <w:cantSplit/>
          <w:trHeight w:val="60"/>
        </w:trPr>
        <w:tc>
          <w:tcPr>
            <w:tcW w:w="1871" w:type="dxa"/>
          </w:tcPr>
          <w:p w14:paraId="2E65B358" w14:textId="77777777" w:rsidR="00D00762" w:rsidRPr="00261A72" w:rsidRDefault="00D00762">
            <w:pPr>
              <w:pStyle w:val="TableSideHeading"/>
            </w:pPr>
          </w:p>
        </w:tc>
        <w:tc>
          <w:tcPr>
            <w:tcW w:w="624" w:type="dxa"/>
          </w:tcPr>
          <w:p w14:paraId="0E9DF8C2" w14:textId="77777777" w:rsidR="00D00762" w:rsidRPr="00261A72" w:rsidRDefault="00D00762">
            <w:pPr>
              <w:pStyle w:val="TableText"/>
            </w:pPr>
          </w:p>
        </w:tc>
        <w:tc>
          <w:tcPr>
            <w:tcW w:w="624" w:type="dxa"/>
          </w:tcPr>
          <w:p w14:paraId="5D5CF062" w14:textId="77777777" w:rsidR="00D00762" w:rsidRPr="00261A72" w:rsidRDefault="00D00762">
            <w:pPr>
              <w:pStyle w:val="TableText"/>
            </w:pPr>
          </w:p>
        </w:tc>
        <w:tc>
          <w:tcPr>
            <w:tcW w:w="6522" w:type="dxa"/>
          </w:tcPr>
          <w:p w14:paraId="517ECB7F" w14:textId="77777777" w:rsidR="00D00762" w:rsidRPr="00261A72" w:rsidRDefault="00D00762" w:rsidP="00D00762">
            <w:pPr>
              <w:pStyle w:val="TableBlock"/>
              <w:numPr>
                <w:ilvl w:val="0"/>
                <w:numId w:val="7"/>
              </w:numPr>
              <w:tabs>
                <w:tab w:val="left" w:pos="624"/>
              </w:tabs>
            </w:pPr>
            <w:r w:rsidRPr="00261A72">
              <w:rPr>
                <w:rFonts w:hint="cs"/>
                <w:rtl/>
              </w:rPr>
              <w:t>בפרט 16.01, בסעיף 001000, בטור ג', במקום האמור בא "פטור";</w:t>
            </w:r>
          </w:p>
        </w:tc>
      </w:tr>
      <w:tr w:rsidR="00D00762" w:rsidRPr="00261A72" w14:paraId="5A1CD981" w14:textId="77777777">
        <w:trPr>
          <w:cantSplit/>
          <w:trHeight w:val="60"/>
        </w:trPr>
        <w:tc>
          <w:tcPr>
            <w:tcW w:w="1871" w:type="dxa"/>
          </w:tcPr>
          <w:p w14:paraId="41D5433F" w14:textId="77777777" w:rsidR="00D00762" w:rsidRPr="00261A72" w:rsidRDefault="00D00762">
            <w:pPr>
              <w:pStyle w:val="TableSideHeading"/>
            </w:pPr>
          </w:p>
        </w:tc>
        <w:tc>
          <w:tcPr>
            <w:tcW w:w="624" w:type="dxa"/>
          </w:tcPr>
          <w:p w14:paraId="2D81A3AD" w14:textId="77777777" w:rsidR="00D00762" w:rsidRPr="00261A72" w:rsidRDefault="00D00762" w:rsidP="00D00762">
            <w:pPr>
              <w:pStyle w:val="TableText"/>
            </w:pPr>
          </w:p>
        </w:tc>
        <w:tc>
          <w:tcPr>
            <w:tcW w:w="624" w:type="dxa"/>
          </w:tcPr>
          <w:p w14:paraId="6170EAE1" w14:textId="77777777" w:rsidR="00D00762" w:rsidRPr="00261A72" w:rsidRDefault="00D00762">
            <w:pPr>
              <w:pStyle w:val="TableText"/>
            </w:pPr>
          </w:p>
        </w:tc>
        <w:tc>
          <w:tcPr>
            <w:tcW w:w="6522" w:type="dxa"/>
          </w:tcPr>
          <w:p w14:paraId="43EF9B12" w14:textId="4DF2C14A" w:rsidR="00D00762" w:rsidRPr="00261A72" w:rsidRDefault="00D00762" w:rsidP="00233BE8">
            <w:pPr>
              <w:pStyle w:val="TableBlock"/>
              <w:numPr>
                <w:ilvl w:val="0"/>
                <w:numId w:val="7"/>
              </w:numPr>
              <w:tabs>
                <w:tab w:val="left" w:pos="624"/>
              </w:tabs>
              <w:rPr>
                <w:rtl/>
              </w:rPr>
            </w:pPr>
            <w:r w:rsidRPr="00261A72">
              <w:rPr>
                <w:rFonts w:hint="cs"/>
                <w:rtl/>
              </w:rPr>
              <w:t xml:space="preserve">בפרט 16.02, </w:t>
            </w:r>
            <w:r w:rsidR="00DD7670" w:rsidRPr="00261A72">
              <w:rPr>
                <w:rFonts w:hint="cs"/>
                <w:rtl/>
              </w:rPr>
              <w:t>בסעי</w:t>
            </w:r>
            <w:r w:rsidR="00DD7670">
              <w:rPr>
                <w:rFonts w:hint="cs"/>
                <w:rtl/>
              </w:rPr>
              <w:t>פים</w:t>
            </w:r>
            <w:r w:rsidR="00DD7670" w:rsidRPr="00261A72">
              <w:rPr>
                <w:rFonts w:hint="cs"/>
                <w:rtl/>
              </w:rPr>
              <w:t xml:space="preserve"> </w:t>
            </w:r>
            <w:r w:rsidRPr="00261A72">
              <w:rPr>
                <w:rFonts w:hint="cs"/>
                <w:rtl/>
              </w:rPr>
              <w:t>209100</w:t>
            </w:r>
            <w:r w:rsidR="00233BE8">
              <w:rPr>
                <w:rFonts w:hint="cs"/>
                <w:rtl/>
              </w:rPr>
              <w:t>, 319000, 329000, 39</w:t>
            </w:r>
            <w:r w:rsidR="00DD7670">
              <w:rPr>
                <w:rFonts w:hint="cs"/>
                <w:rtl/>
              </w:rPr>
              <w:t>1</w:t>
            </w:r>
            <w:r w:rsidR="00233BE8">
              <w:rPr>
                <w:rFonts w:hint="cs"/>
                <w:rtl/>
              </w:rPr>
              <w:t>000</w:t>
            </w:r>
            <w:r w:rsidR="00DD7670">
              <w:rPr>
                <w:rFonts w:hint="cs"/>
                <w:rtl/>
              </w:rPr>
              <w:t xml:space="preserve"> ו-399000</w:t>
            </w:r>
            <w:r w:rsidRPr="00261A72">
              <w:rPr>
                <w:rFonts w:hint="cs"/>
                <w:rtl/>
              </w:rPr>
              <w:t>, בטור ג', במקום האמור בא "פטור";</w:t>
            </w:r>
          </w:p>
        </w:tc>
      </w:tr>
      <w:tr w:rsidR="00D00762" w:rsidRPr="00261A72" w14:paraId="261FC125" w14:textId="77777777">
        <w:trPr>
          <w:cantSplit/>
          <w:trHeight w:val="60"/>
        </w:trPr>
        <w:tc>
          <w:tcPr>
            <w:tcW w:w="1871" w:type="dxa"/>
          </w:tcPr>
          <w:p w14:paraId="1FD10D25" w14:textId="77777777" w:rsidR="00D00762" w:rsidRPr="00261A72" w:rsidRDefault="00D00762">
            <w:pPr>
              <w:pStyle w:val="TableSideHeading"/>
            </w:pPr>
          </w:p>
        </w:tc>
        <w:tc>
          <w:tcPr>
            <w:tcW w:w="624" w:type="dxa"/>
          </w:tcPr>
          <w:p w14:paraId="31F211C5" w14:textId="77777777" w:rsidR="00D00762" w:rsidRPr="00261A72" w:rsidRDefault="00D00762" w:rsidP="00D00762">
            <w:pPr>
              <w:pStyle w:val="TableText"/>
            </w:pPr>
          </w:p>
        </w:tc>
        <w:tc>
          <w:tcPr>
            <w:tcW w:w="624" w:type="dxa"/>
          </w:tcPr>
          <w:p w14:paraId="2EA0776D" w14:textId="77777777" w:rsidR="00D00762" w:rsidRPr="00261A72" w:rsidRDefault="00D00762">
            <w:pPr>
              <w:pStyle w:val="TableText"/>
            </w:pPr>
          </w:p>
        </w:tc>
        <w:tc>
          <w:tcPr>
            <w:tcW w:w="6522" w:type="dxa"/>
          </w:tcPr>
          <w:p w14:paraId="5D1267AA" w14:textId="77777777" w:rsidR="00D00762" w:rsidRPr="00261A72" w:rsidRDefault="00D00762" w:rsidP="00D00762">
            <w:pPr>
              <w:pStyle w:val="TableBlock"/>
              <w:numPr>
                <w:ilvl w:val="0"/>
                <w:numId w:val="7"/>
              </w:numPr>
              <w:tabs>
                <w:tab w:val="left" w:pos="624"/>
              </w:tabs>
              <w:rPr>
                <w:rtl/>
              </w:rPr>
            </w:pPr>
            <w:r w:rsidRPr="00261A72">
              <w:rPr>
                <w:rFonts w:hint="cs"/>
                <w:rtl/>
              </w:rPr>
              <w:t>בפרט 21.06, במקום סעיף 909900 בא:</w:t>
            </w:r>
          </w:p>
        </w:tc>
      </w:tr>
      <w:tr w:rsidR="00D00762" w:rsidRPr="00261A72" w14:paraId="0F54EBA9" w14:textId="77777777" w:rsidTr="00D00762">
        <w:trPr>
          <w:trHeight w:val="60"/>
        </w:trPr>
        <w:tc>
          <w:tcPr>
            <w:tcW w:w="1871" w:type="dxa"/>
          </w:tcPr>
          <w:p w14:paraId="2B4180DC" w14:textId="77777777" w:rsidR="00D00762" w:rsidRPr="00261A72" w:rsidRDefault="00D00762">
            <w:pPr>
              <w:pStyle w:val="TableSideHeading"/>
            </w:pPr>
          </w:p>
        </w:tc>
        <w:tc>
          <w:tcPr>
            <w:tcW w:w="624" w:type="dxa"/>
          </w:tcPr>
          <w:p w14:paraId="0AF9384A" w14:textId="77777777" w:rsidR="00D00762" w:rsidRPr="00261A72" w:rsidRDefault="00D00762">
            <w:pPr>
              <w:pStyle w:val="TableText"/>
            </w:pPr>
          </w:p>
        </w:tc>
        <w:tc>
          <w:tcPr>
            <w:tcW w:w="7146" w:type="dxa"/>
            <w:gridSpan w:val="2"/>
          </w:tcPr>
          <w:tbl>
            <w:tblPr>
              <w:tblStyle w:val="a6"/>
              <w:bidiVisual/>
              <w:tblW w:w="0" w:type="auto"/>
              <w:tblLayout w:type="fixed"/>
              <w:tblLook w:val="04A0" w:firstRow="1" w:lastRow="0" w:firstColumn="1" w:lastColumn="0" w:noHBand="0" w:noVBand="1"/>
            </w:tblPr>
            <w:tblGrid>
              <w:gridCol w:w="1189"/>
              <w:gridCol w:w="1189"/>
              <w:gridCol w:w="1189"/>
              <w:gridCol w:w="1189"/>
              <w:gridCol w:w="1190"/>
              <w:gridCol w:w="1190"/>
            </w:tblGrid>
            <w:tr w:rsidR="00D00762" w:rsidRPr="00261A72" w14:paraId="7457D662" w14:textId="77777777" w:rsidTr="00D00762">
              <w:tc>
                <w:tcPr>
                  <w:tcW w:w="1189" w:type="dxa"/>
                </w:tcPr>
                <w:p w14:paraId="15F1237C" w14:textId="77777777" w:rsidR="00D00762" w:rsidRPr="00261A72" w:rsidRDefault="00D00762" w:rsidP="00D00762">
                  <w:pPr>
                    <w:pStyle w:val="TableHead"/>
                    <w:outlineLvl w:val="9"/>
                    <w:rPr>
                      <w:rtl/>
                    </w:rPr>
                  </w:pPr>
                  <w:bookmarkStart w:id="17" w:name="_Toc97805067"/>
                  <w:r w:rsidRPr="00261A72">
                    <w:rPr>
                      <w:rtl/>
                    </w:rPr>
                    <w:t>א.</w:t>
                  </w:r>
                  <w:bookmarkEnd w:id="17"/>
                  <w:r w:rsidRPr="00261A72">
                    <w:rPr>
                      <w:rtl/>
                    </w:rPr>
                    <w:t xml:space="preserve"> </w:t>
                  </w:r>
                </w:p>
                <w:p w14:paraId="5EEB1327" w14:textId="77777777" w:rsidR="00D00762" w:rsidRPr="00261A72" w:rsidRDefault="00D00762" w:rsidP="00D00762">
                  <w:pPr>
                    <w:pStyle w:val="TableHead"/>
                    <w:rPr>
                      <w:rtl/>
                    </w:rPr>
                  </w:pPr>
                  <w:bookmarkStart w:id="18" w:name="_Toc97805068"/>
                  <w:r w:rsidRPr="00261A72">
                    <w:rPr>
                      <w:rtl/>
                    </w:rPr>
                    <w:t>פרט</w:t>
                  </w:r>
                  <w:bookmarkEnd w:id="18"/>
                </w:p>
              </w:tc>
              <w:tc>
                <w:tcPr>
                  <w:tcW w:w="1189" w:type="dxa"/>
                </w:tcPr>
                <w:p w14:paraId="7B4AA777" w14:textId="77777777" w:rsidR="00D00762" w:rsidRPr="00261A72" w:rsidRDefault="00D00762" w:rsidP="00D00762">
                  <w:pPr>
                    <w:pStyle w:val="TableHead"/>
                    <w:rPr>
                      <w:rtl/>
                    </w:rPr>
                  </w:pPr>
                  <w:bookmarkStart w:id="19" w:name="_Toc97805069"/>
                  <w:r w:rsidRPr="00261A72">
                    <w:rPr>
                      <w:rtl/>
                    </w:rPr>
                    <w:t>ב.</w:t>
                  </w:r>
                  <w:bookmarkEnd w:id="19"/>
                  <w:r w:rsidRPr="00261A72">
                    <w:rPr>
                      <w:rtl/>
                    </w:rPr>
                    <w:t xml:space="preserve">     </w:t>
                  </w:r>
                </w:p>
                <w:p w14:paraId="7A077A6F" w14:textId="77777777" w:rsidR="00D00762" w:rsidRPr="00261A72" w:rsidRDefault="00D00762" w:rsidP="00D00762">
                  <w:pPr>
                    <w:pStyle w:val="TableHead"/>
                    <w:rPr>
                      <w:rtl/>
                    </w:rPr>
                  </w:pPr>
                  <w:bookmarkStart w:id="20" w:name="_Toc97805070"/>
                  <w:r w:rsidRPr="00261A72">
                    <w:rPr>
                      <w:rtl/>
                    </w:rPr>
                    <w:t>תיאור</w:t>
                  </w:r>
                  <w:bookmarkEnd w:id="20"/>
                </w:p>
              </w:tc>
              <w:tc>
                <w:tcPr>
                  <w:tcW w:w="1189" w:type="dxa"/>
                </w:tcPr>
                <w:p w14:paraId="0BF0FE6C" w14:textId="77777777" w:rsidR="00D00762" w:rsidRPr="00261A72" w:rsidRDefault="00D00762" w:rsidP="00D00762">
                  <w:pPr>
                    <w:pStyle w:val="TableHead"/>
                    <w:rPr>
                      <w:rtl/>
                    </w:rPr>
                  </w:pPr>
                  <w:bookmarkStart w:id="21" w:name="_Toc97805071"/>
                  <w:r w:rsidRPr="00261A72">
                    <w:rPr>
                      <w:rtl/>
                    </w:rPr>
                    <w:t>ג.</w:t>
                  </w:r>
                  <w:bookmarkEnd w:id="21"/>
                  <w:r w:rsidRPr="00261A72">
                    <w:rPr>
                      <w:rtl/>
                    </w:rPr>
                    <w:t xml:space="preserve">  </w:t>
                  </w:r>
                </w:p>
                <w:p w14:paraId="375D1FB8" w14:textId="77777777" w:rsidR="00D00762" w:rsidRPr="00261A72" w:rsidRDefault="00D00762" w:rsidP="00D00762">
                  <w:pPr>
                    <w:pStyle w:val="TableHead"/>
                    <w:rPr>
                      <w:rtl/>
                    </w:rPr>
                  </w:pPr>
                  <w:bookmarkStart w:id="22" w:name="_Toc97805072"/>
                  <w:r w:rsidRPr="00261A72">
                    <w:rPr>
                      <w:rtl/>
                    </w:rPr>
                    <w:t>מכס   כללי</w:t>
                  </w:r>
                  <w:bookmarkEnd w:id="22"/>
                </w:p>
              </w:tc>
              <w:tc>
                <w:tcPr>
                  <w:tcW w:w="1189" w:type="dxa"/>
                </w:tcPr>
                <w:p w14:paraId="0A96AF50" w14:textId="77777777" w:rsidR="00D00762" w:rsidRPr="00261A72" w:rsidRDefault="00D00762" w:rsidP="00D00762">
                  <w:pPr>
                    <w:pStyle w:val="TableHead"/>
                    <w:rPr>
                      <w:rtl/>
                    </w:rPr>
                  </w:pPr>
                  <w:bookmarkStart w:id="23" w:name="_Toc97805073"/>
                  <w:r w:rsidRPr="00261A72">
                    <w:rPr>
                      <w:rtl/>
                    </w:rPr>
                    <w:t>ד.</w:t>
                  </w:r>
                  <w:bookmarkEnd w:id="23"/>
                  <w:r w:rsidRPr="00261A72">
                    <w:rPr>
                      <w:rtl/>
                    </w:rPr>
                    <w:t xml:space="preserve"> </w:t>
                  </w:r>
                </w:p>
                <w:p w14:paraId="51D03EE4" w14:textId="77777777" w:rsidR="00D00762" w:rsidRPr="00261A72" w:rsidRDefault="00D00762" w:rsidP="00D00762">
                  <w:pPr>
                    <w:pStyle w:val="TableHead"/>
                    <w:rPr>
                      <w:rtl/>
                    </w:rPr>
                  </w:pPr>
                  <w:r w:rsidRPr="00261A72">
                    <w:rPr>
                      <w:rtl/>
                    </w:rPr>
                    <w:t xml:space="preserve">   </w:t>
                  </w:r>
                  <w:bookmarkStart w:id="24" w:name="_Toc97805074"/>
                  <w:r w:rsidRPr="00261A72">
                    <w:rPr>
                      <w:rtl/>
                    </w:rPr>
                    <w:t>מס קנייה</w:t>
                  </w:r>
                  <w:bookmarkEnd w:id="24"/>
                </w:p>
              </w:tc>
              <w:tc>
                <w:tcPr>
                  <w:tcW w:w="1190" w:type="dxa"/>
                </w:tcPr>
                <w:p w14:paraId="3D099ED3" w14:textId="77777777" w:rsidR="00D00762" w:rsidRPr="00261A72" w:rsidRDefault="00D00762" w:rsidP="00D00762">
                  <w:pPr>
                    <w:pStyle w:val="TableHead"/>
                    <w:rPr>
                      <w:rtl/>
                    </w:rPr>
                  </w:pPr>
                  <w:bookmarkStart w:id="25" w:name="_Toc97805075"/>
                  <w:r w:rsidRPr="00261A72">
                    <w:rPr>
                      <w:rtl/>
                    </w:rPr>
                    <w:t>ה.</w:t>
                  </w:r>
                  <w:bookmarkEnd w:id="25"/>
                  <w:r w:rsidRPr="00261A72">
                    <w:rPr>
                      <w:rtl/>
                    </w:rPr>
                    <w:t xml:space="preserve"> </w:t>
                  </w:r>
                </w:p>
                <w:p w14:paraId="351ED101" w14:textId="77777777" w:rsidR="00D00762" w:rsidRPr="00261A72" w:rsidRDefault="00D00762" w:rsidP="00D00762">
                  <w:pPr>
                    <w:pStyle w:val="TableHead"/>
                  </w:pPr>
                  <w:bookmarkStart w:id="26" w:name="_Toc97805076"/>
                  <w:r w:rsidRPr="00261A72">
                    <w:rPr>
                      <w:rtl/>
                    </w:rPr>
                    <w:t>שיעור</w:t>
                  </w:r>
                  <w:bookmarkEnd w:id="26"/>
                </w:p>
                <w:p w14:paraId="7A44F0B8" w14:textId="77777777" w:rsidR="00D00762" w:rsidRPr="00261A72" w:rsidRDefault="00D00762" w:rsidP="00D00762">
                  <w:pPr>
                    <w:pStyle w:val="TableHead"/>
                    <w:rPr>
                      <w:rtl/>
                    </w:rPr>
                  </w:pPr>
                  <w:bookmarkStart w:id="27" w:name="_Toc97805077"/>
                  <w:r w:rsidRPr="00261A72">
                    <w:rPr>
                      <w:rtl/>
                    </w:rPr>
                    <w:t>התוספ</w:t>
                  </w:r>
                  <w:r w:rsidRPr="00261A72">
                    <w:rPr>
                      <w:rFonts w:hint="cs"/>
                      <w:rtl/>
                    </w:rPr>
                    <w:t>ו</w:t>
                  </w:r>
                  <w:r w:rsidRPr="00261A72">
                    <w:rPr>
                      <w:rtl/>
                    </w:rPr>
                    <w:t>ת</w:t>
                  </w:r>
                  <w:bookmarkEnd w:id="27"/>
                </w:p>
                <w:p w14:paraId="41D3CF7C" w14:textId="77777777" w:rsidR="00D00762" w:rsidRPr="00261A72" w:rsidRDefault="00D00762" w:rsidP="00D00762">
                  <w:pPr>
                    <w:pStyle w:val="TableHead"/>
                    <w:rPr>
                      <w:rtl/>
                    </w:rPr>
                  </w:pPr>
                  <w:bookmarkStart w:id="28" w:name="_Toc97805078"/>
                  <w:r w:rsidRPr="00261A72">
                    <w:rPr>
                      <w:rtl/>
                    </w:rPr>
                    <w:t>ביבוא</w:t>
                  </w:r>
                  <w:bookmarkEnd w:id="28"/>
                </w:p>
              </w:tc>
              <w:tc>
                <w:tcPr>
                  <w:tcW w:w="1190" w:type="dxa"/>
                </w:tcPr>
                <w:p w14:paraId="75CB9FA3" w14:textId="77777777" w:rsidR="00D00762" w:rsidRPr="00261A72" w:rsidRDefault="00D00762" w:rsidP="00D00762">
                  <w:pPr>
                    <w:pStyle w:val="TableHead"/>
                    <w:rPr>
                      <w:rtl/>
                    </w:rPr>
                  </w:pPr>
                  <w:bookmarkStart w:id="29" w:name="_Toc97805079"/>
                  <w:r w:rsidRPr="00261A72">
                    <w:rPr>
                      <w:rtl/>
                    </w:rPr>
                    <w:t>יחידה</w:t>
                  </w:r>
                  <w:bookmarkEnd w:id="29"/>
                </w:p>
                <w:p w14:paraId="1FB81705" w14:textId="77777777" w:rsidR="00D00762" w:rsidRPr="00261A72" w:rsidRDefault="00D00762" w:rsidP="00D00762">
                  <w:pPr>
                    <w:pStyle w:val="TableHead"/>
                    <w:rPr>
                      <w:rtl/>
                    </w:rPr>
                  </w:pPr>
                  <w:bookmarkStart w:id="30" w:name="_Toc97805080"/>
                  <w:r w:rsidRPr="00261A72">
                    <w:rPr>
                      <w:rtl/>
                    </w:rPr>
                    <w:t>סטטיסטית</w:t>
                  </w:r>
                  <w:bookmarkEnd w:id="30"/>
                </w:p>
              </w:tc>
            </w:tr>
            <w:tr w:rsidR="00D00762" w:rsidRPr="00261A72" w14:paraId="61B6B811" w14:textId="77777777" w:rsidTr="00D00762">
              <w:tc>
                <w:tcPr>
                  <w:tcW w:w="1189" w:type="dxa"/>
                </w:tcPr>
                <w:p w14:paraId="68C856F3" w14:textId="78956945" w:rsidR="00D00762" w:rsidRPr="00261A72" w:rsidRDefault="00D00762">
                  <w:pPr>
                    <w:pStyle w:val="TableBlock"/>
                    <w:rPr>
                      <w:rtl/>
                    </w:rPr>
                  </w:pPr>
                  <w:r w:rsidRPr="00261A72">
                    <w:rPr>
                      <w:rFonts w:hint="cs"/>
                      <w:rtl/>
                    </w:rPr>
                    <w:t>"909900</w:t>
                  </w:r>
                  <w:r w:rsidR="00471309" w:rsidRPr="00261A72">
                    <w:rPr>
                      <w:rFonts w:hint="cs"/>
                      <w:rtl/>
                    </w:rPr>
                    <w:t>---</w:t>
                  </w:r>
                </w:p>
              </w:tc>
              <w:tc>
                <w:tcPr>
                  <w:tcW w:w="1189" w:type="dxa"/>
                </w:tcPr>
                <w:p w14:paraId="68BC911A" w14:textId="77777777" w:rsidR="00D00762" w:rsidRPr="00261A72" w:rsidRDefault="00D00762">
                  <w:pPr>
                    <w:pStyle w:val="TableBlock"/>
                    <w:rPr>
                      <w:rtl/>
                    </w:rPr>
                  </w:pPr>
                  <w:r w:rsidRPr="00261A72">
                    <w:rPr>
                      <w:rFonts w:hint="cs"/>
                      <w:rtl/>
                    </w:rPr>
                    <w:t>אחרים:-</w:t>
                  </w:r>
                </w:p>
              </w:tc>
              <w:tc>
                <w:tcPr>
                  <w:tcW w:w="1189" w:type="dxa"/>
                </w:tcPr>
                <w:p w14:paraId="251770B5" w14:textId="77777777" w:rsidR="00D00762" w:rsidRPr="00261A72" w:rsidRDefault="00D00762">
                  <w:pPr>
                    <w:pStyle w:val="TableBlock"/>
                    <w:rPr>
                      <w:rtl/>
                    </w:rPr>
                  </w:pPr>
                </w:p>
              </w:tc>
              <w:tc>
                <w:tcPr>
                  <w:tcW w:w="1189" w:type="dxa"/>
                </w:tcPr>
                <w:p w14:paraId="0F4B9690" w14:textId="77777777" w:rsidR="00D00762" w:rsidRPr="00261A72" w:rsidRDefault="00D00762">
                  <w:pPr>
                    <w:pStyle w:val="TableBlock"/>
                    <w:rPr>
                      <w:rtl/>
                    </w:rPr>
                  </w:pPr>
                </w:p>
              </w:tc>
              <w:tc>
                <w:tcPr>
                  <w:tcW w:w="1190" w:type="dxa"/>
                </w:tcPr>
                <w:p w14:paraId="61DBDEBD" w14:textId="77777777" w:rsidR="00D00762" w:rsidRPr="00261A72" w:rsidRDefault="00D00762">
                  <w:pPr>
                    <w:pStyle w:val="TableBlock"/>
                    <w:rPr>
                      <w:rtl/>
                    </w:rPr>
                  </w:pPr>
                </w:p>
              </w:tc>
              <w:tc>
                <w:tcPr>
                  <w:tcW w:w="1190" w:type="dxa"/>
                </w:tcPr>
                <w:p w14:paraId="4AFCDCFD" w14:textId="77777777" w:rsidR="00D00762" w:rsidRPr="00261A72" w:rsidRDefault="00D00762">
                  <w:pPr>
                    <w:pStyle w:val="TableBlock"/>
                    <w:rPr>
                      <w:rtl/>
                    </w:rPr>
                  </w:pPr>
                </w:p>
              </w:tc>
            </w:tr>
            <w:tr w:rsidR="00D00762" w:rsidRPr="00261A72" w14:paraId="69F4D29E" w14:textId="77777777" w:rsidTr="00D00762">
              <w:tc>
                <w:tcPr>
                  <w:tcW w:w="1189" w:type="dxa"/>
                </w:tcPr>
                <w:p w14:paraId="39C03C11" w14:textId="2AFE4F1E" w:rsidR="00D00762" w:rsidRPr="00261A72" w:rsidRDefault="00D00762">
                  <w:pPr>
                    <w:pStyle w:val="TableBlock"/>
                    <w:rPr>
                      <w:rtl/>
                    </w:rPr>
                  </w:pPr>
                  <w:r w:rsidRPr="00261A72">
                    <w:rPr>
                      <w:rFonts w:hint="cs"/>
                      <w:rtl/>
                    </w:rPr>
                    <w:lastRenderedPageBreak/>
                    <w:t>909910/5</w:t>
                  </w:r>
                  <w:r w:rsidR="00471309" w:rsidRPr="00261A72">
                    <w:rPr>
                      <w:rFonts w:hint="cs"/>
                      <w:rtl/>
                    </w:rPr>
                    <w:t>----</w:t>
                  </w:r>
                </w:p>
              </w:tc>
              <w:tc>
                <w:tcPr>
                  <w:tcW w:w="1189" w:type="dxa"/>
                </w:tcPr>
                <w:p w14:paraId="1ECD347D" w14:textId="6EFB68EA" w:rsidR="00D00762" w:rsidRPr="00261A72" w:rsidRDefault="00D00762">
                  <w:pPr>
                    <w:pStyle w:val="TableBlock"/>
                    <w:rPr>
                      <w:rtl/>
                    </w:rPr>
                  </w:pPr>
                  <w:r w:rsidRPr="00261A72">
                    <w:rPr>
                      <w:rtl/>
                    </w:rPr>
                    <w:t>המכילים בשר בשיעור שאינו עולה על 20%, לפי משקל</w:t>
                  </w:r>
                  <w:r w:rsidR="00261A72" w:rsidRPr="00261A72">
                    <w:rPr>
                      <w:rFonts w:hint="cs"/>
                      <w:rtl/>
                    </w:rPr>
                    <w:t xml:space="preserve"> </w:t>
                  </w:r>
                  <w:r w:rsidR="00261A72" w:rsidRPr="00261A72">
                    <w:t>(CAN) (MEX) (EFTA)</w:t>
                  </w:r>
                </w:p>
              </w:tc>
              <w:tc>
                <w:tcPr>
                  <w:tcW w:w="1189" w:type="dxa"/>
                </w:tcPr>
                <w:p w14:paraId="416370DC" w14:textId="77777777" w:rsidR="00D00762" w:rsidRPr="00261A72" w:rsidRDefault="00D00762">
                  <w:pPr>
                    <w:pStyle w:val="TableBlock"/>
                    <w:rPr>
                      <w:rtl/>
                    </w:rPr>
                  </w:pPr>
                  <w:r w:rsidRPr="00261A72">
                    <w:rPr>
                      <w:rFonts w:hint="cs"/>
                      <w:rtl/>
                    </w:rPr>
                    <w:t>פטור</w:t>
                  </w:r>
                </w:p>
              </w:tc>
              <w:tc>
                <w:tcPr>
                  <w:tcW w:w="1189" w:type="dxa"/>
                </w:tcPr>
                <w:p w14:paraId="1EED6C69" w14:textId="77777777" w:rsidR="00D00762" w:rsidRPr="00261A72" w:rsidRDefault="00D00762">
                  <w:pPr>
                    <w:pStyle w:val="TableBlock"/>
                    <w:rPr>
                      <w:rtl/>
                    </w:rPr>
                  </w:pPr>
                  <w:r w:rsidRPr="00261A72">
                    <w:rPr>
                      <w:rFonts w:hint="cs"/>
                      <w:rtl/>
                    </w:rPr>
                    <w:t>-</w:t>
                  </w:r>
                </w:p>
              </w:tc>
              <w:tc>
                <w:tcPr>
                  <w:tcW w:w="1190" w:type="dxa"/>
                </w:tcPr>
                <w:p w14:paraId="1564AC5F" w14:textId="77777777" w:rsidR="00D00762" w:rsidRPr="00261A72" w:rsidRDefault="00D00762">
                  <w:pPr>
                    <w:pStyle w:val="TableBlock"/>
                    <w:rPr>
                      <w:rtl/>
                    </w:rPr>
                  </w:pPr>
                  <w:r w:rsidRPr="00261A72">
                    <w:rPr>
                      <w:rFonts w:hint="cs"/>
                      <w:rtl/>
                    </w:rPr>
                    <w:t>-</w:t>
                  </w:r>
                </w:p>
              </w:tc>
              <w:tc>
                <w:tcPr>
                  <w:tcW w:w="1190" w:type="dxa"/>
                </w:tcPr>
                <w:p w14:paraId="52358324" w14:textId="77777777" w:rsidR="00D00762" w:rsidRPr="00261A72" w:rsidRDefault="00D00762">
                  <w:pPr>
                    <w:pStyle w:val="TableBlock"/>
                    <w:rPr>
                      <w:rtl/>
                    </w:rPr>
                  </w:pPr>
                  <w:r w:rsidRPr="00261A72">
                    <w:rPr>
                      <w:rFonts w:hint="cs"/>
                      <w:rtl/>
                    </w:rPr>
                    <w:t>ק"ג</w:t>
                  </w:r>
                </w:p>
              </w:tc>
            </w:tr>
            <w:tr w:rsidR="00D00762" w:rsidRPr="00261A72" w14:paraId="51785D6F" w14:textId="77777777" w:rsidTr="00D00762">
              <w:tc>
                <w:tcPr>
                  <w:tcW w:w="1189" w:type="dxa"/>
                </w:tcPr>
                <w:p w14:paraId="7040EFBB" w14:textId="2E5846CF" w:rsidR="00D00762" w:rsidRPr="00261A72" w:rsidRDefault="00D00762">
                  <w:pPr>
                    <w:pStyle w:val="TableBlock"/>
                    <w:rPr>
                      <w:rtl/>
                    </w:rPr>
                  </w:pPr>
                  <w:r w:rsidRPr="00261A72">
                    <w:rPr>
                      <w:rFonts w:hint="cs"/>
                      <w:rtl/>
                    </w:rPr>
                    <w:t>909990/7</w:t>
                  </w:r>
                  <w:r w:rsidR="00471309" w:rsidRPr="00261A72">
                    <w:rPr>
                      <w:rFonts w:hint="cs"/>
                      <w:rtl/>
                    </w:rPr>
                    <w:t>----</w:t>
                  </w:r>
                </w:p>
              </w:tc>
              <w:tc>
                <w:tcPr>
                  <w:tcW w:w="1189" w:type="dxa"/>
                </w:tcPr>
                <w:p w14:paraId="0639CE33" w14:textId="7091F429" w:rsidR="00D00762" w:rsidRPr="00261A72" w:rsidRDefault="00D00762">
                  <w:pPr>
                    <w:pStyle w:val="TableBlock"/>
                    <w:rPr>
                      <w:rtl/>
                    </w:rPr>
                  </w:pPr>
                  <w:r w:rsidRPr="00261A72">
                    <w:rPr>
                      <w:rFonts w:hint="cs"/>
                      <w:rtl/>
                    </w:rPr>
                    <w:t>אחרים</w:t>
                  </w:r>
                  <w:r w:rsidR="00261A72" w:rsidRPr="00261A72">
                    <w:rPr>
                      <w:rFonts w:hint="cs"/>
                      <w:rtl/>
                    </w:rPr>
                    <w:t xml:space="preserve"> </w:t>
                  </w:r>
                  <w:r w:rsidR="00261A72" w:rsidRPr="00261A72">
                    <w:t>(CAN) (MEX) (EFTA)</w:t>
                  </w:r>
                </w:p>
              </w:tc>
              <w:tc>
                <w:tcPr>
                  <w:tcW w:w="1189" w:type="dxa"/>
                </w:tcPr>
                <w:p w14:paraId="72A83857" w14:textId="77777777" w:rsidR="00D00762" w:rsidRPr="00261A72" w:rsidRDefault="00D00762">
                  <w:pPr>
                    <w:pStyle w:val="TableBlock"/>
                    <w:rPr>
                      <w:rtl/>
                    </w:rPr>
                  </w:pPr>
                  <w:r w:rsidRPr="00261A72">
                    <w:rPr>
                      <w:rFonts w:hint="cs"/>
                      <w:rtl/>
                    </w:rPr>
                    <w:t>4%</w:t>
                  </w:r>
                </w:p>
              </w:tc>
              <w:tc>
                <w:tcPr>
                  <w:tcW w:w="1189" w:type="dxa"/>
                </w:tcPr>
                <w:p w14:paraId="3A865C30" w14:textId="77777777" w:rsidR="00D00762" w:rsidRPr="00261A72" w:rsidRDefault="00D00762">
                  <w:pPr>
                    <w:pStyle w:val="TableBlock"/>
                    <w:rPr>
                      <w:rtl/>
                    </w:rPr>
                  </w:pPr>
                  <w:r w:rsidRPr="00261A72">
                    <w:rPr>
                      <w:rFonts w:hint="cs"/>
                      <w:rtl/>
                    </w:rPr>
                    <w:t>-</w:t>
                  </w:r>
                </w:p>
              </w:tc>
              <w:tc>
                <w:tcPr>
                  <w:tcW w:w="1190" w:type="dxa"/>
                </w:tcPr>
                <w:p w14:paraId="4F8B7D92" w14:textId="77777777" w:rsidR="00D00762" w:rsidRPr="00261A72" w:rsidRDefault="00D00762">
                  <w:pPr>
                    <w:pStyle w:val="TableBlock"/>
                    <w:rPr>
                      <w:rtl/>
                    </w:rPr>
                  </w:pPr>
                  <w:r w:rsidRPr="00261A72">
                    <w:rPr>
                      <w:rFonts w:hint="cs"/>
                      <w:rtl/>
                    </w:rPr>
                    <w:t>-</w:t>
                  </w:r>
                </w:p>
              </w:tc>
              <w:tc>
                <w:tcPr>
                  <w:tcW w:w="1190" w:type="dxa"/>
                </w:tcPr>
                <w:p w14:paraId="355D259A" w14:textId="77777777" w:rsidR="00D00762" w:rsidRPr="00261A72" w:rsidRDefault="00D00762">
                  <w:pPr>
                    <w:pStyle w:val="TableBlock"/>
                    <w:rPr>
                      <w:rtl/>
                    </w:rPr>
                  </w:pPr>
                  <w:r w:rsidRPr="00261A72">
                    <w:rPr>
                      <w:rFonts w:hint="cs"/>
                      <w:rtl/>
                    </w:rPr>
                    <w:t>ק"ג".</w:t>
                  </w:r>
                </w:p>
              </w:tc>
            </w:tr>
          </w:tbl>
          <w:p w14:paraId="11A55906" w14:textId="77777777" w:rsidR="00D00762" w:rsidRPr="00261A72" w:rsidRDefault="00D00762">
            <w:pPr>
              <w:pStyle w:val="TableBlock"/>
            </w:pPr>
          </w:p>
        </w:tc>
      </w:tr>
    </w:tbl>
    <w:p w14:paraId="47E179E0" w14:textId="77777777" w:rsidR="00D56CBB" w:rsidRPr="00261A72" w:rsidRDefault="00D56CBB" w:rsidP="00D56CBB"/>
    <w:p w14:paraId="300D6B28" w14:textId="77777777" w:rsidR="00D56CBB" w:rsidRPr="00261A72" w:rsidRDefault="00D56CBB" w:rsidP="00D56CBB">
      <w:pPr>
        <w:rPr>
          <w:rtl/>
        </w:rPr>
      </w:pPr>
    </w:p>
    <w:p w14:paraId="0DD49CC6" w14:textId="77777777" w:rsidR="00D56CBB" w:rsidRPr="00261A72" w:rsidRDefault="00D56CBB" w:rsidP="00D56CBB">
      <w:pPr>
        <w:rPr>
          <w:rFonts w:eastAsia="Calibri"/>
          <w:rtl/>
        </w:rPr>
      </w:pPr>
      <w:r w:rsidRPr="00261A72">
        <w:rPr>
          <w:rFonts w:eastAsia="Calibri" w:hint="cs"/>
          <w:rtl/>
        </w:rPr>
        <w:t>___ ב________ התש_______ (___ ב________ ____20)</w:t>
      </w:r>
    </w:p>
    <w:p w14:paraId="308F1718" w14:textId="77777777" w:rsidR="00D56CBB" w:rsidRPr="00261A72" w:rsidRDefault="00D56CBB" w:rsidP="00D56CBB">
      <w:pPr>
        <w:rPr>
          <w:rFonts w:eastAsia="Calibri"/>
          <w:rtl/>
        </w:rPr>
      </w:pPr>
      <w:r w:rsidRPr="00261A72">
        <w:rPr>
          <w:rFonts w:eastAsia="Calibri" w:hint="cs"/>
          <w:rtl/>
        </w:rPr>
        <w:t xml:space="preserve"> (</w:t>
      </w:r>
      <w:proofErr w:type="spellStart"/>
      <w:r w:rsidRPr="00261A72">
        <w:rPr>
          <w:rFonts w:eastAsia="Calibri" w:hint="cs"/>
          <w:rtl/>
        </w:rPr>
        <w:t>חמ</w:t>
      </w:r>
      <w:proofErr w:type="spellEnd"/>
      <w:r w:rsidRPr="00261A72">
        <w:rPr>
          <w:rFonts w:eastAsia="Calibri" w:hint="cs"/>
          <w:rtl/>
        </w:rPr>
        <w:t xml:space="preserve"> 3-1906-ת1)</w:t>
      </w:r>
    </w:p>
    <w:p w14:paraId="7C75D246" w14:textId="77777777" w:rsidR="00D56CBB" w:rsidRPr="00261A72" w:rsidRDefault="00D56CBB" w:rsidP="00D56CBB">
      <w:pPr>
        <w:rPr>
          <w:rFonts w:eastAsia="Calibri"/>
          <w:rtl/>
        </w:rPr>
      </w:pPr>
    </w:p>
    <w:p w14:paraId="4F10D079" w14:textId="77777777" w:rsidR="00D56CBB" w:rsidRPr="00261A72" w:rsidRDefault="00D56CBB" w:rsidP="00D56CBB">
      <w:pPr>
        <w:ind w:left="5760"/>
        <w:jc w:val="center"/>
        <w:rPr>
          <w:rFonts w:eastAsia="Calibri"/>
          <w:rtl/>
        </w:rPr>
      </w:pPr>
      <w:r w:rsidRPr="00261A72">
        <w:rPr>
          <w:rFonts w:eastAsia="Calibri" w:hint="cs"/>
          <w:rtl/>
        </w:rPr>
        <w:t>__________________</w:t>
      </w:r>
    </w:p>
    <w:p w14:paraId="531A9456" w14:textId="77777777" w:rsidR="00D56CBB" w:rsidRPr="00261A72" w:rsidRDefault="00D56CBB" w:rsidP="00D56CBB">
      <w:pPr>
        <w:ind w:left="5760"/>
        <w:jc w:val="center"/>
        <w:rPr>
          <w:rFonts w:eastAsia="Calibri"/>
          <w:rtl/>
        </w:rPr>
      </w:pPr>
      <w:r w:rsidRPr="00261A72">
        <w:rPr>
          <w:rFonts w:eastAsia="Calibri" w:hint="cs"/>
          <w:rtl/>
        </w:rPr>
        <w:t>אביגדור ליברמן</w:t>
      </w:r>
    </w:p>
    <w:p w14:paraId="3DB9940A" w14:textId="77777777" w:rsidR="00D56CBB" w:rsidRPr="00261A72" w:rsidRDefault="00D56CBB" w:rsidP="00D56CBB">
      <w:pPr>
        <w:ind w:left="5760"/>
        <w:jc w:val="center"/>
        <w:rPr>
          <w:rFonts w:eastAsia="Calibri"/>
          <w:rtl/>
        </w:rPr>
      </w:pPr>
      <w:r w:rsidRPr="00261A72">
        <w:rPr>
          <w:rFonts w:eastAsia="Calibri" w:hint="cs"/>
          <w:rtl/>
        </w:rPr>
        <w:t>שר האוצר</w:t>
      </w:r>
    </w:p>
    <w:p w14:paraId="13711396" w14:textId="77777777" w:rsidR="00D56CBB" w:rsidRPr="00261A72" w:rsidRDefault="00D56CBB" w:rsidP="00D56CBB">
      <w:pPr>
        <w:pStyle w:val="HeadDivreiHesber"/>
        <w:rPr>
          <w:rtl/>
        </w:rPr>
      </w:pPr>
      <w:bookmarkStart w:id="31" w:name="_Toc96435816"/>
      <w:bookmarkStart w:id="32" w:name="_Toc96435830"/>
      <w:bookmarkStart w:id="33" w:name="_Toc97805081"/>
      <w:r w:rsidRPr="00261A72">
        <w:rPr>
          <w:rtl/>
        </w:rPr>
        <w:t>דברי הסבר</w:t>
      </w:r>
      <w:bookmarkEnd w:id="31"/>
      <w:bookmarkEnd w:id="32"/>
      <w:bookmarkEnd w:id="33"/>
    </w:p>
    <w:p w14:paraId="74090DB2" w14:textId="5CD73C69" w:rsidR="00D56CBB" w:rsidRPr="00261A72" w:rsidRDefault="00D56CBB" w:rsidP="00D56CBB">
      <w:pPr>
        <w:pStyle w:val="Hesber1st"/>
        <w:tabs>
          <w:tab w:val="clear" w:pos="680"/>
        </w:tabs>
      </w:pPr>
      <w:r w:rsidRPr="00261A72">
        <w:rPr>
          <w:rFonts w:hint="cs"/>
          <w:rtl/>
        </w:rPr>
        <w:t xml:space="preserve">במסגרת התכנית להקלה על יוקר המחייה בישראל, הודיע שר האוצר כי בכוונתו להפחית מכסים על מוצרים רבים ביניהם </w:t>
      </w:r>
      <w:r w:rsidR="00261A72" w:rsidRPr="00261A72">
        <w:rPr>
          <w:rFonts w:hint="cs"/>
          <w:rtl/>
        </w:rPr>
        <w:t xml:space="preserve">מוצרי מזון, </w:t>
      </w:r>
      <w:r w:rsidRPr="00261A72">
        <w:rPr>
          <w:rFonts w:hint="cs"/>
          <w:rtl/>
        </w:rPr>
        <w:t xml:space="preserve">כלי מטבח, כלי מיטה, רהיטים, חלקי חילוף לרכב ועוד, וזאת בהוראת שעה שתוקפה עד סוף שנת 2022. לעמדת גורמי המקצוע במשרד האוצר הפחתות מסים דומות בענפים אחרים שנעשו בשנים האחרונות הובילו לירידת מחירים לצרכן. </w:t>
      </w:r>
    </w:p>
    <w:p w14:paraId="1A5F6C50" w14:textId="45943975" w:rsidR="00D56CBB" w:rsidRPr="00261A72" w:rsidRDefault="00D56CBB" w:rsidP="00261A72">
      <w:pPr>
        <w:pStyle w:val="Hesber"/>
        <w:rPr>
          <w:rtl/>
        </w:rPr>
      </w:pPr>
      <w:r w:rsidRPr="00261A72">
        <w:rPr>
          <w:rFonts w:hint="cs"/>
          <w:rtl/>
        </w:rPr>
        <w:t>בהתאם, בצו זה מוצע לתקן את צו תעריף המכס והפטורים ומס קנייה על טובין, התשע"ז-2017</w:t>
      </w:r>
      <w:r w:rsidR="00261A72" w:rsidRPr="00261A72">
        <w:rPr>
          <w:rFonts w:hint="cs"/>
          <w:rtl/>
        </w:rPr>
        <w:t xml:space="preserve"> כמפורט להלן:</w:t>
      </w:r>
    </w:p>
    <w:p w14:paraId="6B3FCF0B" w14:textId="3EDFDFFB" w:rsidR="00261A72" w:rsidRPr="00261A72" w:rsidRDefault="00261A72" w:rsidP="00C541E6">
      <w:pPr>
        <w:pStyle w:val="Hesber"/>
        <w:rPr>
          <w:rtl/>
        </w:rPr>
      </w:pPr>
      <w:r w:rsidRPr="00261A72">
        <w:rPr>
          <w:rtl/>
        </w:rPr>
        <w:tab/>
        <w:t>1.לקבוע פטור קבוע ממכס על בשר בקר טרי או צונן, שיירים אכילים טריים של בקר ובשר בקר מעובד.</w:t>
      </w:r>
      <w:r w:rsidR="00C541E6" w:rsidRPr="00C541E6">
        <w:rPr>
          <w:rtl/>
        </w:rPr>
        <w:t xml:space="preserve"> </w:t>
      </w:r>
      <w:r w:rsidR="00C541E6">
        <w:rPr>
          <w:rFonts w:hint="cs"/>
          <w:rtl/>
        </w:rPr>
        <w:t xml:space="preserve">מאז שנת 2016 </w:t>
      </w:r>
      <w:r w:rsidR="00C541E6" w:rsidRPr="00C541E6">
        <w:rPr>
          <w:rtl/>
        </w:rPr>
        <w:t xml:space="preserve">המכס על יבוא </w:t>
      </w:r>
      <w:r w:rsidR="00C541E6">
        <w:rPr>
          <w:rFonts w:hint="cs"/>
          <w:rtl/>
        </w:rPr>
        <w:t xml:space="preserve">טובין אלה </w:t>
      </w:r>
      <w:r w:rsidR="00C541E6" w:rsidRPr="00C541E6">
        <w:rPr>
          <w:rtl/>
        </w:rPr>
        <w:t xml:space="preserve">הופחת ברובו </w:t>
      </w:r>
      <w:r w:rsidR="00C541E6">
        <w:rPr>
          <w:rFonts w:hint="cs"/>
          <w:rtl/>
        </w:rPr>
        <w:t>ו</w:t>
      </w:r>
      <w:r w:rsidR="00C541E6" w:rsidRPr="00C541E6">
        <w:rPr>
          <w:rtl/>
        </w:rPr>
        <w:t xml:space="preserve">נפתחו מכסות </w:t>
      </w:r>
      <w:r w:rsidR="00C541E6">
        <w:rPr>
          <w:rFonts w:hint="cs"/>
          <w:rtl/>
        </w:rPr>
        <w:t>ל</w:t>
      </w:r>
      <w:r w:rsidR="00C541E6" w:rsidRPr="00C541E6">
        <w:rPr>
          <w:rtl/>
        </w:rPr>
        <w:t xml:space="preserve">יבוא </w:t>
      </w:r>
      <w:r w:rsidR="00C541E6">
        <w:rPr>
          <w:rFonts w:hint="cs"/>
          <w:rtl/>
        </w:rPr>
        <w:t>בפטור ממכס</w:t>
      </w:r>
      <w:r w:rsidR="00C541E6" w:rsidRPr="00C541E6">
        <w:rPr>
          <w:rtl/>
        </w:rPr>
        <w:t xml:space="preserve">. ביטול המכס על יבוא בשר בקר טרי מהווה סיום של תהליך ארוך טווח של חשיפה השוק ליבוא ותחרות, ועל כן </w:t>
      </w:r>
      <w:r w:rsidR="00C541E6">
        <w:rPr>
          <w:rFonts w:hint="cs"/>
          <w:rtl/>
        </w:rPr>
        <w:t xml:space="preserve">מוצע כי </w:t>
      </w:r>
      <w:r w:rsidR="00C541E6" w:rsidRPr="00C541E6">
        <w:rPr>
          <w:rtl/>
        </w:rPr>
        <w:t>ביטול המכס יהיה קבוע.</w:t>
      </w:r>
    </w:p>
    <w:p w14:paraId="626D0835" w14:textId="2F0FB07F" w:rsidR="00261A72" w:rsidRPr="00261A72" w:rsidRDefault="00261A72" w:rsidP="00293BB1">
      <w:pPr>
        <w:pStyle w:val="Hesber"/>
        <w:rPr>
          <w:rtl/>
        </w:rPr>
      </w:pPr>
      <w:r w:rsidRPr="00261A72">
        <w:rPr>
          <w:rtl/>
        </w:rPr>
        <w:tab/>
        <w:t xml:space="preserve">2. לקבוע פטור ממכס בהוראת שעה עד סוף שנת 2022 על בשר </w:t>
      </w:r>
      <w:r w:rsidR="00293BB1">
        <w:rPr>
          <w:rFonts w:hint="cs"/>
          <w:rtl/>
        </w:rPr>
        <w:t xml:space="preserve">בקר וצאן </w:t>
      </w:r>
      <w:r w:rsidRPr="00261A72">
        <w:rPr>
          <w:rtl/>
        </w:rPr>
        <w:t xml:space="preserve">מעובד ומשומר. פטור ממכס יחול בין היתר על נקניקים ומוצרים דומים, בשר מעובד ומשומר, לרבות בשר מעובד ומשומר מכבד </w:t>
      </w:r>
      <w:r w:rsidRPr="00261A72">
        <w:rPr>
          <w:rtl/>
        </w:rPr>
        <w:lastRenderedPageBreak/>
        <w:t>של בעלי חיים כלשהם ותכשירי מזון המכילים פחות מ-20% בשר.</w:t>
      </w:r>
      <w:r w:rsidR="00082BBF" w:rsidRPr="00082BBF">
        <w:rPr>
          <w:rtl/>
        </w:rPr>
        <w:t xml:space="preserve"> על מנת לבחון השלכות הצו על שוק הבשר בישראל, הצו ייקבע בהוראת שעה עד סוף שנת 2022.</w:t>
      </w:r>
    </w:p>
    <w:p w14:paraId="37787E61" w14:textId="13E431B7" w:rsidR="001F3481" w:rsidRDefault="001F3481" w:rsidP="00D00762">
      <w:pPr>
        <w:pStyle w:val="Hesber"/>
      </w:pPr>
      <w:r w:rsidRPr="00261A72">
        <w:rPr>
          <w:rFonts w:hint="cs"/>
          <w:rtl/>
        </w:rPr>
        <w:t>הפסד הכנסות ממסים מוערך ב</w:t>
      </w:r>
      <w:r w:rsidR="00261A72" w:rsidRPr="00261A72">
        <w:rPr>
          <w:rFonts w:hint="cs"/>
          <w:rtl/>
        </w:rPr>
        <w:t>כ</w:t>
      </w:r>
      <w:r w:rsidRPr="00261A72">
        <w:rPr>
          <w:rFonts w:hint="cs"/>
          <w:rtl/>
        </w:rPr>
        <w:t>-</w:t>
      </w:r>
      <w:r w:rsidR="00261A72" w:rsidRPr="00261A72">
        <w:rPr>
          <w:rFonts w:hint="cs"/>
          <w:rtl/>
        </w:rPr>
        <w:t>18.3</w:t>
      </w:r>
      <w:r w:rsidRPr="00261A72">
        <w:rPr>
          <w:rFonts w:hint="cs"/>
          <w:rtl/>
        </w:rPr>
        <w:t xml:space="preserve"> ש"ח בשנה.</w:t>
      </w:r>
    </w:p>
    <w:p w14:paraId="59CAFC46" w14:textId="77777777" w:rsidR="00EE7A00" w:rsidRPr="00D56CBB" w:rsidRDefault="00EE7A00"/>
    <w:sectPr w:rsidR="00EE7A00" w:rsidRPr="00D56CBB" w:rsidSect="003F7023">
      <w:pgSz w:w="11906" w:h="16838"/>
      <w:pgMar w:top="1701" w:right="1134" w:bottom="1417" w:left="1134"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4A7F51" w14:textId="77777777" w:rsidR="001C6213" w:rsidRDefault="001C6213" w:rsidP="00D56CBB">
      <w:pPr>
        <w:spacing w:line="240" w:lineRule="auto"/>
      </w:pPr>
      <w:r>
        <w:separator/>
      </w:r>
    </w:p>
  </w:endnote>
  <w:endnote w:type="continuationSeparator" w:id="0">
    <w:p w14:paraId="08521054" w14:textId="77777777" w:rsidR="001C6213" w:rsidRDefault="001C6213" w:rsidP="00D56CB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B1"/>
    <w:family w:val="swiss"/>
    <w:notTrueType/>
    <w:pitch w:val="variable"/>
    <w:sig w:usb0="00000801" w:usb1="00000000" w:usb2="00000000" w:usb3="00000000" w:csb0="0000002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7D00F3" w14:textId="77777777" w:rsidR="001C6213" w:rsidRDefault="001C6213" w:rsidP="00D56CBB">
      <w:pPr>
        <w:spacing w:line="240" w:lineRule="auto"/>
      </w:pPr>
      <w:r>
        <w:separator/>
      </w:r>
    </w:p>
  </w:footnote>
  <w:footnote w:type="continuationSeparator" w:id="0">
    <w:p w14:paraId="467F43BD" w14:textId="77777777" w:rsidR="001C6213" w:rsidRDefault="001C6213" w:rsidP="00D56CBB">
      <w:pPr>
        <w:spacing w:line="240" w:lineRule="auto"/>
      </w:pPr>
      <w:r>
        <w:continuationSeparator/>
      </w:r>
    </w:p>
  </w:footnote>
  <w:footnote w:id="1">
    <w:p w14:paraId="4EE3AE09" w14:textId="77777777" w:rsidR="00D56CBB" w:rsidRDefault="00D56CBB" w:rsidP="00D56CBB">
      <w:pPr>
        <w:pStyle w:val="a3"/>
        <w:rPr>
          <w:rtl/>
        </w:rPr>
      </w:pPr>
      <w:r>
        <w:rPr>
          <w:rStyle w:val="a5"/>
        </w:rPr>
        <w:footnoteRef/>
      </w:r>
      <w:r>
        <w:rPr>
          <w:rtl/>
        </w:rPr>
        <w:t xml:space="preserve"> </w:t>
      </w:r>
      <w:proofErr w:type="spellStart"/>
      <w:r w:rsidRPr="00BA1AE3">
        <w:rPr>
          <w:rtl/>
        </w:rPr>
        <w:t>ע"ר</w:t>
      </w:r>
      <w:proofErr w:type="spellEnd"/>
      <w:r w:rsidRPr="00BA1AE3">
        <w:rPr>
          <w:rtl/>
        </w:rPr>
        <w:t xml:space="preserve"> 1937, </w:t>
      </w:r>
      <w:proofErr w:type="spellStart"/>
      <w:r w:rsidRPr="00BA1AE3">
        <w:rPr>
          <w:rtl/>
        </w:rPr>
        <w:t>תוס</w:t>
      </w:r>
      <w:proofErr w:type="spellEnd"/>
      <w:r w:rsidRPr="00BA1AE3">
        <w:rPr>
          <w:rtl/>
        </w:rPr>
        <w:t xml:space="preserve">' 1, עמ' 183; ס"ח </w:t>
      </w:r>
      <w:proofErr w:type="spellStart"/>
      <w:r w:rsidRPr="00BA1AE3">
        <w:rPr>
          <w:rtl/>
        </w:rPr>
        <w:t>התשכ"ה</w:t>
      </w:r>
      <w:proofErr w:type="spellEnd"/>
      <w:r w:rsidRPr="00BA1AE3">
        <w:rPr>
          <w:rtl/>
        </w:rPr>
        <w:t>, עמ' 118.</w:t>
      </w:r>
    </w:p>
  </w:footnote>
  <w:footnote w:id="2">
    <w:p w14:paraId="0F98691D" w14:textId="77777777" w:rsidR="00D56CBB" w:rsidRDefault="00D56CBB" w:rsidP="00D56CBB">
      <w:pPr>
        <w:pStyle w:val="a3"/>
        <w:rPr>
          <w:rtl/>
        </w:rPr>
      </w:pPr>
      <w:r>
        <w:rPr>
          <w:rStyle w:val="a5"/>
        </w:rPr>
        <w:footnoteRef/>
      </w:r>
      <w:r>
        <w:rPr>
          <w:rtl/>
        </w:rPr>
        <w:t xml:space="preserve"> </w:t>
      </w:r>
      <w:r w:rsidRPr="00BA1AE3">
        <w:rPr>
          <w:rtl/>
        </w:rPr>
        <w:t xml:space="preserve">ס"ח </w:t>
      </w:r>
      <w:proofErr w:type="spellStart"/>
      <w:r w:rsidRPr="00BA1AE3">
        <w:rPr>
          <w:rtl/>
        </w:rPr>
        <w:t>התש"ט</w:t>
      </w:r>
      <w:proofErr w:type="spellEnd"/>
      <w:r w:rsidRPr="00BA1AE3">
        <w:rPr>
          <w:rtl/>
        </w:rPr>
        <w:t xml:space="preserve">, עמ' 154, </w:t>
      </w:r>
      <w:proofErr w:type="spellStart"/>
      <w:r w:rsidRPr="00BA1AE3">
        <w:rPr>
          <w:rtl/>
        </w:rPr>
        <w:t>התש"ך</w:t>
      </w:r>
      <w:proofErr w:type="spellEnd"/>
      <w:r w:rsidRPr="00BA1AE3">
        <w:rPr>
          <w:rtl/>
        </w:rPr>
        <w:t xml:space="preserve"> עמ' 18; </w:t>
      </w:r>
      <w:proofErr w:type="spellStart"/>
      <w:r w:rsidRPr="00BA1AE3">
        <w:rPr>
          <w:rtl/>
        </w:rPr>
        <w:t>התשמ"ד</w:t>
      </w:r>
      <w:proofErr w:type="spellEnd"/>
      <w:r w:rsidRPr="00BA1AE3">
        <w:rPr>
          <w:rtl/>
        </w:rPr>
        <w:t>, עמ' 161.</w:t>
      </w:r>
    </w:p>
  </w:footnote>
  <w:footnote w:id="3">
    <w:p w14:paraId="650528D7" w14:textId="77777777" w:rsidR="00D56CBB" w:rsidRDefault="00D56CBB" w:rsidP="00D56CBB">
      <w:pPr>
        <w:pStyle w:val="a3"/>
        <w:rPr>
          <w:rtl/>
        </w:rPr>
      </w:pPr>
      <w:r>
        <w:rPr>
          <w:rStyle w:val="a5"/>
        </w:rPr>
        <w:footnoteRef/>
      </w:r>
      <w:r>
        <w:rPr>
          <w:rtl/>
        </w:rPr>
        <w:t xml:space="preserve"> </w:t>
      </w:r>
      <w:r>
        <w:rPr>
          <w:rFonts w:hint="cs"/>
          <w:rtl/>
        </w:rPr>
        <w:t xml:space="preserve">ס"ח </w:t>
      </w:r>
      <w:proofErr w:type="spellStart"/>
      <w:r>
        <w:rPr>
          <w:rFonts w:hint="cs"/>
          <w:rtl/>
        </w:rPr>
        <w:t>התשי"ב</w:t>
      </w:r>
      <w:proofErr w:type="spellEnd"/>
      <w:r>
        <w:rPr>
          <w:rFonts w:hint="cs"/>
          <w:rtl/>
        </w:rPr>
        <w:t xml:space="preserve">, עמ' 344; </w:t>
      </w:r>
      <w:proofErr w:type="spellStart"/>
      <w:r>
        <w:rPr>
          <w:rFonts w:hint="cs"/>
          <w:rtl/>
        </w:rPr>
        <w:t>התש"ן</w:t>
      </w:r>
      <w:proofErr w:type="spellEnd"/>
      <w:r>
        <w:rPr>
          <w:rFonts w:hint="cs"/>
          <w:rtl/>
        </w:rPr>
        <w:t xml:space="preserve"> עמ' 190, </w:t>
      </w:r>
      <w:proofErr w:type="spellStart"/>
      <w:r>
        <w:rPr>
          <w:rFonts w:hint="cs"/>
          <w:rtl/>
        </w:rPr>
        <w:t>התשס"ז</w:t>
      </w:r>
      <w:proofErr w:type="spellEnd"/>
      <w:r>
        <w:rPr>
          <w:rFonts w:hint="cs"/>
          <w:rtl/>
        </w:rPr>
        <w:t>, עמ' 66.</w:t>
      </w:r>
    </w:p>
  </w:footnote>
  <w:footnote w:id="4">
    <w:p w14:paraId="11FCBFDD" w14:textId="77777777" w:rsidR="00D00762" w:rsidRDefault="00D00762" w:rsidP="00D00762">
      <w:pPr>
        <w:pStyle w:val="a3"/>
      </w:pPr>
      <w:r>
        <w:rPr>
          <w:rStyle w:val="a5"/>
        </w:rPr>
        <w:footnoteRef/>
      </w:r>
      <w:r>
        <w:rPr>
          <w:rtl/>
        </w:rPr>
        <w:t xml:space="preserve"> </w:t>
      </w:r>
      <w:proofErr w:type="spellStart"/>
      <w:r>
        <w:rPr>
          <w:rFonts w:hint="cs"/>
          <w:rtl/>
        </w:rPr>
        <w:t>ק"ת</w:t>
      </w:r>
      <w:proofErr w:type="spellEnd"/>
      <w:r>
        <w:rPr>
          <w:rFonts w:hint="cs"/>
          <w:rtl/>
        </w:rPr>
        <w:t xml:space="preserve"> שיעורי-</w:t>
      </w:r>
      <w:proofErr w:type="spellStart"/>
      <w:r>
        <w:rPr>
          <w:rFonts w:hint="cs"/>
          <w:rtl/>
        </w:rPr>
        <w:t>מק"ח</w:t>
      </w:r>
      <w:proofErr w:type="spellEnd"/>
      <w:r>
        <w:rPr>
          <w:rFonts w:hint="cs"/>
          <w:rtl/>
        </w:rPr>
        <w:t xml:space="preserve"> </w:t>
      </w:r>
      <w:proofErr w:type="spellStart"/>
      <w:r>
        <w:rPr>
          <w:rFonts w:hint="cs"/>
          <w:rtl/>
        </w:rPr>
        <w:t>התשע"ז</w:t>
      </w:r>
      <w:proofErr w:type="spellEnd"/>
      <w:r>
        <w:rPr>
          <w:rFonts w:hint="cs"/>
          <w:rtl/>
        </w:rPr>
        <w:t>, עמ' 40;התשפ"ב, עמ' 96 ועמ' 116.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494355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8A2EB9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2E00DC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D24BF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916852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5CA2E0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AEA33E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8CFFC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F38A5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5B852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FDA464D"/>
    <w:multiLevelType w:val="hybridMultilevel"/>
    <w:tmpl w:val="59EC2F60"/>
    <w:lvl w:ilvl="0" w:tplc="BAE2EE72">
      <w:start w:val="1"/>
      <w:numFmt w:val="decimal"/>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7972A86"/>
    <w:multiLevelType w:val="hybridMultilevel"/>
    <w:tmpl w:val="0D5028AE"/>
    <w:lvl w:ilvl="0" w:tplc="FB92B186">
      <w:start w:val="1"/>
      <w:numFmt w:val="decimal"/>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12" w15:restartNumberingAfterBreak="0">
    <w:nsid w:val="18B20B73"/>
    <w:multiLevelType w:val="hybridMultilevel"/>
    <w:tmpl w:val="C1127A20"/>
    <w:lvl w:ilvl="0" w:tplc="BC407194">
      <w:start w:val="1"/>
      <w:numFmt w:val="decimal"/>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13" w15:restartNumberingAfterBreak="0">
    <w:nsid w:val="1CDD78F3"/>
    <w:multiLevelType w:val="hybridMultilevel"/>
    <w:tmpl w:val="9E4C4E42"/>
    <w:lvl w:ilvl="0" w:tplc="861C87C0">
      <w:start w:val="1"/>
      <w:numFmt w:val="decimal"/>
      <w:lvlText w:val="(%1)"/>
      <w:lvlJc w:val="left"/>
      <w:pPr>
        <w:tabs>
          <w:tab w:val="num" w:pos="624"/>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BE44B3D"/>
    <w:multiLevelType w:val="hybridMultilevel"/>
    <w:tmpl w:val="4746A192"/>
    <w:lvl w:ilvl="0" w:tplc="E3224CA2">
      <w:start w:val="1"/>
      <w:numFmt w:val="decimal"/>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55A2B35"/>
    <w:multiLevelType w:val="hybridMultilevel"/>
    <w:tmpl w:val="F61ADD04"/>
    <w:lvl w:ilvl="0" w:tplc="EFC26F30">
      <w:start w:val="1"/>
      <w:numFmt w:val="hebrew1"/>
      <w:pStyle w:val="4"/>
      <w:suff w:val="space"/>
      <w:lvlText w:val="%1."/>
      <w:lvlJc w:val="left"/>
      <w:pPr>
        <w:ind w:left="0" w:firstLine="0"/>
      </w:pPr>
      <w:rPr>
        <w:rFonts w:hint="default"/>
      </w:rPr>
    </w:lvl>
    <w:lvl w:ilvl="1" w:tplc="D3D4E8B2">
      <w:start w:val="1"/>
      <w:numFmt w:val="decimal"/>
      <w:lvlText w:val="(%2)"/>
      <w:lvlJc w:val="left"/>
      <w:pPr>
        <w:tabs>
          <w:tab w:val="num" w:pos="624"/>
        </w:tabs>
        <w:ind w:left="0" w:firstLine="0"/>
      </w:pPr>
      <w:rPr>
        <w:rFonts w:hint="default"/>
      </w:rPr>
    </w:lvl>
    <w:lvl w:ilvl="2" w:tplc="5D2AB1E4">
      <w:start w:val="1"/>
      <w:numFmt w:val="hebrew1"/>
      <w:lvlText w:val="(%3)"/>
      <w:lvlJc w:val="left"/>
      <w:pPr>
        <w:tabs>
          <w:tab w:val="num" w:pos="624"/>
        </w:tabs>
        <w:ind w:left="0" w:firstLine="0"/>
      </w:pPr>
      <w:rPr>
        <w:rFonts w:hint="default"/>
      </w:rPr>
    </w:lvl>
    <w:lvl w:ilvl="3" w:tplc="1F820BA4">
      <w:start w:val="1"/>
      <w:numFmt w:val="hebrew1"/>
      <w:lvlRestart w:val="0"/>
      <w:lvlText w:val="(%4)"/>
      <w:lvlJc w:val="left"/>
      <w:pPr>
        <w:tabs>
          <w:tab w:val="num" w:pos="624"/>
        </w:tabs>
        <w:ind w:left="0" w:firstLine="0"/>
      </w:pPr>
      <w:rPr>
        <w:rFonts w:hint="default"/>
      </w:rPr>
    </w:lvl>
    <w:lvl w:ilvl="4" w:tplc="62C6E096">
      <w:start w:val="1"/>
      <w:numFmt w:val="decimal"/>
      <w:lvlRestart w:val="0"/>
      <w:lvlText w:val="(%5)"/>
      <w:lvlJc w:val="left"/>
      <w:pPr>
        <w:tabs>
          <w:tab w:val="num" w:pos="3864"/>
        </w:tabs>
        <w:ind w:left="3240" w:firstLine="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B3B28B0"/>
    <w:multiLevelType w:val="hybridMultilevel"/>
    <w:tmpl w:val="41ACEA96"/>
    <w:lvl w:ilvl="0" w:tplc="06A8C010">
      <w:start w:val="1"/>
      <w:numFmt w:val="decimal"/>
      <w:pStyle w:val="TOC3"/>
      <w:lvlText w:val="%1."/>
      <w:lvlJc w:val="left"/>
      <w:pPr>
        <w:ind w:left="1287" w:hanging="360"/>
      </w:pPr>
      <w:rPr>
        <w:rFonts w:cs="David" w:hint="default"/>
        <w:bCs w:val="0"/>
        <w:iCs w:val="0"/>
        <w:szCs w:val="24"/>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7" w15:restartNumberingAfterBreak="0">
    <w:nsid w:val="753C544D"/>
    <w:multiLevelType w:val="hybridMultilevel"/>
    <w:tmpl w:val="C7443990"/>
    <w:lvl w:ilvl="0" w:tplc="0409000F">
      <w:start w:val="1"/>
      <w:numFmt w:val="decimal"/>
      <w:lvlText w:val="%1."/>
      <w:lvlJc w:val="left"/>
      <w:pPr>
        <w:tabs>
          <w:tab w:val="num" w:pos="0"/>
        </w:tabs>
        <w:ind w:left="0" w:firstLine="0"/>
      </w:pPr>
      <w:rPr>
        <w:rFonts w:hint="default"/>
      </w:rPr>
    </w:lvl>
    <w:lvl w:ilvl="1" w:tplc="D3D4E8B2">
      <w:start w:val="1"/>
      <w:numFmt w:val="decimal"/>
      <w:lvlText w:val="(%2)"/>
      <w:lvlJc w:val="left"/>
      <w:pPr>
        <w:tabs>
          <w:tab w:val="num" w:pos="624"/>
        </w:tabs>
        <w:ind w:left="0" w:firstLine="0"/>
      </w:pPr>
      <w:rPr>
        <w:rFonts w:hint="default"/>
      </w:rPr>
    </w:lvl>
    <w:lvl w:ilvl="2" w:tplc="5D2AB1E4">
      <w:start w:val="1"/>
      <w:numFmt w:val="hebrew1"/>
      <w:lvlText w:val="(%3)"/>
      <w:lvlJc w:val="left"/>
      <w:pPr>
        <w:tabs>
          <w:tab w:val="num" w:pos="624"/>
        </w:tabs>
        <w:ind w:left="0" w:firstLine="0"/>
      </w:pPr>
      <w:rPr>
        <w:rFonts w:hint="default"/>
      </w:rPr>
    </w:lvl>
    <w:lvl w:ilvl="3" w:tplc="1F820BA4">
      <w:start w:val="1"/>
      <w:numFmt w:val="hebrew1"/>
      <w:lvlRestart w:val="0"/>
      <w:lvlText w:val="(%4)"/>
      <w:lvlJc w:val="left"/>
      <w:pPr>
        <w:tabs>
          <w:tab w:val="num" w:pos="624"/>
        </w:tabs>
        <w:ind w:left="0" w:firstLine="0"/>
      </w:pPr>
      <w:rPr>
        <w:rFonts w:hint="default"/>
      </w:rPr>
    </w:lvl>
    <w:lvl w:ilvl="4" w:tplc="62C6E096">
      <w:start w:val="1"/>
      <w:numFmt w:val="decimal"/>
      <w:lvlRestart w:val="0"/>
      <w:lvlText w:val="(%5)"/>
      <w:lvlJc w:val="left"/>
      <w:pPr>
        <w:tabs>
          <w:tab w:val="num" w:pos="3864"/>
        </w:tabs>
        <w:ind w:left="3240" w:firstLine="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75C858E4"/>
    <w:multiLevelType w:val="hybridMultilevel"/>
    <w:tmpl w:val="882C6ED4"/>
    <w:lvl w:ilvl="0" w:tplc="4112A21E">
      <w:start w:val="1"/>
      <w:numFmt w:val="hebrew1"/>
      <w:lvlRestart w:val="0"/>
      <w:lvlText w:val="(%1)"/>
      <w:lvlJc w:val="left"/>
      <w:pPr>
        <w:tabs>
          <w:tab w:val="num" w:pos="624"/>
        </w:tabs>
        <w:ind w:left="0" w:firstLine="0"/>
      </w:pPr>
      <w:rPr>
        <w:rFonts w:hint="default"/>
      </w:rPr>
    </w:lvl>
    <w:lvl w:ilvl="1" w:tplc="49082BE6">
      <w:start w:val="1"/>
      <w:numFmt w:val="decimal"/>
      <w:lvlRestart w:val="0"/>
      <w:lvlText w:val="(%2)"/>
      <w:lvlJc w:val="left"/>
      <w:pPr>
        <w:tabs>
          <w:tab w:val="num" w:pos="1704"/>
        </w:tabs>
        <w:ind w:left="1080" w:firstLine="0"/>
      </w:pPr>
      <w:rPr>
        <w:rFonts w:hint="default"/>
      </w:rPr>
    </w:lvl>
    <w:lvl w:ilvl="2" w:tplc="48C06176">
      <w:start w:val="1"/>
      <w:numFmt w:val="decimal"/>
      <w:lvlRestart w:val="0"/>
      <w:lvlText w:val="(%3)"/>
      <w:lvlJc w:val="left"/>
      <w:pPr>
        <w:tabs>
          <w:tab w:val="num" w:pos="2604"/>
        </w:tabs>
        <w:ind w:left="1980" w:firstLine="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num>
  <w:num w:numId="4">
    <w:abstractNumId w:val="17"/>
  </w:num>
  <w:num w:numId="5">
    <w:abstractNumId w:val="15"/>
  </w:num>
  <w:num w:numId="6">
    <w:abstractNumId w:val="14"/>
  </w:num>
  <w:num w:numId="7">
    <w:abstractNumId w:val="10"/>
  </w:num>
  <w:num w:numId="8">
    <w:abstractNumId w:val="0"/>
  </w:num>
  <w:num w:numId="9">
    <w:abstractNumId w:val="13"/>
  </w:num>
  <w:num w:numId="10">
    <w:abstractNumId w:val="18"/>
  </w:num>
  <w:num w:numId="11">
    <w:abstractNumId w:val="8"/>
  </w:num>
  <w:num w:numId="12">
    <w:abstractNumId w:val="3"/>
  </w:num>
  <w:num w:numId="13">
    <w:abstractNumId w:val="2"/>
  </w:num>
  <w:num w:numId="14">
    <w:abstractNumId w:val="1"/>
  </w:num>
  <w:num w:numId="15">
    <w:abstractNumId w:val="9"/>
  </w:num>
  <w:num w:numId="16">
    <w:abstractNumId w:val="7"/>
  </w:num>
  <w:num w:numId="17">
    <w:abstractNumId w:val="6"/>
  </w:num>
  <w:num w:numId="18">
    <w:abstractNumId w:val="5"/>
  </w:num>
  <w:num w:numId="19">
    <w:abstractNumId w:val="4"/>
  </w:num>
  <w:num w:numId="20">
    <w:abstractNumId w:val="15"/>
    <w:lvlOverride w:ilvl="0">
      <w:startOverride w:val="1"/>
    </w:lvlOverride>
  </w:num>
  <w:num w:numId="21">
    <w:abstractNumId w:val="11"/>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6CBB"/>
    <w:rsid w:val="00082BBF"/>
    <w:rsid w:val="000874C0"/>
    <w:rsid w:val="00166693"/>
    <w:rsid w:val="001C6213"/>
    <w:rsid w:val="001E000B"/>
    <w:rsid w:val="001F3481"/>
    <w:rsid w:val="00233BE8"/>
    <w:rsid w:val="00261A72"/>
    <w:rsid w:val="00293BB1"/>
    <w:rsid w:val="00331EC7"/>
    <w:rsid w:val="00334324"/>
    <w:rsid w:val="0044275E"/>
    <w:rsid w:val="00471309"/>
    <w:rsid w:val="0065160D"/>
    <w:rsid w:val="00896B5C"/>
    <w:rsid w:val="009B674F"/>
    <w:rsid w:val="009C1500"/>
    <w:rsid w:val="00B32EBB"/>
    <w:rsid w:val="00C541E6"/>
    <w:rsid w:val="00C676B2"/>
    <w:rsid w:val="00D00762"/>
    <w:rsid w:val="00D56CBB"/>
    <w:rsid w:val="00DD7670"/>
    <w:rsid w:val="00EE7A00"/>
    <w:rsid w:val="00F2131C"/>
    <w:rsid w:val="00F245AF"/>
    <w:rsid w:val="00F67E9E"/>
    <w:rsid w:val="00FC16E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1C1C80"/>
  <w15:chartTrackingRefBased/>
  <w15:docId w15:val="{BDC5BD04-7B84-41BF-B52A-6158B79B7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qFormat="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160D"/>
    <w:pPr>
      <w:widowControl w:val="0"/>
      <w:bidi/>
      <w:spacing w:after="0" w:line="360" w:lineRule="auto"/>
      <w:ind w:left="340"/>
      <w:contextualSpacing/>
      <w:jc w:val="both"/>
    </w:pPr>
    <w:rPr>
      <w:rFonts w:ascii="David" w:hAnsi="David" w:cs="David"/>
      <w:sz w:val="24"/>
      <w:szCs w:val="24"/>
    </w:rPr>
  </w:style>
  <w:style w:type="paragraph" w:styleId="1">
    <w:name w:val="heading 1"/>
    <w:basedOn w:val="a"/>
    <w:next w:val="a"/>
    <w:link w:val="10"/>
    <w:uiPriority w:val="9"/>
    <w:qFormat/>
    <w:rsid w:val="0065160D"/>
    <w:pPr>
      <w:keepNext/>
      <w:keepLines/>
      <w:spacing w:before="240"/>
      <w:jc w:val="center"/>
      <w:outlineLvl w:val="0"/>
    </w:pPr>
    <w:rPr>
      <w:rFonts w:asciiTheme="majorHAnsi" w:eastAsiaTheme="majorEastAsia" w:hAnsiTheme="majorHAnsi"/>
      <w:bCs/>
      <w:sz w:val="32"/>
      <w:szCs w:val="36"/>
    </w:rPr>
  </w:style>
  <w:style w:type="paragraph" w:styleId="2">
    <w:name w:val="heading 2"/>
    <w:basedOn w:val="a"/>
    <w:next w:val="a"/>
    <w:link w:val="20"/>
    <w:unhideWhenUsed/>
    <w:qFormat/>
    <w:rsid w:val="0065160D"/>
    <w:pPr>
      <w:ind w:left="0"/>
      <w:jc w:val="left"/>
      <w:outlineLvl w:val="1"/>
    </w:pPr>
    <w:rPr>
      <w:rFonts w:asciiTheme="majorHAnsi" w:eastAsiaTheme="majorEastAsia" w:hAnsiTheme="majorHAnsi"/>
      <w:bCs/>
      <w:sz w:val="26"/>
      <w:szCs w:val="36"/>
      <w:u w:val="single"/>
    </w:rPr>
  </w:style>
  <w:style w:type="paragraph" w:styleId="3">
    <w:name w:val="heading 3"/>
    <w:basedOn w:val="a"/>
    <w:next w:val="a"/>
    <w:link w:val="30"/>
    <w:unhideWhenUsed/>
    <w:qFormat/>
    <w:rsid w:val="0065160D"/>
    <w:pPr>
      <w:spacing w:before="40"/>
      <w:ind w:left="0"/>
      <w:jc w:val="left"/>
      <w:outlineLvl w:val="2"/>
    </w:pPr>
    <w:rPr>
      <w:rFonts w:asciiTheme="majorHAnsi" w:eastAsiaTheme="majorEastAsia" w:hAnsiTheme="majorHAnsi"/>
      <w:szCs w:val="28"/>
      <w:u w:val="double"/>
    </w:rPr>
  </w:style>
  <w:style w:type="paragraph" w:styleId="4">
    <w:name w:val="heading 4"/>
    <w:basedOn w:val="a"/>
    <w:next w:val="a"/>
    <w:link w:val="40"/>
    <w:uiPriority w:val="9"/>
    <w:unhideWhenUsed/>
    <w:qFormat/>
    <w:rsid w:val="0065160D"/>
    <w:pPr>
      <w:numPr>
        <w:numId w:val="1"/>
      </w:numPr>
      <w:spacing w:before="40" w:after="120"/>
      <w:outlineLvl w:val="3"/>
    </w:pPr>
    <w:rPr>
      <w:b/>
      <w:bCs/>
      <w:color w:val="000000" w:themeColor="text1"/>
      <w:szCs w:val="28"/>
    </w:rPr>
  </w:style>
  <w:style w:type="paragraph" w:styleId="5">
    <w:name w:val="heading 5"/>
    <w:basedOn w:val="a"/>
    <w:next w:val="a"/>
    <w:link w:val="50"/>
    <w:uiPriority w:val="9"/>
    <w:unhideWhenUsed/>
    <w:qFormat/>
    <w:rsid w:val="0065160D"/>
    <w:pPr>
      <w:spacing w:line="259" w:lineRule="auto"/>
      <w:outlineLvl w:val="4"/>
    </w:pPr>
    <w:rPr>
      <w:color w:val="000000" w:themeColor="tex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uiPriority w:val="9"/>
    <w:rsid w:val="0065160D"/>
    <w:rPr>
      <w:rFonts w:asciiTheme="majorHAnsi" w:eastAsiaTheme="majorEastAsia" w:hAnsiTheme="majorHAnsi" w:cs="David"/>
      <w:bCs/>
      <w:sz w:val="32"/>
      <w:szCs w:val="36"/>
    </w:rPr>
  </w:style>
  <w:style w:type="character" w:customStyle="1" w:styleId="40">
    <w:name w:val="כותרת 4 תו"/>
    <w:basedOn w:val="a0"/>
    <w:link w:val="4"/>
    <w:uiPriority w:val="9"/>
    <w:rsid w:val="0065160D"/>
    <w:rPr>
      <w:rFonts w:ascii="David" w:hAnsi="David" w:cs="David"/>
      <w:b/>
      <w:bCs/>
      <w:color w:val="000000" w:themeColor="text1"/>
      <w:sz w:val="24"/>
      <w:szCs w:val="28"/>
    </w:rPr>
  </w:style>
  <w:style w:type="paragraph" w:customStyle="1" w:styleId="TableText">
    <w:name w:val="Table Text"/>
    <w:basedOn w:val="a"/>
    <w:rsid w:val="0065160D"/>
    <w:pPr>
      <w:keepLines/>
      <w:tabs>
        <w:tab w:val="left" w:pos="624"/>
        <w:tab w:val="left" w:pos="1247"/>
      </w:tabs>
      <w:snapToGrid w:val="0"/>
      <w:ind w:left="0"/>
      <w:jc w:val="left"/>
    </w:pPr>
    <w:rPr>
      <w:rFonts w:ascii="Arial" w:eastAsia="Arial Unicode MS" w:hAnsi="Arial"/>
      <w:snapToGrid w:val="0"/>
      <w:sz w:val="20"/>
      <w:szCs w:val="26"/>
    </w:rPr>
  </w:style>
  <w:style w:type="paragraph" w:customStyle="1" w:styleId="TableSideHeading">
    <w:name w:val="Table SideHeading"/>
    <w:basedOn w:val="TableText"/>
    <w:rsid w:val="0065160D"/>
    <w:pPr>
      <w:outlineLvl w:val="2"/>
    </w:pPr>
  </w:style>
  <w:style w:type="paragraph" w:customStyle="1" w:styleId="TableBlock">
    <w:name w:val="Table Block"/>
    <w:basedOn w:val="TableText"/>
    <w:rsid w:val="0065160D"/>
    <w:pPr>
      <w:jc w:val="both"/>
    </w:pPr>
  </w:style>
  <w:style w:type="paragraph" w:customStyle="1" w:styleId="TableHead">
    <w:name w:val="Table Head"/>
    <w:basedOn w:val="TableText"/>
    <w:rsid w:val="0065160D"/>
    <w:pPr>
      <w:jc w:val="center"/>
      <w:outlineLvl w:val="1"/>
    </w:pPr>
    <w:rPr>
      <w:b/>
      <w:bCs/>
    </w:rPr>
  </w:style>
  <w:style w:type="paragraph" w:customStyle="1" w:styleId="HeadMitparsemetBaze">
    <w:name w:val="Head MitparsemetBaze"/>
    <w:basedOn w:val="a"/>
    <w:rsid w:val="0065160D"/>
    <w:pPr>
      <w:keepNext/>
      <w:keepLines/>
      <w:pageBreakBefore/>
      <w:snapToGrid w:val="0"/>
      <w:spacing w:before="480"/>
    </w:pPr>
    <w:rPr>
      <w:rFonts w:ascii="Arial" w:eastAsia="Arial Unicode MS" w:hAnsi="Arial"/>
      <w:b/>
      <w:bCs/>
      <w:snapToGrid w:val="0"/>
      <w:sz w:val="20"/>
      <w:szCs w:val="26"/>
    </w:rPr>
  </w:style>
  <w:style w:type="paragraph" w:customStyle="1" w:styleId="HeadHatzaotHok">
    <w:name w:val="Head HatzaotHok"/>
    <w:basedOn w:val="a"/>
    <w:rsid w:val="0065160D"/>
    <w:pPr>
      <w:keepNext/>
      <w:keepLines/>
      <w:snapToGrid w:val="0"/>
      <w:spacing w:before="240"/>
      <w:jc w:val="center"/>
      <w:outlineLvl w:val="0"/>
    </w:pPr>
    <w:rPr>
      <w:rFonts w:ascii="Arial" w:eastAsia="Arial Unicode MS" w:hAnsi="Arial"/>
      <w:b/>
      <w:bCs/>
      <w:snapToGrid w:val="0"/>
      <w:sz w:val="20"/>
      <w:szCs w:val="26"/>
    </w:rPr>
  </w:style>
  <w:style w:type="paragraph" w:customStyle="1" w:styleId="Hesber1st">
    <w:name w:val="Hesber 1st"/>
    <w:basedOn w:val="Hesber"/>
    <w:rsid w:val="0065160D"/>
    <w:pPr>
      <w:tabs>
        <w:tab w:val="left" w:pos="680"/>
        <w:tab w:val="left" w:pos="1020"/>
      </w:tabs>
      <w:ind w:firstLine="0"/>
    </w:pPr>
  </w:style>
  <w:style w:type="paragraph" w:customStyle="1" w:styleId="HeadDivreiHesber">
    <w:name w:val="Head DivreiHesber"/>
    <w:basedOn w:val="a"/>
    <w:rsid w:val="0065160D"/>
    <w:pPr>
      <w:snapToGrid w:val="0"/>
      <w:spacing w:before="360" w:after="120"/>
      <w:jc w:val="center"/>
      <w:outlineLvl w:val="1"/>
    </w:pPr>
    <w:rPr>
      <w:rFonts w:ascii="Arial" w:eastAsia="Arial Unicode MS" w:hAnsi="Arial"/>
      <w:b/>
      <w:snapToGrid w:val="0"/>
      <w:spacing w:val="40"/>
      <w:sz w:val="20"/>
      <w:szCs w:val="26"/>
    </w:rPr>
  </w:style>
  <w:style w:type="paragraph" w:customStyle="1" w:styleId="Hesber">
    <w:name w:val="Hesber"/>
    <w:basedOn w:val="a"/>
    <w:rsid w:val="0065160D"/>
    <w:pPr>
      <w:snapToGrid w:val="0"/>
      <w:ind w:left="0" w:firstLine="340"/>
    </w:pPr>
    <w:rPr>
      <w:rFonts w:ascii="Arial" w:eastAsia="Arial Unicode MS" w:hAnsi="Arial"/>
      <w:snapToGrid w:val="0"/>
      <w:sz w:val="20"/>
      <w:szCs w:val="26"/>
    </w:rPr>
  </w:style>
  <w:style w:type="paragraph" w:styleId="a3">
    <w:name w:val="footnote text"/>
    <w:basedOn w:val="a"/>
    <w:link w:val="a4"/>
    <w:autoRedefine/>
    <w:semiHidden/>
    <w:rsid w:val="0065160D"/>
    <w:pPr>
      <w:snapToGrid w:val="0"/>
      <w:spacing w:line="240" w:lineRule="auto"/>
      <w:ind w:left="0"/>
      <w:jc w:val="left"/>
    </w:pPr>
    <w:rPr>
      <w:rFonts w:ascii="Arial" w:eastAsia="Arial Unicode MS" w:hAnsi="Arial"/>
      <w:snapToGrid w:val="0"/>
      <w:sz w:val="14"/>
      <w:szCs w:val="20"/>
    </w:rPr>
  </w:style>
  <w:style w:type="character" w:customStyle="1" w:styleId="a4">
    <w:name w:val="טקסט הערת שוליים תו"/>
    <w:basedOn w:val="a0"/>
    <w:link w:val="a3"/>
    <w:semiHidden/>
    <w:rsid w:val="00D56CBB"/>
    <w:rPr>
      <w:rFonts w:ascii="Arial" w:eastAsia="Arial Unicode MS" w:hAnsi="Arial" w:cs="David"/>
      <w:snapToGrid w:val="0"/>
      <w:sz w:val="14"/>
      <w:szCs w:val="20"/>
    </w:rPr>
  </w:style>
  <w:style w:type="character" w:styleId="a5">
    <w:name w:val="footnote reference"/>
    <w:aliases w:val="Footnote Reference,Footnote Reference_0,Footnote Reference_0_0,Footnote Reference_0_0_0"/>
    <w:basedOn w:val="a0"/>
    <w:semiHidden/>
    <w:rsid w:val="0065160D"/>
    <w:rPr>
      <w:vertAlign w:val="superscript"/>
    </w:rPr>
  </w:style>
  <w:style w:type="paragraph" w:styleId="TOC1">
    <w:name w:val="toc 1"/>
    <w:basedOn w:val="a"/>
    <w:next w:val="a"/>
    <w:autoRedefine/>
    <w:uiPriority w:val="39"/>
    <w:unhideWhenUsed/>
    <w:rsid w:val="0065160D"/>
    <w:pPr>
      <w:tabs>
        <w:tab w:val="right" w:leader="dot" w:pos="9629"/>
      </w:tabs>
      <w:spacing w:after="100"/>
    </w:pPr>
    <w:rPr>
      <w:bCs/>
      <w:szCs w:val="22"/>
    </w:rPr>
  </w:style>
  <w:style w:type="paragraph" w:styleId="TOC2">
    <w:name w:val="toc 2"/>
    <w:basedOn w:val="a"/>
    <w:next w:val="a"/>
    <w:uiPriority w:val="39"/>
    <w:unhideWhenUsed/>
    <w:rsid w:val="0065160D"/>
    <w:pPr>
      <w:tabs>
        <w:tab w:val="right" w:leader="dot" w:pos="9628"/>
      </w:tabs>
      <w:spacing w:after="100"/>
    </w:pPr>
    <w:rPr>
      <w:szCs w:val="22"/>
    </w:rPr>
  </w:style>
  <w:style w:type="character" w:styleId="Hyperlink">
    <w:name w:val="Hyperlink"/>
    <w:basedOn w:val="a0"/>
    <w:uiPriority w:val="99"/>
    <w:unhideWhenUsed/>
    <w:rsid w:val="0065160D"/>
    <w:rPr>
      <w:color w:val="0563C1" w:themeColor="hyperlink"/>
      <w:u w:val="single"/>
    </w:rPr>
  </w:style>
  <w:style w:type="paragraph" w:styleId="TOC3">
    <w:name w:val="toc 3"/>
    <w:basedOn w:val="a"/>
    <w:next w:val="a"/>
    <w:uiPriority w:val="39"/>
    <w:unhideWhenUsed/>
    <w:rsid w:val="0065160D"/>
    <w:pPr>
      <w:numPr>
        <w:numId w:val="3"/>
      </w:numPr>
      <w:tabs>
        <w:tab w:val="right" w:leader="dot" w:pos="9629"/>
      </w:tabs>
      <w:spacing w:after="100"/>
      <w:ind w:left="811" w:hanging="357"/>
    </w:pPr>
    <w:rPr>
      <w:szCs w:val="22"/>
    </w:rPr>
  </w:style>
  <w:style w:type="paragraph" w:styleId="TOC4">
    <w:name w:val="toc 4"/>
    <w:basedOn w:val="a"/>
    <w:next w:val="a"/>
    <w:autoRedefine/>
    <w:uiPriority w:val="39"/>
    <w:unhideWhenUsed/>
    <w:qFormat/>
    <w:rsid w:val="0065160D"/>
    <w:pPr>
      <w:tabs>
        <w:tab w:val="right" w:leader="dot" w:pos="9628"/>
      </w:tabs>
      <w:spacing w:after="100"/>
      <w:ind w:left="567"/>
    </w:pPr>
    <w:rPr>
      <w:rFonts w:asciiTheme="minorHAnsi" w:eastAsiaTheme="minorEastAsia" w:hAnsiTheme="minorHAnsi"/>
      <w:noProof/>
      <w:sz w:val="22"/>
      <w:szCs w:val="22"/>
    </w:rPr>
  </w:style>
  <w:style w:type="table" w:styleId="a6">
    <w:name w:val="Table Grid"/>
    <w:basedOn w:val="a1"/>
    <w:rsid w:val="0065160D"/>
    <w:pPr>
      <w:spacing w:after="0" w:line="240" w:lineRule="auto"/>
    </w:pPr>
    <w:rPr>
      <w:rFonts w:ascii="Times New Roman" w:eastAsia="MS Mincho"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annotation reference"/>
    <w:basedOn w:val="a0"/>
    <w:uiPriority w:val="99"/>
    <w:semiHidden/>
    <w:unhideWhenUsed/>
    <w:rsid w:val="00D00762"/>
    <w:rPr>
      <w:sz w:val="16"/>
      <w:szCs w:val="16"/>
    </w:rPr>
  </w:style>
  <w:style w:type="paragraph" w:styleId="a8">
    <w:name w:val="annotation text"/>
    <w:basedOn w:val="a"/>
    <w:link w:val="a9"/>
    <w:uiPriority w:val="99"/>
    <w:semiHidden/>
    <w:unhideWhenUsed/>
    <w:rsid w:val="00D00762"/>
    <w:pPr>
      <w:spacing w:line="240" w:lineRule="auto"/>
    </w:pPr>
    <w:rPr>
      <w:sz w:val="20"/>
      <w:szCs w:val="20"/>
    </w:rPr>
  </w:style>
  <w:style w:type="character" w:customStyle="1" w:styleId="a9">
    <w:name w:val="טקסט הערה תו"/>
    <w:basedOn w:val="a0"/>
    <w:link w:val="a8"/>
    <w:uiPriority w:val="99"/>
    <w:semiHidden/>
    <w:rsid w:val="00D00762"/>
    <w:rPr>
      <w:rFonts w:ascii="David" w:hAnsi="David" w:cs="David"/>
      <w:sz w:val="20"/>
      <w:szCs w:val="20"/>
    </w:rPr>
  </w:style>
  <w:style w:type="paragraph" w:styleId="aa">
    <w:name w:val="annotation subject"/>
    <w:basedOn w:val="a8"/>
    <w:next w:val="a8"/>
    <w:link w:val="ab"/>
    <w:uiPriority w:val="99"/>
    <w:semiHidden/>
    <w:unhideWhenUsed/>
    <w:rsid w:val="00D00762"/>
    <w:rPr>
      <w:b/>
      <w:bCs/>
    </w:rPr>
  </w:style>
  <w:style w:type="character" w:customStyle="1" w:styleId="ab">
    <w:name w:val="נושא הערה תו"/>
    <w:basedOn w:val="a9"/>
    <w:link w:val="aa"/>
    <w:uiPriority w:val="99"/>
    <w:semiHidden/>
    <w:rsid w:val="00D00762"/>
    <w:rPr>
      <w:rFonts w:ascii="David" w:hAnsi="David" w:cs="David"/>
      <w:b/>
      <w:bCs/>
      <w:sz w:val="20"/>
      <w:szCs w:val="20"/>
    </w:rPr>
  </w:style>
  <w:style w:type="paragraph" w:styleId="ac">
    <w:name w:val="Balloon Text"/>
    <w:basedOn w:val="a"/>
    <w:link w:val="ad"/>
    <w:uiPriority w:val="99"/>
    <w:semiHidden/>
    <w:unhideWhenUsed/>
    <w:rsid w:val="00D00762"/>
    <w:pPr>
      <w:spacing w:line="240" w:lineRule="auto"/>
    </w:pPr>
    <w:rPr>
      <w:rFonts w:ascii="Tahoma" w:hAnsi="Tahoma" w:cs="Tahoma"/>
      <w:sz w:val="18"/>
      <w:szCs w:val="18"/>
    </w:rPr>
  </w:style>
  <w:style w:type="character" w:customStyle="1" w:styleId="ad">
    <w:name w:val="טקסט בלונים תו"/>
    <w:basedOn w:val="a0"/>
    <w:link w:val="ac"/>
    <w:uiPriority w:val="99"/>
    <w:semiHidden/>
    <w:rsid w:val="00D00762"/>
    <w:rPr>
      <w:rFonts w:ascii="Tahoma" w:hAnsi="Tahoma" w:cs="Tahoma"/>
      <w:sz w:val="18"/>
      <w:szCs w:val="18"/>
    </w:rPr>
  </w:style>
  <w:style w:type="character" w:customStyle="1" w:styleId="20">
    <w:name w:val="כותרת 2 תו"/>
    <w:basedOn w:val="a0"/>
    <w:link w:val="2"/>
    <w:rsid w:val="0065160D"/>
    <w:rPr>
      <w:rFonts w:asciiTheme="majorHAnsi" w:eastAsiaTheme="majorEastAsia" w:hAnsiTheme="majorHAnsi" w:cs="David"/>
      <w:bCs/>
      <w:sz w:val="26"/>
      <w:szCs w:val="36"/>
      <w:u w:val="single"/>
    </w:rPr>
  </w:style>
  <w:style w:type="character" w:customStyle="1" w:styleId="30">
    <w:name w:val="כותרת 3 תו"/>
    <w:basedOn w:val="a0"/>
    <w:link w:val="3"/>
    <w:rsid w:val="0065160D"/>
    <w:rPr>
      <w:rFonts w:asciiTheme="majorHAnsi" w:eastAsiaTheme="majorEastAsia" w:hAnsiTheme="majorHAnsi" w:cs="David"/>
      <w:sz w:val="24"/>
      <w:szCs w:val="28"/>
      <w:u w:val="double"/>
    </w:rPr>
  </w:style>
  <w:style w:type="character" w:customStyle="1" w:styleId="50">
    <w:name w:val="כותרת 5 תו"/>
    <w:basedOn w:val="a0"/>
    <w:link w:val="5"/>
    <w:uiPriority w:val="9"/>
    <w:rsid w:val="0065160D"/>
    <w:rPr>
      <w:rFonts w:ascii="David" w:hAnsi="David" w:cs="David"/>
      <w:color w:val="000000" w:themeColor="text1"/>
      <w:sz w:val="24"/>
      <w:szCs w:val="24"/>
    </w:rPr>
  </w:style>
  <w:style w:type="paragraph" w:customStyle="1" w:styleId="HeadHatzaotHok4Futer">
    <w:name w:val="Head HatzaotHok4Futer"/>
    <w:basedOn w:val="HeadHatzaotHok"/>
    <w:rsid w:val="0065160D"/>
    <w:pPr>
      <w:spacing w:before="120" w:after="120"/>
    </w:pPr>
    <w:rPr>
      <w:color w:val="FF0000"/>
      <w:w w:val="80"/>
    </w:rPr>
  </w:style>
  <w:style w:type="paragraph" w:styleId="ae">
    <w:name w:val="endnote text"/>
    <w:basedOn w:val="a"/>
    <w:link w:val="af"/>
    <w:semiHidden/>
    <w:rsid w:val="0065160D"/>
    <w:pPr>
      <w:ind w:left="227" w:hanging="227"/>
    </w:pPr>
    <w:rPr>
      <w:sz w:val="14"/>
      <w:szCs w:val="22"/>
    </w:rPr>
  </w:style>
  <w:style w:type="character" w:customStyle="1" w:styleId="af">
    <w:name w:val="טקסט הערת סיום תו"/>
    <w:basedOn w:val="a0"/>
    <w:link w:val="ae"/>
    <w:semiHidden/>
    <w:rsid w:val="0065160D"/>
    <w:rPr>
      <w:rFonts w:ascii="David" w:hAnsi="David" w:cs="David"/>
      <w:sz w:val="14"/>
    </w:rPr>
  </w:style>
  <w:style w:type="paragraph" w:customStyle="1" w:styleId="TableInnerSideHeading">
    <w:name w:val="Table InnerSideHeading"/>
    <w:basedOn w:val="TableSideHeading"/>
    <w:rsid w:val="0065160D"/>
    <w:pPr>
      <w:outlineLvl w:val="9"/>
    </w:pPr>
  </w:style>
  <w:style w:type="paragraph" w:customStyle="1" w:styleId="HesberHeading">
    <w:name w:val="Hesber Heading"/>
    <w:basedOn w:val="Hesber"/>
    <w:rsid w:val="0065160D"/>
    <w:pPr>
      <w:tabs>
        <w:tab w:val="left" w:pos="624"/>
        <w:tab w:val="left" w:pos="1247"/>
      </w:tabs>
    </w:pPr>
    <w:rPr>
      <w:b/>
      <w:bCs/>
    </w:rPr>
  </w:style>
  <w:style w:type="paragraph" w:customStyle="1" w:styleId="HesberWriters">
    <w:name w:val="Hesber Writers"/>
    <w:basedOn w:val="Hesber"/>
    <w:rsid w:val="0065160D"/>
    <w:pPr>
      <w:spacing w:before="120" w:after="120"/>
      <w:ind w:left="1418"/>
      <w:jc w:val="right"/>
    </w:pPr>
    <w:rPr>
      <w:b/>
      <w:bCs/>
    </w:rPr>
  </w:style>
  <w:style w:type="character" w:styleId="af0">
    <w:name w:val="endnote reference"/>
    <w:basedOn w:val="a0"/>
    <w:semiHidden/>
    <w:rsid w:val="0065160D"/>
    <w:rPr>
      <w:vertAlign w:val="superscript"/>
    </w:rPr>
  </w:style>
  <w:style w:type="paragraph" w:customStyle="1" w:styleId="TableBlockOutdent">
    <w:name w:val="Table BlockOutdent"/>
    <w:basedOn w:val="TableBlock"/>
    <w:rsid w:val="0065160D"/>
    <w:pPr>
      <w:ind w:left="624" w:hanging="624"/>
    </w:pPr>
  </w:style>
  <w:style w:type="paragraph" w:styleId="af1">
    <w:name w:val="header"/>
    <w:basedOn w:val="a"/>
    <w:link w:val="af2"/>
    <w:rsid w:val="0065160D"/>
    <w:pPr>
      <w:tabs>
        <w:tab w:val="center" w:pos="4153"/>
        <w:tab w:val="right" w:pos="8306"/>
      </w:tabs>
    </w:pPr>
  </w:style>
  <w:style w:type="character" w:customStyle="1" w:styleId="af2">
    <w:name w:val="כותרת עליונה תו"/>
    <w:basedOn w:val="a0"/>
    <w:link w:val="af1"/>
    <w:rsid w:val="0065160D"/>
    <w:rPr>
      <w:rFonts w:ascii="David" w:hAnsi="David" w:cs="David"/>
      <w:sz w:val="24"/>
      <w:szCs w:val="24"/>
    </w:rPr>
  </w:style>
  <w:style w:type="paragraph" w:styleId="af3">
    <w:name w:val="footer"/>
    <w:basedOn w:val="a"/>
    <w:link w:val="af4"/>
    <w:rsid w:val="0065160D"/>
    <w:pPr>
      <w:tabs>
        <w:tab w:val="center" w:pos="4153"/>
        <w:tab w:val="right" w:pos="8306"/>
      </w:tabs>
    </w:pPr>
  </w:style>
  <w:style w:type="character" w:customStyle="1" w:styleId="af4">
    <w:name w:val="כותרת תחתונה תו"/>
    <w:basedOn w:val="a0"/>
    <w:link w:val="af3"/>
    <w:rsid w:val="0065160D"/>
    <w:rPr>
      <w:rFonts w:ascii="David" w:hAnsi="David" w:cs="David"/>
      <w:sz w:val="24"/>
      <w:szCs w:val="24"/>
    </w:rPr>
  </w:style>
  <w:style w:type="character" w:styleId="af5">
    <w:name w:val="page number"/>
    <w:basedOn w:val="a0"/>
    <w:rsid w:val="0065160D"/>
  </w:style>
  <w:style w:type="paragraph" w:customStyle="1" w:styleId="Cover1-Reshumot">
    <w:name w:val="Cover 1-Reshumot"/>
    <w:basedOn w:val="a"/>
    <w:rsid w:val="0065160D"/>
    <w:pPr>
      <w:tabs>
        <w:tab w:val="left" w:pos="1191"/>
        <w:tab w:val="left" w:pos="1587"/>
      </w:tabs>
      <w:snapToGrid w:val="0"/>
      <w:spacing w:before="240" w:after="240" w:line="480" w:lineRule="auto"/>
      <w:jc w:val="center"/>
    </w:pPr>
    <w:rPr>
      <w:rFonts w:ascii="Arial" w:eastAsia="Arial Unicode MS" w:hAnsi="Arial"/>
      <w:snapToGrid w:val="0"/>
      <w:sz w:val="20"/>
      <w:szCs w:val="26"/>
    </w:rPr>
  </w:style>
  <w:style w:type="paragraph" w:customStyle="1" w:styleId="Cover2-HatzaotHok">
    <w:name w:val="Cover 2-HatzaotHok"/>
    <w:basedOn w:val="Cover1-Reshumot"/>
    <w:rsid w:val="0065160D"/>
    <w:rPr>
      <w:sz w:val="36"/>
      <w:szCs w:val="52"/>
    </w:rPr>
  </w:style>
  <w:style w:type="paragraph" w:customStyle="1" w:styleId="Cover3-Haknesset">
    <w:name w:val="Cover 3-Haknesset"/>
    <w:basedOn w:val="Cover1-Reshumot"/>
    <w:rsid w:val="0065160D"/>
    <w:rPr>
      <w:b/>
      <w:bCs/>
      <w:spacing w:val="60"/>
    </w:rPr>
  </w:style>
  <w:style w:type="paragraph" w:customStyle="1" w:styleId="Cover4-Date">
    <w:name w:val="Cover 4-Date"/>
    <w:basedOn w:val="a"/>
    <w:rsid w:val="0065160D"/>
    <w:pPr>
      <w:pBdr>
        <w:bottom w:val="single" w:sz="4" w:space="0" w:color="auto"/>
      </w:pBdr>
      <w:tabs>
        <w:tab w:val="center" w:pos="4820"/>
        <w:tab w:val="right" w:pos="9639"/>
      </w:tabs>
      <w:snapToGrid w:val="0"/>
      <w:spacing w:before="240" w:after="240"/>
      <w:jc w:val="left"/>
    </w:pPr>
    <w:rPr>
      <w:rFonts w:ascii="Arial" w:eastAsia="Arial Unicode MS" w:hAnsi="Arial"/>
      <w:snapToGrid w:val="0"/>
      <w:sz w:val="20"/>
      <w:szCs w:val="26"/>
    </w:rPr>
  </w:style>
  <w:style w:type="paragraph" w:customStyle="1" w:styleId="Ragil">
    <w:name w:val="Ragil"/>
    <w:basedOn w:val="a"/>
    <w:rsid w:val="0065160D"/>
    <w:pPr>
      <w:snapToGrid w:val="0"/>
      <w:jc w:val="left"/>
    </w:pPr>
    <w:rPr>
      <w:rFonts w:ascii="Arial" w:eastAsia="Arial Unicode MS" w:hAnsi="Arial"/>
      <w:snapToGrid w:val="0"/>
      <w:sz w:val="20"/>
      <w:szCs w:val="26"/>
    </w:rPr>
  </w:style>
  <w:style w:type="paragraph" w:styleId="af6">
    <w:name w:val="TOC Heading"/>
    <w:basedOn w:val="1"/>
    <w:next w:val="a"/>
    <w:uiPriority w:val="39"/>
    <w:unhideWhenUsed/>
    <w:qFormat/>
    <w:rsid w:val="0065160D"/>
    <w:pPr>
      <w:widowControl/>
      <w:spacing w:before="120" w:after="120"/>
      <w:outlineLvl w:val="9"/>
    </w:pPr>
    <w:rPr>
      <w:rtl/>
      <w:cs/>
    </w:rPr>
  </w:style>
  <w:style w:type="paragraph" w:styleId="TOC5">
    <w:name w:val="toc 5"/>
    <w:basedOn w:val="a"/>
    <w:next w:val="a"/>
    <w:semiHidden/>
    <w:unhideWhenUsed/>
    <w:rsid w:val="0065160D"/>
    <w:pPr>
      <w:tabs>
        <w:tab w:val="right" w:leader="dot" w:pos="9628"/>
      </w:tabs>
      <w:spacing w:after="100"/>
      <w:ind w:left="567"/>
    </w:pPr>
    <w:rPr>
      <w:szCs w:val="22"/>
    </w:rPr>
  </w:style>
  <w:style w:type="paragraph" w:styleId="TOC6">
    <w:name w:val="toc 6"/>
    <w:basedOn w:val="a"/>
    <w:next w:val="a"/>
    <w:autoRedefine/>
    <w:semiHidden/>
    <w:unhideWhenUsed/>
    <w:rsid w:val="0065160D"/>
    <w:pPr>
      <w:spacing w:after="100"/>
      <w:ind w:left="850"/>
    </w:pPr>
  </w:style>
  <w:style w:type="paragraph" w:styleId="TOC7">
    <w:name w:val="toc 7"/>
    <w:basedOn w:val="a"/>
    <w:next w:val="a"/>
    <w:autoRedefine/>
    <w:semiHidden/>
    <w:unhideWhenUsed/>
    <w:rsid w:val="0065160D"/>
    <w:pPr>
      <w:spacing w:after="100"/>
      <w:ind w:left="1020"/>
    </w:pPr>
  </w:style>
  <w:style w:type="paragraph" w:styleId="TOC8">
    <w:name w:val="toc 8"/>
    <w:basedOn w:val="a"/>
    <w:next w:val="a"/>
    <w:autoRedefine/>
    <w:semiHidden/>
    <w:unhideWhenUsed/>
    <w:rsid w:val="0065160D"/>
    <w:pPr>
      <w:spacing w:after="100"/>
      <w:ind w:left="1190"/>
    </w:pPr>
  </w:style>
  <w:style w:type="paragraph" w:styleId="TOC9">
    <w:name w:val="toc 9"/>
    <w:basedOn w:val="a"/>
    <w:next w:val="a"/>
    <w:autoRedefine/>
    <w:semiHidden/>
    <w:unhideWhenUsed/>
    <w:rsid w:val="0065160D"/>
    <w:pPr>
      <w:spacing w:after="100"/>
      <w:ind w:left="1360"/>
    </w:pPr>
  </w:style>
  <w:style w:type="paragraph" w:customStyle="1" w:styleId="TableHead2">
    <w:name w:val="Table Head2"/>
    <w:basedOn w:val="TableHead"/>
    <w:qFormat/>
    <w:rsid w:val="0065160D"/>
    <w:pPr>
      <w:outlineLvl w:val="9"/>
    </w:pPr>
  </w:style>
  <w:style w:type="paragraph" w:customStyle="1" w:styleId="TableSideHeading2">
    <w:name w:val="Table SideHeading2"/>
    <w:basedOn w:val="TableSideHeading"/>
    <w:autoRedefine/>
    <w:qFormat/>
    <w:rsid w:val="0065160D"/>
    <w:pPr>
      <w:keepLines w:val="0"/>
      <w:outlineLvl w:val="9"/>
    </w:pPr>
  </w:style>
  <w:style w:type="paragraph" w:customStyle="1" w:styleId="0">
    <w:name w:val="סגנון שורה ראשונה:  0  ס''מ"/>
    <w:basedOn w:val="2"/>
    <w:rsid w:val="0065160D"/>
    <w:rPr>
      <w:rFonts w:eastAsia="Times New Roman"/>
    </w:rPr>
  </w:style>
  <w:style w:type="paragraph" w:styleId="af7">
    <w:name w:val="List Paragraph"/>
    <w:basedOn w:val="a"/>
    <w:uiPriority w:val="34"/>
    <w:qFormat/>
    <w:rsid w:val="0065160D"/>
    <w:pPr>
      <w:widowControl/>
      <w:spacing w:line="259" w:lineRule="auto"/>
    </w:pPr>
    <w:rPr>
      <w:rFonts w:asciiTheme="minorHAnsi" w:hAnsiTheme="minorHAnsi"/>
      <w:sz w:val="22"/>
    </w:rPr>
  </w:style>
  <w:style w:type="table" w:styleId="11">
    <w:name w:val="Plain Table 1"/>
    <w:basedOn w:val="a1"/>
    <w:uiPriority w:val="41"/>
    <w:rsid w:val="0065160D"/>
    <w:pPr>
      <w:spacing w:after="0" w:line="240" w:lineRule="auto"/>
    </w:pPr>
    <w:rPr>
      <w:rFonts w:ascii="Times New Roman" w:eastAsia="MS Mincho" w:hAnsi="Times New Roman" w:cs="Times New Roman"/>
      <w:sz w:val="20"/>
      <w:szCs w:val="20"/>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12">
    <w:name w:val="Grid Table 1 Light"/>
    <w:basedOn w:val="a1"/>
    <w:uiPriority w:val="46"/>
    <w:rsid w:val="0065160D"/>
    <w:pPr>
      <w:spacing w:after="0" w:line="240" w:lineRule="auto"/>
    </w:pPr>
    <w:rPr>
      <w:rFonts w:ascii="Times New Roman" w:eastAsia="MS Mincho" w:hAnsi="Times New Roman" w:cs="Times New Roman"/>
      <w:sz w:val="20"/>
      <w:szCs w:val="20"/>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af8">
    <w:name w:val="טבלת חקיקה"/>
    <w:basedOn w:val="a1"/>
    <w:uiPriority w:val="99"/>
    <w:rsid w:val="0065160D"/>
    <w:pPr>
      <w:spacing w:after="0" w:line="240" w:lineRule="auto"/>
      <w:jc w:val="center"/>
    </w:pPr>
    <w:rPr>
      <w:rFonts w:ascii="Times New Roman" w:eastAsia="MS Mincho" w:hAnsi="Times New Roman"/>
      <w:sz w:val="20"/>
      <w:szCs w:val="20"/>
    </w:rPr>
    <w:tblPr/>
    <w:tcPr>
      <w:tcMar>
        <w:left w:w="0" w:type="dxa"/>
        <w:right w:w="0" w:type="dxa"/>
      </w:tcMar>
      <w:vAlign w:val="center"/>
    </w:tcPr>
    <w:tblStylePr w:type="firstRow">
      <w:pPr>
        <w:jc w:val="center"/>
      </w:pPr>
      <w:rPr>
        <w:rFonts w:cs="David"/>
        <w:bCs/>
        <w:szCs w:val="24"/>
      </w:rPr>
      <w:tblPr/>
      <w:tcPr>
        <w:tcBorders>
          <w:top w:val="nil"/>
          <w:left w:val="nil"/>
          <w:bottom w:val="nil"/>
          <w:right w:val="nil"/>
          <w:insideH w:val="nil"/>
          <w:insideV w:val="nil"/>
          <w:tl2br w:val="nil"/>
          <w:tr2bl w:val="nil"/>
        </w:tcBorders>
        <w:shd w:val="pct10" w:color="auto" w:fill="auto"/>
      </w:tcPr>
    </w:tblStylePr>
    <w:tblStylePr w:type="firstCol">
      <w:tblPr/>
      <w:tcPr>
        <w:noWrap/>
      </w:tcPr>
    </w:tblStylePr>
    <w:tblStylePr w:type="lastCol">
      <w:pPr>
        <w:jc w:val="center"/>
      </w:pPr>
      <w:tblPr/>
      <w:tcPr>
        <w:noWrap/>
      </w:tcPr>
    </w:tblStylePr>
  </w:style>
  <w:style w:type="table" w:customStyle="1" w:styleId="13">
    <w:name w:val="סגנון1"/>
    <w:basedOn w:val="a1"/>
    <w:uiPriority w:val="99"/>
    <w:rsid w:val="0065160D"/>
    <w:pPr>
      <w:spacing w:after="0" w:line="240" w:lineRule="auto"/>
    </w:pPr>
    <w:rPr>
      <w:rFonts w:ascii="Times New Roman" w:eastAsia="MS Mincho" w:hAnsi="Times New Roman" w:cs="Times New Roman"/>
      <w:sz w:val="20"/>
      <w:szCs w:val="20"/>
    </w:rPr>
    <w:tblPr/>
    <w:tblStylePr w:type="firstCol">
      <w:pPr>
        <w:keepNext w:val="0"/>
        <w:keepLines/>
        <w:pageBreakBefore w:val="0"/>
        <w:widowControl w:val="0"/>
        <w:suppressLineNumbers w:val="0"/>
        <w:suppressAutoHyphens w:val="0"/>
        <w:wordWrap/>
      </w:p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742</Words>
  <Characters>3714</Characters>
  <Application>Microsoft Office Word</Application>
  <DocSecurity>0</DocSecurity>
  <Lines>30</Lines>
  <Paragraphs>8</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4448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לילי אור</dc:creator>
  <cp:keywords/>
  <dc:description/>
  <cp:lastModifiedBy>Merav Kaplan - Chamber Of Commerce</cp:lastModifiedBy>
  <cp:revision>2</cp:revision>
  <dcterms:created xsi:type="dcterms:W3CDTF">2022-03-15T05:47:00Z</dcterms:created>
  <dcterms:modified xsi:type="dcterms:W3CDTF">2022-03-15T05:47:00Z</dcterms:modified>
</cp:coreProperties>
</file>