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F57E" w14:textId="77777777" w:rsidR="005A557E" w:rsidRDefault="00CB218A" w:rsidP="005A557E">
      <w:pPr>
        <w:pStyle w:val="1"/>
        <w:keepNext w:val="0"/>
        <w:keepLines w:val="0"/>
      </w:pPr>
      <w:r>
        <w:rPr>
          <w:rtl/>
        </w:rPr>
        <w:t>טיוטת צו</w:t>
      </w:r>
    </w:p>
    <w:p w14:paraId="0F9BD8DD" w14:textId="77777777" w:rsidR="005A557E" w:rsidRDefault="005A557E" w:rsidP="005A557E">
      <w:pPr>
        <w:rPr>
          <w:rtl/>
        </w:rPr>
      </w:pPr>
    </w:p>
    <w:p w14:paraId="68DB53F3" w14:textId="77777777" w:rsidR="005A557E" w:rsidRDefault="00CB218A" w:rsidP="005A557E">
      <w:pPr>
        <w:pStyle w:val="4"/>
        <w:rPr>
          <w:rtl/>
        </w:rPr>
      </w:pPr>
      <w:r>
        <w:rPr>
          <w:rFonts w:hint="cs"/>
          <w:rtl/>
        </w:rPr>
        <w:t>שם</w:t>
      </w:r>
      <w:r w:rsidR="00413E00">
        <w:rPr>
          <w:rFonts w:hint="cs"/>
          <w:rtl/>
        </w:rPr>
        <w:t xml:space="preserve"> טיוטת</w:t>
      </w:r>
      <w:r>
        <w:rPr>
          <w:rFonts w:hint="cs"/>
          <w:rtl/>
        </w:rPr>
        <w:t xml:space="preserve"> הצו המוצע</w:t>
      </w:r>
    </w:p>
    <w:p w14:paraId="41307DEC" w14:textId="77777777" w:rsidR="005A557E" w:rsidRDefault="00CB218A" w:rsidP="005A557E">
      <w:pPr>
        <w:rPr>
          <w:rtl/>
        </w:rPr>
      </w:pPr>
      <w:r w:rsidRPr="00A171B2">
        <w:rPr>
          <w:rtl/>
        </w:rPr>
        <w:t xml:space="preserve">צו התקנים (פטור ממילוי אחר דרישות תקנים רשמיים), </w:t>
      </w:r>
      <w:proofErr w:type="spellStart"/>
      <w:r w:rsidRPr="00A171B2">
        <w:rPr>
          <w:rtl/>
        </w:rPr>
        <w:t>התש</w:t>
      </w:r>
      <w:r w:rsidR="004A729F">
        <w:rPr>
          <w:rFonts w:hint="cs"/>
          <w:rtl/>
        </w:rPr>
        <w:t>פ</w:t>
      </w:r>
      <w:r w:rsidRPr="00A171B2">
        <w:rPr>
          <w:rtl/>
        </w:rPr>
        <w:t>"</w:t>
      </w:r>
      <w:r w:rsidR="004A729F">
        <w:rPr>
          <w:rFonts w:hint="cs"/>
          <w:rtl/>
        </w:rPr>
        <w:t>א</w:t>
      </w:r>
      <w:proofErr w:type="spellEnd"/>
      <w:r w:rsidRPr="00A171B2">
        <w:rPr>
          <w:rtl/>
        </w:rPr>
        <w:t>–</w:t>
      </w:r>
      <w:r w:rsidR="004A729F">
        <w:rPr>
          <w:rFonts w:hint="cs"/>
          <w:rtl/>
        </w:rPr>
        <w:t>2021</w:t>
      </w:r>
    </w:p>
    <w:p w14:paraId="7C5BAF1B" w14:textId="77777777" w:rsidR="005A557E" w:rsidRDefault="005A557E" w:rsidP="005A557E">
      <w:pPr>
        <w:rPr>
          <w:rtl/>
        </w:rPr>
      </w:pPr>
    </w:p>
    <w:p w14:paraId="64599FFC" w14:textId="77777777" w:rsidR="005A557E" w:rsidRDefault="00CB218A" w:rsidP="005A557E">
      <w:pPr>
        <w:pStyle w:val="4"/>
        <w:rPr>
          <w:rtl/>
        </w:rPr>
      </w:pPr>
      <w:r>
        <w:rPr>
          <w:rFonts w:hint="cs"/>
          <w:rtl/>
        </w:rPr>
        <w:t xml:space="preserve">מטרת </w:t>
      </w:r>
      <w:r w:rsidR="00413E00">
        <w:rPr>
          <w:rFonts w:hint="cs"/>
          <w:rtl/>
        </w:rPr>
        <w:t xml:space="preserve">טיוטת </w:t>
      </w:r>
      <w:r>
        <w:rPr>
          <w:rFonts w:hint="cs"/>
          <w:rtl/>
        </w:rPr>
        <w:t xml:space="preserve">הצו המוצע והצורך בו </w:t>
      </w:r>
    </w:p>
    <w:p w14:paraId="5D5B6614" w14:textId="3173A47F" w:rsidR="00FE09C5" w:rsidRDefault="00CB218A" w:rsidP="00FE09C5">
      <w:pPr>
        <w:rPr>
          <w:rtl/>
        </w:rPr>
      </w:pPr>
      <w:r w:rsidRPr="00512724">
        <w:rPr>
          <w:rFonts w:hint="cs"/>
          <w:rtl/>
        </w:rPr>
        <w:t>מתן פטור</w:t>
      </w:r>
      <w:r w:rsidR="000A1F08">
        <w:rPr>
          <w:rFonts w:hint="cs"/>
          <w:rtl/>
        </w:rPr>
        <w:t xml:space="preserve"> זמני</w:t>
      </w:r>
      <w:r w:rsidRPr="00512724">
        <w:rPr>
          <w:rFonts w:hint="cs"/>
          <w:rtl/>
        </w:rPr>
        <w:t xml:space="preserve"> ממילוי אחר דרישות התקן הרשמי </w:t>
      </w:r>
      <w:r w:rsidR="004A0A10">
        <w:rPr>
          <w:rFonts w:hint="cs"/>
          <w:rtl/>
        </w:rPr>
        <w:t xml:space="preserve">ת"י </w:t>
      </w:r>
      <w:r w:rsidR="00833F5D" w:rsidRPr="00833F5D">
        <w:rPr>
          <w:rFonts w:hint="cs"/>
          <w:rtl/>
        </w:rPr>
        <w:t>5378</w:t>
      </w:r>
      <w:r w:rsidR="00833F5D">
        <w:rPr>
          <w:rFonts w:hint="cs"/>
          <w:rtl/>
        </w:rPr>
        <w:t>, לעניין בדיקות תקופתיות</w:t>
      </w:r>
      <w:r w:rsidR="000A1F08">
        <w:rPr>
          <w:rFonts w:hint="cs"/>
          <w:rtl/>
        </w:rPr>
        <w:t xml:space="preserve"> על ידי מעבדה מאושרת</w:t>
      </w:r>
      <w:r>
        <w:rPr>
          <w:rFonts w:hint="cs"/>
          <w:rtl/>
        </w:rPr>
        <w:t xml:space="preserve"> בכפוף ל</w:t>
      </w:r>
      <w:r w:rsidRPr="00FE09C5">
        <w:rPr>
          <w:b/>
          <w:bCs/>
          <w:rtl/>
        </w:rPr>
        <w:t xml:space="preserve">תנאי </w:t>
      </w:r>
      <w:r>
        <w:rPr>
          <w:rFonts w:hint="cs"/>
          <w:b/>
          <w:bCs/>
          <w:rtl/>
        </w:rPr>
        <w:t xml:space="preserve">לפיו </w:t>
      </w:r>
      <w:r w:rsidRPr="00FE09C5">
        <w:rPr>
          <w:b/>
          <w:bCs/>
          <w:rtl/>
        </w:rPr>
        <w:t>הבדיקה השנתית</w:t>
      </w:r>
      <w:r w:rsidR="00700C2D">
        <w:rPr>
          <w:rFonts w:hint="cs"/>
          <w:b/>
          <w:bCs/>
          <w:rtl/>
        </w:rPr>
        <w:t xml:space="preserve"> כאמור בסעיף</w:t>
      </w:r>
      <w:r w:rsidRPr="00FE09C5">
        <w:rPr>
          <w:b/>
          <w:bCs/>
          <w:rtl/>
        </w:rPr>
        <w:t xml:space="preserve"> </w:t>
      </w:r>
      <w:r w:rsidR="0048185B">
        <w:rPr>
          <w:rFonts w:hint="cs"/>
          <w:b/>
          <w:bCs/>
          <w:rtl/>
        </w:rPr>
        <w:t xml:space="preserve">7.2.2 בדרישות התקן </w:t>
      </w:r>
      <w:r w:rsidRPr="00FE09C5">
        <w:rPr>
          <w:b/>
          <w:bCs/>
          <w:rtl/>
        </w:rPr>
        <w:t>תתבצע על ידי צוות מפעילי המתקן</w:t>
      </w:r>
      <w:r>
        <w:rPr>
          <w:rFonts w:hint="cs"/>
          <w:rtl/>
        </w:rPr>
        <w:t>, בתוספת לבחינה השגרתית שקיימת</w:t>
      </w:r>
      <w:r w:rsidR="003F7A8D">
        <w:rPr>
          <w:rFonts w:hint="cs"/>
          <w:rtl/>
        </w:rPr>
        <w:t xml:space="preserve"> בסעיף 7.2.1</w:t>
      </w:r>
      <w:r>
        <w:rPr>
          <w:rFonts w:hint="cs"/>
          <w:rtl/>
        </w:rPr>
        <w:t xml:space="preserve"> בדרישות התקן לפני כל הפעלה של מתקן.</w:t>
      </w:r>
    </w:p>
    <w:p w14:paraId="1667FDD0" w14:textId="2EC39C25" w:rsidR="00FE09C5" w:rsidRPr="00512724" w:rsidRDefault="00CB218A" w:rsidP="00FE09C5">
      <w:pPr>
        <w:rPr>
          <w:rtl/>
        </w:rPr>
      </w:pPr>
      <w:r w:rsidRPr="00512724">
        <w:rPr>
          <w:rFonts w:hint="cs"/>
          <w:rtl/>
        </w:rPr>
        <w:t>מטרת הפטור היא ל</w:t>
      </w:r>
      <w:r>
        <w:rPr>
          <w:rFonts w:hint="cs"/>
          <w:rtl/>
        </w:rPr>
        <w:t xml:space="preserve">הקל על העוסקים שנפגעו </w:t>
      </w:r>
      <w:r w:rsidR="00700C2D">
        <w:rPr>
          <w:rFonts w:hint="cs"/>
          <w:rtl/>
        </w:rPr>
        <w:t>כלכלית באופן משמעותי</w:t>
      </w:r>
      <w:r>
        <w:rPr>
          <w:rFonts w:hint="cs"/>
          <w:rtl/>
        </w:rPr>
        <w:t xml:space="preserve"> מנגיף הקורונה ו</w:t>
      </w:r>
      <w:r w:rsidRPr="00512724">
        <w:rPr>
          <w:rFonts w:hint="cs"/>
          <w:rtl/>
        </w:rPr>
        <w:t xml:space="preserve">כדי לאפשר התמודדות </w:t>
      </w:r>
      <w:r>
        <w:rPr>
          <w:rFonts w:hint="cs"/>
          <w:rtl/>
        </w:rPr>
        <w:t xml:space="preserve">מתונה </w:t>
      </w:r>
      <w:r w:rsidRPr="00512724">
        <w:rPr>
          <w:rFonts w:hint="cs"/>
          <w:rtl/>
        </w:rPr>
        <w:t xml:space="preserve">עם השלכות </w:t>
      </w:r>
      <w:r w:rsidR="00700C2D">
        <w:rPr>
          <w:rFonts w:hint="cs"/>
          <w:rtl/>
        </w:rPr>
        <w:t>הפגיעה</w:t>
      </w:r>
      <w:r w:rsidRPr="00512724">
        <w:rPr>
          <w:rFonts w:hint="cs"/>
          <w:rtl/>
        </w:rPr>
        <w:t xml:space="preserve">. </w:t>
      </w:r>
    </w:p>
    <w:p w14:paraId="2E80C14C" w14:textId="77777777" w:rsidR="000E7A36" w:rsidRDefault="00CB218A" w:rsidP="004A0A10">
      <w:pPr>
        <w:rPr>
          <w:rtl/>
        </w:rPr>
      </w:pPr>
      <w:r w:rsidRPr="00512724">
        <w:rPr>
          <w:rFonts w:hint="cs"/>
          <w:rtl/>
        </w:rPr>
        <w:t>הפטור שי</w:t>
      </w:r>
      <w:r w:rsidR="002261AD" w:rsidRPr="00512724">
        <w:rPr>
          <w:rFonts w:hint="cs"/>
          <w:rtl/>
        </w:rPr>
        <w:t>י</w:t>
      </w:r>
      <w:r w:rsidRPr="00512724">
        <w:rPr>
          <w:rFonts w:hint="cs"/>
          <w:rtl/>
        </w:rPr>
        <w:t>נתן יהיה</w:t>
      </w:r>
      <w:r w:rsidR="00FE09C5">
        <w:rPr>
          <w:rFonts w:hint="cs"/>
          <w:rtl/>
        </w:rPr>
        <w:t xml:space="preserve"> זמני </w:t>
      </w:r>
      <w:r w:rsidRPr="00512724">
        <w:rPr>
          <w:rFonts w:hint="cs"/>
          <w:rtl/>
        </w:rPr>
        <w:t>עד</w:t>
      </w:r>
      <w:r w:rsidR="00FE09C5">
        <w:rPr>
          <w:rFonts w:hint="cs"/>
          <w:rtl/>
        </w:rPr>
        <w:t xml:space="preserve"> ה-</w:t>
      </w:r>
      <w:r w:rsidRPr="00512724">
        <w:rPr>
          <w:rFonts w:hint="cs"/>
          <w:rtl/>
        </w:rPr>
        <w:t xml:space="preserve"> </w:t>
      </w:r>
      <w:r w:rsidR="00FE09C5">
        <w:rPr>
          <w:rFonts w:hint="cs"/>
          <w:rtl/>
        </w:rPr>
        <w:t xml:space="preserve">31.12.2021. </w:t>
      </w:r>
    </w:p>
    <w:p w14:paraId="1955C492" w14:textId="77777777" w:rsidR="00846FD7" w:rsidRDefault="00846FD7" w:rsidP="004A0A10">
      <w:pPr>
        <w:rPr>
          <w:rtl/>
        </w:rPr>
      </w:pPr>
    </w:p>
    <w:p w14:paraId="0A62C18D" w14:textId="77777777" w:rsidR="000274F9" w:rsidRDefault="000274F9" w:rsidP="005A557E">
      <w:pPr>
        <w:rPr>
          <w:rtl/>
        </w:rPr>
      </w:pPr>
    </w:p>
    <w:p w14:paraId="09A7EDA8" w14:textId="77777777" w:rsidR="005A557E" w:rsidRDefault="005A557E" w:rsidP="005A557E">
      <w:pPr>
        <w:rPr>
          <w:rtl/>
        </w:rPr>
      </w:pPr>
    </w:p>
    <w:p w14:paraId="0A54F8B0" w14:textId="77777777" w:rsidR="005A557E" w:rsidRDefault="00CB218A" w:rsidP="005A557E">
      <w:pPr>
        <w:pStyle w:val="4"/>
        <w:rPr>
          <w:rtl/>
        </w:rPr>
      </w:pPr>
      <w:r>
        <w:rPr>
          <w:rFonts w:hint="cs"/>
          <w:rtl/>
        </w:rPr>
        <w:t xml:space="preserve">להלן נוסח טיוטת הצו המוצע: </w:t>
      </w:r>
    </w:p>
    <w:p w14:paraId="78D52351" w14:textId="77777777" w:rsidR="0032099A" w:rsidRDefault="0032099A" w:rsidP="00A32A82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</w:p>
    <w:p w14:paraId="23B8E126" w14:textId="77777777" w:rsidR="0032099A" w:rsidRDefault="0032099A" w:rsidP="00A32A82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</w:p>
    <w:p w14:paraId="06A23910" w14:textId="77777777" w:rsidR="0032099A" w:rsidRDefault="0032099A" w:rsidP="00A32A82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</w:p>
    <w:p w14:paraId="1873CE84" w14:textId="77777777" w:rsidR="0032099A" w:rsidRDefault="0032099A" w:rsidP="00A32A82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</w:p>
    <w:p w14:paraId="2DC65E2B" w14:textId="77777777" w:rsidR="0032099A" w:rsidRDefault="0032099A" w:rsidP="00A32A82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</w:p>
    <w:p w14:paraId="2E1764A6" w14:textId="77777777" w:rsidR="0032099A" w:rsidRDefault="0032099A" w:rsidP="00A32A82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</w:p>
    <w:p w14:paraId="527D03A7" w14:textId="77777777" w:rsidR="0032099A" w:rsidRDefault="0032099A" w:rsidP="00A32A82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</w:p>
    <w:p w14:paraId="21020539" w14:textId="77777777" w:rsidR="0032099A" w:rsidRDefault="0032099A" w:rsidP="00A32A82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</w:p>
    <w:p w14:paraId="658F103B" w14:textId="77777777" w:rsidR="0032099A" w:rsidRDefault="0032099A" w:rsidP="00A32A82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</w:p>
    <w:p w14:paraId="3C6E8DF0" w14:textId="77777777" w:rsidR="0032099A" w:rsidRDefault="0032099A" w:rsidP="00A32A82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</w:p>
    <w:p w14:paraId="7847F63E" w14:textId="77777777" w:rsidR="0032099A" w:rsidRDefault="0032099A" w:rsidP="00A32A82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</w:p>
    <w:p w14:paraId="7BBEA25B" w14:textId="77777777" w:rsidR="0032099A" w:rsidRDefault="0032099A" w:rsidP="00A32A82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</w:p>
    <w:p w14:paraId="5B676462" w14:textId="77777777" w:rsidR="0032099A" w:rsidRDefault="0032099A" w:rsidP="00A32A82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</w:p>
    <w:p w14:paraId="2882F006" w14:textId="77777777" w:rsidR="0032099A" w:rsidRDefault="0032099A" w:rsidP="00A32A82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</w:p>
    <w:p w14:paraId="423EE9A6" w14:textId="77777777" w:rsidR="0032099A" w:rsidRDefault="0032099A" w:rsidP="00A32A82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</w:p>
    <w:p w14:paraId="02966C7C" w14:textId="77777777" w:rsidR="0032099A" w:rsidRDefault="0032099A" w:rsidP="00A32A82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</w:p>
    <w:p w14:paraId="5FCC8917" w14:textId="77777777" w:rsidR="0032099A" w:rsidRDefault="0032099A" w:rsidP="00A32A82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</w:p>
    <w:p w14:paraId="44B43277" w14:textId="77777777" w:rsidR="0032099A" w:rsidRDefault="0032099A" w:rsidP="00A32A82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</w:p>
    <w:p w14:paraId="5622B80A" w14:textId="7D569200" w:rsidR="00516364" w:rsidRDefault="00CB218A" w:rsidP="00F65F53">
      <w:pPr>
        <w:pStyle w:val="HeadHatzaotHok"/>
        <w:keepNext w:val="0"/>
        <w:keepLines w:val="0"/>
        <w:tabs>
          <w:tab w:val="center" w:pos="4989"/>
        </w:tabs>
        <w:jc w:val="both"/>
        <w:rPr>
          <w:rtl/>
        </w:rPr>
      </w:pPr>
      <w:r>
        <w:rPr>
          <w:rtl/>
        </w:rPr>
        <w:lastRenderedPageBreak/>
        <w:tab/>
      </w:r>
      <w:r>
        <w:rPr>
          <w:rFonts w:hint="cs"/>
          <w:rtl/>
        </w:rPr>
        <w:t>צו התקנים (פטור ממילוי אחר דרישות תקן רשמי)</w:t>
      </w:r>
      <w:r w:rsidR="005760AA">
        <w:rPr>
          <w:rFonts w:hint="cs"/>
          <w:rtl/>
        </w:rPr>
        <w:t>(הוראת שעה)</w:t>
      </w:r>
      <w:r w:rsidR="00D872EA">
        <w:rPr>
          <w:rFonts w:hint="cs"/>
          <w:rtl/>
        </w:rPr>
        <w:t xml:space="preserve">, </w:t>
      </w:r>
      <w:proofErr w:type="spellStart"/>
      <w:r w:rsidR="00D872EA">
        <w:rPr>
          <w:rFonts w:hint="cs"/>
          <w:rtl/>
        </w:rPr>
        <w:t>התש</w:t>
      </w:r>
      <w:r w:rsidR="00F65F53">
        <w:rPr>
          <w:rFonts w:hint="cs"/>
          <w:rtl/>
        </w:rPr>
        <w:t>פ"א</w:t>
      </w:r>
      <w:proofErr w:type="spellEnd"/>
      <w:r w:rsidR="00512484">
        <w:rPr>
          <w:rFonts w:hint="eastAsia"/>
          <w:rtl/>
        </w:rPr>
        <w:t>–</w:t>
      </w:r>
      <w:r w:rsidR="00F65F53">
        <w:rPr>
          <w:rFonts w:hint="cs"/>
          <w:rtl/>
        </w:rPr>
        <w:t>2021</w:t>
      </w: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3"/>
      </w:tblGrid>
      <w:tr w:rsidR="005A08A3" w14:paraId="1AEAE90A" w14:textId="77777777" w:rsidTr="00D500C6">
        <w:trPr>
          <w:cantSplit/>
        </w:trPr>
        <w:tc>
          <w:tcPr>
            <w:tcW w:w="9638" w:type="dxa"/>
            <w:gridSpan w:val="3"/>
          </w:tcPr>
          <w:p w14:paraId="0CFB2C9B" w14:textId="77777777" w:rsidR="00C4699D" w:rsidRPr="00EC4C13" w:rsidRDefault="00CB218A" w:rsidP="00BE5C59">
            <w:pPr>
              <w:pStyle w:val="TableBlock"/>
            </w:pPr>
            <w:r>
              <w:rPr>
                <w:rFonts w:hint="cs"/>
                <w:rtl/>
              </w:rPr>
              <w:t xml:space="preserve">      </w:t>
            </w:r>
            <w:r w:rsidRPr="00EC4C13">
              <w:rPr>
                <w:rFonts w:hint="cs"/>
                <w:rtl/>
              </w:rPr>
              <w:t xml:space="preserve">בתוקף סמכותי לפי סעיף 16(א)(1) לחוק התקנים, </w:t>
            </w:r>
            <w:proofErr w:type="spellStart"/>
            <w:r w:rsidRPr="00EC4C13">
              <w:rPr>
                <w:rFonts w:hint="cs"/>
                <w:rtl/>
              </w:rPr>
              <w:t>התשי"ג</w:t>
            </w:r>
            <w:proofErr w:type="spellEnd"/>
            <w:r>
              <w:rPr>
                <w:rFonts w:hint="eastAsia"/>
                <w:rtl/>
              </w:rPr>
              <w:t>–</w:t>
            </w:r>
            <w:r w:rsidRPr="00EC4C13">
              <w:rPr>
                <w:rFonts w:hint="cs"/>
                <w:rtl/>
              </w:rPr>
              <w:t>1953</w:t>
            </w:r>
            <w:r>
              <w:rPr>
                <w:rStyle w:val="a7"/>
                <w:rFonts w:ascii="David" w:hAnsi="David"/>
                <w:sz w:val="26"/>
                <w:rtl/>
              </w:rPr>
              <w:footnoteReference w:id="1"/>
            </w:r>
            <w:r w:rsidR="005E0BE4">
              <w:rPr>
                <w:rFonts w:hint="cs"/>
                <w:rtl/>
              </w:rPr>
              <w:t xml:space="preserve"> (להלן </w:t>
            </w:r>
            <w:r w:rsidR="005E0BE4">
              <w:rPr>
                <w:rtl/>
              </w:rPr>
              <w:t>–</w:t>
            </w:r>
            <w:r w:rsidR="005E0BE4">
              <w:rPr>
                <w:rFonts w:hint="cs"/>
                <w:rtl/>
              </w:rPr>
              <w:t xml:space="preserve"> החוק)</w:t>
            </w:r>
            <w:r w:rsidRPr="00EC4C13">
              <w:rPr>
                <w:rFonts w:hint="cs"/>
                <w:rtl/>
              </w:rPr>
              <w:t>, אני מצווה לאמור:</w:t>
            </w:r>
          </w:p>
        </w:tc>
      </w:tr>
      <w:tr w:rsidR="005A08A3" w14:paraId="5184A141" w14:textId="77777777" w:rsidTr="00BE5C59">
        <w:trPr>
          <w:cantSplit/>
        </w:trPr>
        <w:tc>
          <w:tcPr>
            <w:tcW w:w="1871" w:type="dxa"/>
          </w:tcPr>
          <w:p w14:paraId="40FAD6FC" w14:textId="77777777" w:rsidR="00A35A63" w:rsidRPr="00B31589" w:rsidRDefault="00CB218A" w:rsidP="00A35A63">
            <w:pPr>
              <w:pStyle w:val="TableSideHeading"/>
              <w:keepLines w:val="0"/>
              <w:rPr>
                <w:rtl/>
              </w:rPr>
            </w:pPr>
            <w:r w:rsidRPr="00B31589">
              <w:rPr>
                <w:rFonts w:hint="cs"/>
                <w:rtl/>
              </w:rPr>
              <w:t>פטור מדרישות תקן</w:t>
            </w:r>
            <w:r>
              <w:rPr>
                <w:rFonts w:hint="cs"/>
                <w:rtl/>
              </w:rPr>
              <w:t xml:space="preserve"> רשמי</w:t>
            </w:r>
          </w:p>
        </w:tc>
        <w:tc>
          <w:tcPr>
            <w:tcW w:w="624" w:type="dxa"/>
          </w:tcPr>
          <w:p w14:paraId="72165DC8" w14:textId="77777777" w:rsidR="00A35A63" w:rsidRPr="00B31589" w:rsidRDefault="00A35A63" w:rsidP="00A35A63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7143" w:type="dxa"/>
          </w:tcPr>
          <w:p w14:paraId="5F18B27F" w14:textId="612C1E0F" w:rsidR="00F30DE3" w:rsidRPr="00F30DE3" w:rsidRDefault="00CB218A" w:rsidP="00F30DE3">
            <w:pPr>
              <w:pStyle w:val="TableBlock"/>
              <w:rPr>
                <w:rtl/>
              </w:rPr>
            </w:pPr>
            <w:r>
              <w:rPr>
                <w:rFonts w:ascii="David" w:hAnsi="David" w:hint="cs"/>
                <w:sz w:val="26"/>
                <w:rtl/>
              </w:rPr>
              <w:t>דרישות</w:t>
            </w:r>
            <w:r w:rsidR="00F65F53">
              <w:rPr>
                <w:rFonts w:ascii="David" w:hAnsi="David" w:hint="cs"/>
                <w:sz w:val="26"/>
                <w:rtl/>
              </w:rPr>
              <w:t xml:space="preserve"> סעיף 7.2.2 "בחינה שנתית" על ידי </w:t>
            </w:r>
            <w:r w:rsidR="00AA263C">
              <w:rPr>
                <w:rFonts w:ascii="David" w:hAnsi="David" w:hint="cs"/>
                <w:sz w:val="26"/>
                <w:rtl/>
              </w:rPr>
              <w:t>מעבדה מאושרת</w:t>
            </w:r>
            <w:r w:rsidR="00F65F53">
              <w:rPr>
                <w:rFonts w:ascii="David" w:hAnsi="David" w:hint="cs"/>
                <w:sz w:val="26"/>
                <w:rtl/>
              </w:rPr>
              <w:t xml:space="preserve"> לפי</w:t>
            </w:r>
            <w:r>
              <w:rPr>
                <w:rFonts w:ascii="David" w:hAnsi="David" w:hint="cs"/>
                <w:sz w:val="26"/>
                <w:rtl/>
              </w:rPr>
              <w:t xml:space="preserve"> תקן רשמי ת"י 5378</w:t>
            </w:r>
            <w:r w:rsidR="00114529">
              <w:rPr>
                <w:rFonts w:ascii="David" w:hAnsi="David" w:hint="cs"/>
                <w:sz w:val="26"/>
                <w:rtl/>
              </w:rPr>
              <w:t xml:space="preserve"> - </w:t>
            </w:r>
            <w:r w:rsidR="00AA263C">
              <w:rPr>
                <w:rFonts w:ascii="David" w:hAnsi="David" w:hint="cs"/>
                <w:sz w:val="26"/>
                <w:rtl/>
              </w:rPr>
              <w:t>מתקני משחק</w:t>
            </w:r>
            <w:r w:rsidR="00114529" w:rsidRPr="00F30DE3">
              <w:rPr>
                <w:rFonts w:ascii="David" w:hAnsi="David" w:hint="eastAsia"/>
                <w:sz w:val="26"/>
                <w:rtl/>
              </w:rPr>
              <w:t>ים</w:t>
            </w:r>
            <w:r w:rsidR="00AA263C">
              <w:rPr>
                <w:rFonts w:ascii="David" w:hAnsi="David" w:hint="cs"/>
                <w:sz w:val="26"/>
                <w:rtl/>
              </w:rPr>
              <w:t xml:space="preserve"> מתנפחים </w:t>
            </w:r>
            <w:r w:rsidR="00AA263C">
              <w:rPr>
                <w:rFonts w:ascii="David" w:hAnsi="David"/>
                <w:sz w:val="26"/>
                <w:rtl/>
              </w:rPr>
              <w:t>–</w:t>
            </w:r>
            <w:r w:rsidR="00AA263C">
              <w:rPr>
                <w:rFonts w:ascii="David" w:hAnsi="David" w:hint="cs"/>
                <w:sz w:val="26"/>
                <w:rtl/>
              </w:rPr>
              <w:t xml:space="preserve"> דרישות בטיחות ושיטות בדיקה</w:t>
            </w:r>
            <w:r>
              <w:rPr>
                <w:rStyle w:val="a7"/>
                <w:rFonts w:ascii="David" w:hAnsi="David"/>
                <w:sz w:val="26"/>
                <w:rtl/>
              </w:rPr>
              <w:footnoteReference w:id="2"/>
            </w:r>
            <w:r>
              <w:rPr>
                <w:rFonts w:ascii="David" w:hAnsi="David" w:hint="cs"/>
                <w:sz w:val="26"/>
                <w:rtl/>
              </w:rPr>
              <w:t xml:space="preserve">, </w:t>
            </w:r>
            <w:r w:rsidR="00F65F53">
              <w:rPr>
                <w:rFonts w:ascii="David" w:hAnsi="David" w:hint="cs"/>
                <w:sz w:val="26"/>
                <w:rtl/>
              </w:rPr>
              <w:t>לא יחולו</w:t>
            </w:r>
            <w:r>
              <w:rPr>
                <w:rFonts w:ascii="David" w:hAnsi="David" w:hint="cs"/>
                <w:sz w:val="26"/>
                <w:rtl/>
              </w:rPr>
              <w:t xml:space="preserve">, לעניין שנת 2021, </w:t>
            </w:r>
            <w:r w:rsidR="00F65F53">
              <w:rPr>
                <w:rFonts w:ascii="David" w:hAnsi="David" w:hint="cs"/>
                <w:sz w:val="26"/>
                <w:rtl/>
              </w:rPr>
              <w:t>על</w:t>
            </w:r>
            <w:r>
              <w:rPr>
                <w:rFonts w:ascii="David" w:hAnsi="David" w:hint="cs"/>
                <w:sz w:val="26"/>
                <w:rtl/>
              </w:rPr>
              <w:t xml:space="preserve"> מ</w:t>
            </w:r>
            <w:r w:rsidR="00F65F53">
              <w:rPr>
                <w:rFonts w:ascii="David" w:hAnsi="David" w:hint="cs"/>
                <w:sz w:val="26"/>
                <w:rtl/>
              </w:rPr>
              <w:t>י</w:t>
            </w:r>
            <w:r>
              <w:rPr>
                <w:rFonts w:ascii="David" w:hAnsi="David" w:hint="cs"/>
                <w:sz w:val="26"/>
                <w:rtl/>
              </w:rPr>
              <w:t xml:space="preserve">תקנים </w:t>
            </w:r>
            <w:r w:rsidR="00AA263C">
              <w:rPr>
                <w:rFonts w:ascii="David" w:hAnsi="David" w:hint="cs"/>
                <w:sz w:val="26"/>
                <w:rtl/>
              </w:rPr>
              <w:t xml:space="preserve">מתנפחים </w:t>
            </w:r>
            <w:r w:rsidR="00114529">
              <w:rPr>
                <w:rFonts w:ascii="David" w:hAnsi="David" w:hint="cs"/>
                <w:sz w:val="26"/>
                <w:rtl/>
              </w:rPr>
              <w:t>ש</w:t>
            </w:r>
            <w:r>
              <w:rPr>
                <w:rFonts w:ascii="David" w:hAnsi="David" w:hint="cs"/>
                <w:sz w:val="26"/>
                <w:rtl/>
              </w:rPr>
              <w:t>ניתן</w:t>
            </w:r>
            <w:r w:rsidR="00114529">
              <w:rPr>
                <w:rFonts w:ascii="David" w:hAnsi="David" w:hint="cs"/>
                <w:sz w:val="26"/>
                <w:rtl/>
              </w:rPr>
              <w:t xml:space="preserve"> להם</w:t>
            </w:r>
            <w:r>
              <w:rPr>
                <w:rFonts w:ascii="David" w:hAnsi="David" w:hint="cs"/>
                <w:sz w:val="26"/>
                <w:rtl/>
              </w:rPr>
              <w:t xml:space="preserve"> אישור </w:t>
            </w:r>
            <w:r w:rsidR="00AA263C">
              <w:rPr>
                <w:rFonts w:ascii="David" w:hAnsi="David" w:hint="cs"/>
                <w:sz w:val="26"/>
                <w:rtl/>
              </w:rPr>
              <w:t>מעבדה מאושרת</w:t>
            </w:r>
            <w:r>
              <w:rPr>
                <w:rFonts w:ascii="David" w:hAnsi="David" w:hint="cs"/>
                <w:sz w:val="26"/>
                <w:rtl/>
              </w:rPr>
              <w:t xml:space="preserve"> </w:t>
            </w:r>
            <w:r w:rsidR="00AA263C">
              <w:rPr>
                <w:rFonts w:ascii="David" w:hAnsi="David" w:hint="cs"/>
                <w:sz w:val="26"/>
                <w:rtl/>
              </w:rPr>
              <w:t xml:space="preserve">בהתאם לתקן זה </w:t>
            </w:r>
            <w:r>
              <w:rPr>
                <w:rFonts w:ascii="David" w:hAnsi="David" w:hint="cs"/>
                <w:sz w:val="26"/>
                <w:rtl/>
              </w:rPr>
              <w:t>בין</w:t>
            </w:r>
            <w:r w:rsidR="00F65F53">
              <w:rPr>
                <w:rFonts w:ascii="David" w:hAnsi="David" w:hint="cs"/>
                <w:sz w:val="26"/>
                <w:rtl/>
              </w:rPr>
              <w:t xml:space="preserve"> יום ג' בחשוון </w:t>
            </w:r>
            <w:proofErr w:type="spellStart"/>
            <w:r w:rsidR="00F65F53">
              <w:rPr>
                <w:rFonts w:ascii="David" w:hAnsi="David" w:hint="cs"/>
                <w:sz w:val="26"/>
                <w:rtl/>
              </w:rPr>
              <w:t>התש"ף</w:t>
            </w:r>
            <w:proofErr w:type="spellEnd"/>
            <w:r w:rsidR="00F65F53">
              <w:rPr>
                <w:rFonts w:ascii="David" w:hAnsi="David" w:hint="cs"/>
                <w:sz w:val="26"/>
                <w:rtl/>
              </w:rPr>
              <w:t xml:space="preserve"> (1 בנובמבר 2019) עד יום </w:t>
            </w:r>
            <w:r w:rsidR="00643D88">
              <w:rPr>
                <w:rFonts w:ascii="David" w:hAnsi="David" w:hint="cs"/>
                <w:sz w:val="26"/>
                <w:rtl/>
              </w:rPr>
              <w:t>ד' באדר</w:t>
            </w:r>
            <w:r w:rsidR="00F65F53">
              <w:rPr>
                <w:rFonts w:ascii="David" w:hAnsi="David" w:hint="cs"/>
                <w:sz w:val="26"/>
                <w:rtl/>
              </w:rPr>
              <w:t xml:space="preserve"> </w:t>
            </w:r>
            <w:proofErr w:type="spellStart"/>
            <w:r w:rsidR="00F65F53">
              <w:rPr>
                <w:rFonts w:ascii="David" w:hAnsi="David" w:hint="cs"/>
                <w:sz w:val="26"/>
                <w:rtl/>
              </w:rPr>
              <w:t>התש</w:t>
            </w:r>
            <w:r w:rsidR="00643D88">
              <w:rPr>
                <w:rFonts w:ascii="David" w:hAnsi="David" w:hint="cs"/>
                <w:sz w:val="26"/>
                <w:rtl/>
              </w:rPr>
              <w:t>"ף</w:t>
            </w:r>
            <w:proofErr w:type="spellEnd"/>
            <w:r w:rsidR="00F65F53">
              <w:rPr>
                <w:rFonts w:ascii="David" w:hAnsi="David" w:hint="cs"/>
                <w:sz w:val="26"/>
                <w:rtl/>
              </w:rPr>
              <w:t xml:space="preserve"> (</w:t>
            </w:r>
            <w:r w:rsidR="00643D88">
              <w:rPr>
                <w:rFonts w:ascii="David" w:hAnsi="David" w:hint="cs"/>
                <w:sz w:val="26"/>
                <w:rtl/>
              </w:rPr>
              <w:t xml:space="preserve">29 </w:t>
            </w:r>
            <w:r w:rsidR="00114529">
              <w:rPr>
                <w:rFonts w:ascii="David" w:hAnsi="David" w:hint="cs"/>
                <w:sz w:val="26"/>
                <w:rtl/>
              </w:rPr>
              <w:t>ב</w:t>
            </w:r>
            <w:r w:rsidR="00643D88">
              <w:rPr>
                <w:rFonts w:ascii="David" w:hAnsi="David" w:hint="cs"/>
                <w:sz w:val="26"/>
                <w:rtl/>
              </w:rPr>
              <w:t>פברואר</w:t>
            </w:r>
            <w:r w:rsidR="00F65F53">
              <w:rPr>
                <w:rFonts w:ascii="David" w:hAnsi="David" w:hint="cs"/>
                <w:sz w:val="26"/>
                <w:rtl/>
              </w:rPr>
              <w:t xml:space="preserve">  2020)</w:t>
            </w:r>
            <w:r w:rsidR="002F3610">
              <w:rPr>
                <w:rFonts w:ascii="David" w:hAnsi="David" w:hint="cs"/>
                <w:sz w:val="26"/>
                <w:rtl/>
              </w:rPr>
              <w:t xml:space="preserve">, </w:t>
            </w:r>
            <w:r>
              <w:rPr>
                <w:rFonts w:ascii="David" w:hAnsi="David" w:hint="cs"/>
                <w:sz w:val="26"/>
                <w:rtl/>
              </w:rPr>
              <w:t>ובלבד שמפעיל המ</w:t>
            </w:r>
            <w:r w:rsidR="00F65F53">
              <w:rPr>
                <w:rFonts w:ascii="David" w:hAnsi="David" w:hint="cs"/>
                <w:sz w:val="26"/>
                <w:rtl/>
              </w:rPr>
              <w:t>י</w:t>
            </w:r>
            <w:r>
              <w:rPr>
                <w:rFonts w:ascii="David" w:hAnsi="David" w:hint="cs"/>
                <w:sz w:val="26"/>
                <w:rtl/>
              </w:rPr>
              <w:t>תקן יערוך בעצמו את הבחינה השנתית האמורה בסעיף</w:t>
            </w:r>
            <w:r w:rsidR="00DE7D36">
              <w:rPr>
                <w:rFonts w:ascii="David" w:hAnsi="David" w:hint="cs"/>
                <w:sz w:val="26"/>
                <w:rtl/>
              </w:rPr>
              <w:t xml:space="preserve"> 7.2.2</w:t>
            </w:r>
            <w:r>
              <w:rPr>
                <w:rFonts w:ascii="David" w:hAnsi="David" w:hint="cs"/>
                <w:sz w:val="26"/>
                <w:rtl/>
              </w:rPr>
              <w:t xml:space="preserve"> </w:t>
            </w:r>
            <w:r w:rsidR="00DE7D36">
              <w:rPr>
                <w:rFonts w:ascii="David" w:hAnsi="David" w:hint="cs"/>
                <w:sz w:val="26"/>
                <w:rtl/>
              </w:rPr>
              <w:t>ויגיש לממונה על התקינה</w:t>
            </w:r>
            <w:r w:rsidR="005E0BE4">
              <w:rPr>
                <w:rFonts w:ascii="David" w:hAnsi="David" w:hint="cs"/>
                <w:sz w:val="26"/>
                <w:rtl/>
              </w:rPr>
              <w:t>, כמשמעותו בחוק, הצהרה</w:t>
            </w:r>
            <w:r w:rsidR="00DE7D36">
              <w:rPr>
                <w:rFonts w:ascii="David" w:hAnsi="David" w:hint="cs"/>
                <w:sz w:val="26"/>
                <w:rtl/>
              </w:rPr>
              <w:t xml:space="preserve"> על כך שלא נעשה </w:t>
            </w:r>
            <w:r w:rsidR="00DE7D36" w:rsidRPr="004413FB">
              <w:rPr>
                <w:rFonts w:ascii="David" w:hAnsi="David" w:hint="cs"/>
                <w:sz w:val="26"/>
                <w:rtl/>
              </w:rPr>
              <w:t>שימוש במ</w:t>
            </w:r>
            <w:r w:rsidR="00F65F53" w:rsidRPr="004413FB">
              <w:rPr>
                <w:rFonts w:ascii="David" w:hAnsi="David" w:hint="cs"/>
                <w:sz w:val="26"/>
                <w:rtl/>
              </w:rPr>
              <w:t>י</w:t>
            </w:r>
            <w:r w:rsidR="00DE7D36" w:rsidRPr="004413FB">
              <w:rPr>
                <w:rFonts w:ascii="David" w:hAnsi="David" w:hint="cs"/>
                <w:sz w:val="26"/>
                <w:rtl/>
              </w:rPr>
              <w:t xml:space="preserve">תקן </w:t>
            </w:r>
            <w:r w:rsidRPr="004413FB">
              <w:rPr>
                <w:rFonts w:ascii="David" w:hAnsi="David" w:hint="eastAsia"/>
                <w:sz w:val="26"/>
                <w:rtl/>
              </w:rPr>
              <w:t>בתקופה</w:t>
            </w:r>
            <w:r w:rsidR="00DE7D36" w:rsidRPr="004413FB">
              <w:rPr>
                <w:rFonts w:ascii="David" w:hAnsi="David"/>
                <w:sz w:val="26"/>
                <w:rtl/>
              </w:rPr>
              <w:t xml:space="preserve"> </w:t>
            </w:r>
            <w:r w:rsidRPr="004413FB">
              <w:rPr>
                <w:rFonts w:ascii="David" w:hAnsi="David" w:hint="eastAsia"/>
                <w:sz w:val="26"/>
                <w:rtl/>
              </w:rPr>
              <w:t>ש</w:t>
            </w:r>
            <w:r w:rsidR="00DE7D36" w:rsidRPr="004413FB">
              <w:rPr>
                <w:rFonts w:ascii="David" w:hAnsi="David" w:hint="cs"/>
                <w:sz w:val="26"/>
                <w:rtl/>
              </w:rPr>
              <w:t>מ</w:t>
            </w:r>
            <w:r w:rsidR="00643D88" w:rsidRPr="004413FB">
              <w:rPr>
                <w:rFonts w:ascii="David" w:hAnsi="David" w:hint="cs"/>
                <w:sz w:val="26"/>
                <w:rtl/>
              </w:rPr>
              <w:t>מועד</w:t>
            </w:r>
            <w:r w:rsidR="00643D88">
              <w:rPr>
                <w:rFonts w:ascii="David" w:hAnsi="David" w:hint="cs"/>
                <w:sz w:val="26"/>
                <w:rtl/>
              </w:rPr>
              <w:t xml:space="preserve"> אישור המעבדה המאושרת או </w:t>
            </w:r>
            <w:r>
              <w:rPr>
                <w:rFonts w:ascii="David" w:hAnsi="David" w:hint="cs"/>
                <w:sz w:val="26"/>
                <w:rtl/>
              </w:rPr>
              <w:t>מ</w:t>
            </w:r>
            <w:r w:rsidR="00F65F53">
              <w:rPr>
                <w:rFonts w:ascii="David" w:hAnsi="David" w:hint="cs"/>
                <w:sz w:val="26"/>
                <w:rtl/>
              </w:rPr>
              <w:t>יום ד</w:t>
            </w:r>
            <w:r w:rsidR="00114529">
              <w:rPr>
                <w:rFonts w:ascii="David" w:hAnsi="David" w:hint="cs"/>
                <w:sz w:val="26"/>
                <w:rtl/>
              </w:rPr>
              <w:t xml:space="preserve">' בטבת </w:t>
            </w:r>
            <w:proofErr w:type="spellStart"/>
            <w:r w:rsidR="00114529">
              <w:rPr>
                <w:rFonts w:ascii="David" w:hAnsi="David" w:hint="cs"/>
                <w:sz w:val="26"/>
                <w:rtl/>
              </w:rPr>
              <w:t>התש"ף</w:t>
            </w:r>
            <w:proofErr w:type="spellEnd"/>
            <w:r w:rsidR="00114529">
              <w:rPr>
                <w:rFonts w:ascii="David" w:hAnsi="David" w:hint="cs"/>
                <w:sz w:val="26"/>
                <w:rtl/>
              </w:rPr>
              <w:t xml:space="preserve"> (1 בינואר 2020)</w:t>
            </w:r>
            <w:r w:rsidR="00643D88">
              <w:rPr>
                <w:rFonts w:hint="cs"/>
                <w:rtl/>
              </w:rPr>
              <w:t xml:space="preserve">, לפי המוקדם </w:t>
            </w:r>
            <w:proofErr w:type="spellStart"/>
            <w:r w:rsidR="00643D88">
              <w:rPr>
                <w:rFonts w:hint="cs"/>
                <w:rtl/>
              </w:rPr>
              <w:t>מביניהם</w:t>
            </w:r>
            <w:proofErr w:type="spellEnd"/>
            <w:r w:rsidR="00883519">
              <w:rPr>
                <w:rFonts w:hint="cs"/>
                <w:rtl/>
              </w:rPr>
              <w:t>, עד מועד השימוש הראשון במ</w:t>
            </w:r>
            <w:r>
              <w:rPr>
                <w:rFonts w:hint="cs"/>
                <w:rtl/>
              </w:rPr>
              <w:t>י</w:t>
            </w:r>
            <w:r w:rsidR="00883519">
              <w:rPr>
                <w:rFonts w:hint="cs"/>
                <w:rtl/>
              </w:rPr>
              <w:t>תקן בהתאם לפטור לפי סעיף זה</w:t>
            </w:r>
            <w:r w:rsidR="00643D88">
              <w:rPr>
                <w:rFonts w:hint="cs"/>
                <w:rtl/>
              </w:rPr>
              <w:t>.</w:t>
            </w:r>
          </w:p>
        </w:tc>
      </w:tr>
      <w:tr w:rsidR="005A08A3" w14:paraId="488B1898" w14:textId="77777777" w:rsidTr="00BE5C59">
        <w:trPr>
          <w:cantSplit/>
        </w:trPr>
        <w:tc>
          <w:tcPr>
            <w:tcW w:w="1871" w:type="dxa"/>
          </w:tcPr>
          <w:p w14:paraId="682B22C3" w14:textId="6FAACE9E" w:rsidR="00A35A63" w:rsidRPr="00B31589" w:rsidRDefault="00CB218A" w:rsidP="00A35A63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תוקף</w:t>
            </w:r>
          </w:p>
        </w:tc>
        <w:tc>
          <w:tcPr>
            <w:tcW w:w="624" w:type="dxa"/>
          </w:tcPr>
          <w:p w14:paraId="59E17F1C" w14:textId="77777777" w:rsidR="00A35A63" w:rsidRPr="00B31589" w:rsidRDefault="00CB218A" w:rsidP="00A35A63">
            <w:pPr>
              <w:pStyle w:val="TableText"/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143" w:type="dxa"/>
          </w:tcPr>
          <w:p w14:paraId="3AD64112" w14:textId="70A88DC3" w:rsidR="00A35A63" w:rsidRPr="00B31589" w:rsidRDefault="00CB218A" w:rsidP="00BD60D5">
            <w:pPr>
              <w:pStyle w:val="TableBlock"/>
              <w:tabs>
                <w:tab w:val="clear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תוקפו של צו זה עד יום כ"ז בטבת </w:t>
            </w:r>
            <w:proofErr w:type="spellStart"/>
            <w:r>
              <w:rPr>
                <w:rFonts w:hint="cs"/>
                <w:rtl/>
              </w:rPr>
              <w:t>התשפ"ב</w:t>
            </w:r>
            <w:proofErr w:type="spellEnd"/>
            <w:r>
              <w:rPr>
                <w:rFonts w:hint="cs"/>
                <w:rtl/>
              </w:rPr>
              <w:t xml:space="preserve"> (31 בדצמבר 2021)</w:t>
            </w:r>
            <w:r w:rsidR="00540127">
              <w:rPr>
                <w:rFonts w:hint="cs"/>
                <w:rtl/>
              </w:rPr>
              <w:t xml:space="preserve">. </w:t>
            </w:r>
          </w:p>
        </w:tc>
      </w:tr>
    </w:tbl>
    <w:p w14:paraId="2007F4C4" w14:textId="77777777" w:rsidR="00BE5C59" w:rsidRDefault="00BE5C59" w:rsidP="00BE5C59">
      <w:pPr>
        <w:spacing w:line="240" w:lineRule="auto"/>
        <w:rPr>
          <w:rFonts w:ascii="Arial" w:eastAsia="Arial Unicode MS" w:hAnsi="Arial"/>
          <w:snapToGrid w:val="0"/>
          <w:sz w:val="20"/>
          <w:szCs w:val="26"/>
          <w:rtl/>
        </w:rPr>
      </w:pPr>
    </w:p>
    <w:p w14:paraId="6C45C044" w14:textId="77777777" w:rsidR="00C4699D" w:rsidRDefault="00C4699D" w:rsidP="00BE5C59">
      <w:pPr>
        <w:spacing w:line="240" w:lineRule="auto"/>
        <w:rPr>
          <w:rFonts w:ascii="Arial" w:eastAsia="Arial Unicode MS" w:hAnsi="Arial"/>
          <w:snapToGrid w:val="0"/>
          <w:sz w:val="20"/>
          <w:szCs w:val="26"/>
          <w:rtl/>
        </w:rPr>
      </w:pPr>
    </w:p>
    <w:p w14:paraId="4AEDF254" w14:textId="77777777" w:rsidR="00C4699D" w:rsidRPr="00743A6E" w:rsidRDefault="00C4699D" w:rsidP="00BE5C59">
      <w:pPr>
        <w:spacing w:line="240" w:lineRule="auto"/>
        <w:rPr>
          <w:rtl/>
        </w:rPr>
      </w:pPr>
    </w:p>
    <w:p w14:paraId="257663A6" w14:textId="77777777" w:rsidR="00BE5C59" w:rsidRPr="00743A6E" w:rsidRDefault="00CB218A" w:rsidP="00E51E43">
      <w:pPr>
        <w:spacing w:line="240" w:lineRule="auto"/>
        <w:rPr>
          <w:rtl/>
        </w:rPr>
      </w:pPr>
      <w:r w:rsidRPr="00BE5C59">
        <w:rPr>
          <w:rFonts w:hint="cs"/>
          <w:rtl/>
        </w:rPr>
        <w:t>________</w:t>
      </w:r>
      <w:r w:rsidRPr="00BE5C59">
        <w:rPr>
          <w:rFonts w:hint="cs"/>
        </w:rPr>
        <w:t xml:space="preserve"> </w:t>
      </w:r>
      <w:proofErr w:type="spellStart"/>
      <w:r w:rsidRPr="00BE5C59">
        <w:rPr>
          <w:rFonts w:hint="cs"/>
          <w:rtl/>
        </w:rPr>
        <w:t>התש</w:t>
      </w:r>
      <w:r w:rsidR="00426605">
        <w:rPr>
          <w:rFonts w:hint="cs"/>
          <w:rtl/>
        </w:rPr>
        <w:t>פ"א</w:t>
      </w:r>
      <w:proofErr w:type="spellEnd"/>
      <w:r w:rsidRPr="00BE5C59">
        <w:rPr>
          <w:rFonts w:hint="cs"/>
          <w:rtl/>
        </w:rPr>
        <w:t xml:space="preserve"> (________</w:t>
      </w:r>
      <w:r w:rsidR="00426605">
        <w:rPr>
          <w:rFonts w:hint="cs"/>
          <w:rtl/>
        </w:rPr>
        <w:t>2021</w:t>
      </w:r>
      <w:r w:rsidRPr="00BE5C59">
        <w:rPr>
          <w:rFonts w:hint="cs"/>
          <w:rtl/>
        </w:rPr>
        <w:t>)</w:t>
      </w:r>
      <w:r w:rsidRPr="00BE5C59">
        <w:rPr>
          <w:rtl/>
        </w:rPr>
        <w:t xml:space="preserve">  </w:t>
      </w:r>
    </w:p>
    <w:p w14:paraId="49D996B2" w14:textId="77777777" w:rsidR="00BE5C59" w:rsidRPr="00743A6E" w:rsidRDefault="00CB218A" w:rsidP="00784075">
      <w:pPr>
        <w:spacing w:line="240" w:lineRule="auto"/>
        <w:rPr>
          <w:rtl/>
        </w:rPr>
      </w:pPr>
      <w:r w:rsidRPr="00BE5C59">
        <w:rPr>
          <w:rtl/>
        </w:rPr>
        <w:t>(</w:t>
      </w:r>
      <w:proofErr w:type="spellStart"/>
      <w:r w:rsidRPr="00BE5C59">
        <w:rPr>
          <w:rtl/>
        </w:rPr>
        <w:t>חמ</w:t>
      </w:r>
      <w:proofErr w:type="spellEnd"/>
      <w:r w:rsidRPr="00BE5C59">
        <w:rPr>
          <w:rtl/>
        </w:rPr>
        <w:t xml:space="preserve"> 3-95-ת</w:t>
      </w:r>
      <w:r w:rsidR="00784075">
        <w:rPr>
          <w:rFonts w:hint="cs"/>
          <w:rtl/>
        </w:rPr>
        <w:t>2</w:t>
      </w:r>
      <w:r w:rsidRPr="00BE5C59">
        <w:rPr>
          <w:rFonts w:hint="cs"/>
          <w:rtl/>
        </w:rPr>
        <w:t>)</w:t>
      </w:r>
      <w:r w:rsidRPr="00743A6E">
        <w:rPr>
          <w:rtl/>
        </w:rPr>
        <w:tab/>
      </w:r>
    </w:p>
    <w:p w14:paraId="3B76F7C4" w14:textId="77777777" w:rsidR="00BE5C59" w:rsidRPr="00743A6E" w:rsidRDefault="00CB218A" w:rsidP="00BE5C59">
      <w:pPr>
        <w:spacing w:line="240" w:lineRule="auto"/>
        <w:rPr>
          <w:rtl/>
        </w:rPr>
      </w:pPr>
      <w:r w:rsidRPr="00743A6E">
        <w:rPr>
          <w:rtl/>
        </w:rPr>
        <w:tab/>
      </w:r>
      <w:r w:rsidRPr="00743A6E">
        <w:rPr>
          <w:rtl/>
        </w:rPr>
        <w:tab/>
      </w:r>
      <w:r w:rsidRPr="00743A6E">
        <w:rPr>
          <w:rtl/>
        </w:rPr>
        <w:tab/>
      </w:r>
      <w:r w:rsidRPr="00743A6E">
        <w:rPr>
          <w:rtl/>
        </w:rPr>
        <w:tab/>
      </w:r>
      <w:r w:rsidRPr="00743A6E">
        <w:rPr>
          <w:rtl/>
        </w:rPr>
        <w:tab/>
      </w:r>
      <w:r w:rsidRPr="00743A6E">
        <w:rPr>
          <w:rtl/>
        </w:rPr>
        <w:tab/>
      </w:r>
      <w:r w:rsidRPr="00743A6E">
        <w:rPr>
          <w:rtl/>
        </w:rPr>
        <w:tab/>
        <w:t xml:space="preserve">  </w:t>
      </w:r>
    </w:p>
    <w:p w14:paraId="5E0BF085" w14:textId="77777777" w:rsidR="00BE5C59" w:rsidRPr="00743A6E" w:rsidRDefault="00CB218A" w:rsidP="00BE5C59">
      <w:pPr>
        <w:spacing w:line="240" w:lineRule="auto"/>
        <w:rPr>
          <w:b/>
          <w:bCs/>
          <w:rtl/>
        </w:rPr>
      </w:pPr>
      <w:r w:rsidRPr="00743A6E">
        <w:rPr>
          <w:b/>
          <w:bCs/>
          <w:rtl/>
        </w:rPr>
        <w:tab/>
      </w:r>
      <w:r w:rsidRPr="00743A6E">
        <w:rPr>
          <w:b/>
          <w:bCs/>
          <w:rtl/>
        </w:rPr>
        <w:tab/>
      </w:r>
      <w:r w:rsidRPr="00743A6E">
        <w:rPr>
          <w:b/>
          <w:bCs/>
          <w:rtl/>
        </w:rPr>
        <w:tab/>
      </w:r>
      <w:r w:rsidRPr="00743A6E">
        <w:rPr>
          <w:b/>
          <w:bCs/>
          <w:rtl/>
        </w:rPr>
        <w:tab/>
      </w:r>
      <w:r w:rsidRPr="00743A6E">
        <w:rPr>
          <w:b/>
          <w:bCs/>
          <w:rtl/>
        </w:rPr>
        <w:tab/>
      </w:r>
      <w:r w:rsidRPr="00743A6E">
        <w:rPr>
          <w:b/>
          <w:bCs/>
          <w:rtl/>
        </w:rPr>
        <w:tab/>
      </w:r>
      <w:r w:rsidRPr="00743A6E"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 w:rsidR="000E7A36">
        <w:rPr>
          <w:rFonts w:hint="cs"/>
          <w:b/>
          <w:bCs/>
          <w:rtl/>
        </w:rPr>
        <w:t>עמיר פרץ</w:t>
      </w:r>
    </w:p>
    <w:p w14:paraId="0B1701C0" w14:textId="77777777" w:rsidR="00BE5C59" w:rsidRPr="00743A6E" w:rsidRDefault="00BE5C59" w:rsidP="00BE5C59">
      <w:pPr>
        <w:spacing w:line="240" w:lineRule="auto"/>
        <w:rPr>
          <w:b/>
          <w:bCs/>
          <w:rtl/>
        </w:rPr>
      </w:pPr>
    </w:p>
    <w:p w14:paraId="0CAAD7A7" w14:textId="77777777" w:rsidR="00BE5C59" w:rsidRDefault="00CB218A" w:rsidP="00BE5C59">
      <w:pPr>
        <w:spacing w:line="240" w:lineRule="auto"/>
        <w:ind w:left="5040" w:firstLine="720"/>
        <w:rPr>
          <w:rtl/>
        </w:rPr>
      </w:pPr>
      <w:r w:rsidRPr="00743A6E">
        <w:rPr>
          <w:rtl/>
        </w:rPr>
        <w:t xml:space="preserve"> </w:t>
      </w:r>
      <w:r>
        <w:rPr>
          <w:rtl/>
        </w:rPr>
        <w:tab/>
      </w:r>
      <w:r w:rsidRPr="00743A6E">
        <w:rPr>
          <w:rtl/>
        </w:rPr>
        <w:t>שר הכלכלה והתעשייה</w:t>
      </w:r>
      <w:r>
        <w:rPr>
          <w:rtl/>
        </w:rPr>
        <w:tab/>
      </w:r>
    </w:p>
    <w:p w14:paraId="111FDE4A" w14:textId="77777777" w:rsidR="00E8642F" w:rsidRDefault="00E8642F" w:rsidP="005760AA">
      <w:pPr>
        <w:rPr>
          <w:rtl/>
        </w:rPr>
      </w:pPr>
    </w:p>
    <w:p w14:paraId="0E9F6E57" w14:textId="77777777" w:rsidR="0049306C" w:rsidRDefault="0049306C" w:rsidP="0049306C">
      <w:pPr>
        <w:pStyle w:val="HesberHeading"/>
        <w:rPr>
          <w:b w:val="0"/>
          <w:bCs w:val="0"/>
          <w:rtl/>
        </w:rPr>
      </w:pPr>
    </w:p>
    <w:p w14:paraId="1558AE97" w14:textId="77777777" w:rsidR="004A729F" w:rsidRDefault="00CB218A">
      <w:pPr>
        <w:widowControl/>
        <w:bidi w:val="0"/>
        <w:spacing w:after="160" w:line="259" w:lineRule="auto"/>
        <w:ind w:left="0"/>
        <w:contextualSpacing w:val="0"/>
        <w:jc w:val="left"/>
        <w:rPr>
          <w:rFonts w:ascii="Arial" w:eastAsia="Arial Unicode MS" w:hAnsi="Arial"/>
          <w:b/>
          <w:snapToGrid w:val="0"/>
          <w:spacing w:val="40"/>
          <w:sz w:val="20"/>
          <w:szCs w:val="26"/>
          <w:rtl/>
        </w:rPr>
      </w:pPr>
      <w:r>
        <w:rPr>
          <w:rtl/>
        </w:rPr>
        <w:br w:type="page"/>
      </w:r>
    </w:p>
    <w:p w14:paraId="062E8610" w14:textId="77777777" w:rsidR="005A557E" w:rsidRDefault="00CB218A" w:rsidP="005A557E">
      <w:pPr>
        <w:pStyle w:val="HeadDivreiHesber"/>
        <w:rPr>
          <w:rtl/>
        </w:rPr>
      </w:pPr>
      <w:r>
        <w:rPr>
          <w:rtl/>
        </w:rPr>
        <w:lastRenderedPageBreak/>
        <w:t>דברי הסבר</w:t>
      </w:r>
    </w:p>
    <w:p w14:paraId="41D9D7EC" w14:textId="76C9E756" w:rsidR="00DD20FA" w:rsidRDefault="00CB218A" w:rsidP="00DD20FA">
      <w:pPr>
        <w:rPr>
          <w:rtl/>
        </w:rPr>
      </w:pPr>
      <w:r w:rsidRPr="0032099A">
        <w:rPr>
          <w:rFonts w:hint="cs"/>
          <w:rtl/>
        </w:rPr>
        <w:t xml:space="preserve">לאור מצב המשק וכדי לאפשר התמודדות עם השלכות התפרצות נגיף </w:t>
      </w:r>
      <w:r w:rsidR="00540127">
        <w:rPr>
          <w:rFonts w:hint="cs"/>
          <w:rtl/>
        </w:rPr>
        <w:t>, ובהמשך לפניות בנושא,</w:t>
      </w:r>
      <w:r w:rsidRPr="0032099A">
        <w:rPr>
          <w:rFonts w:hint="cs"/>
          <w:rtl/>
        </w:rPr>
        <w:t xml:space="preserve"> </w:t>
      </w:r>
      <w:bookmarkStart w:id="0" w:name="_GoBack"/>
      <w:r w:rsidRPr="0032099A">
        <w:rPr>
          <w:rFonts w:hint="cs"/>
          <w:rtl/>
        </w:rPr>
        <w:t xml:space="preserve">הוחלט על ידי הגורמים המקצועיים במשרד הכלכלה לתת פטור מדרישות התקן הרשמי </w:t>
      </w:r>
      <w:r w:rsidR="000A1F08" w:rsidRPr="00833F5D">
        <w:rPr>
          <w:rtl/>
        </w:rPr>
        <w:t xml:space="preserve">ת"י 5378 </w:t>
      </w:r>
      <w:r>
        <w:rPr>
          <w:rFonts w:hint="cs"/>
          <w:rtl/>
        </w:rPr>
        <w:t>סעיף 7.2.2</w:t>
      </w:r>
      <w:r w:rsidR="00540127">
        <w:rPr>
          <w:rFonts w:hint="cs"/>
          <w:rtl/>
        </w:rPr>
        <w:t>, ב</w:t>
      </w:r>
      <w:bookmarkEnd w:id="0"/>
      <w:r w:rsidR="00540127">
        <w:rPr>
          <w:rFonts w:hint="cs"/>
          <w:rtl/>
        </w:rPr>
        <w:t>כפוף לתנאים כפי שיוסבר להלן.</w:t>
      </w:r>
    </w:p>
    <w:p w14:paraId="5D3D56D8" w14:textId="45F9B542" w:rsidR="000A1F08" w:rsidRPr="00833F5D" w:rsidRDefault="00540127" w:rsidP="00DD20FA">
      <w:pPr>
        <w:rPr>
          <w:rtl/>
        </w:rPr>
      </w:pPr>
      <w:r>
        <w:rPr>
          <w:rFonts w:hint="cs"/>
          <w:rtl/>
        </w:rPr>
        <w:t xml:space="preserve">לפי הקבוע בתקן, נדרשת </w:t>
      </w:r>
      <w:r w:rsidR="00CB218A" w:rsidRPr="00833F5D">
        <w:rPr>
          <w:rtl/>
        </w:rPr>
        <w:t xml:space="preserve">בדיקה שנתית </w:t>
      </w:r>
      <w:r>
        <w:rPr>
          <w:rFonts w:hint="cs"/>
          <w:rtl/>
        </w:rPr>
        <w:t>שתבוצע</w:t>
      </w:r>
      <w:r w:rsidR="00CB218A" w:rsidRPr="00833F5D">
        <w:rPr>
          <w:rtl/>
        </w:rPr>
        <w:t xml:space="preserve"> על ידי</w:t>
      </w:r>
      <w:r w:rsidR="00CB218A">
        <w:rPr>
          <w:rFonts w:hint="cs"/>
          <w:rtl/>
        </w:rPr>
        <w:t xml:space="preserve"> מעבדה מאושרת</w:t>
      </w:r>
      <w:r w:rsidR="00CB218A">
        <w:rPr>
          <w:rStyle w:val="a7"/>
          <w:rtl/>
        </w:rPr>
        <w:footnoteReference w:id="3"/>
      </w:r>
      <w:r w:rsidR="00CB218A">
        <w:rPr>
          <w:rFonts w:hint="cs"/>
          <w:rtl/>
        </w:rPr>
        <w:t>.</w:t>
      </w:r>
      <w:r w:rsidR="00CB218A" w:rsidRPr="00833F5D">
        <w:rPr>
          <w:rtl/>
        </w:rPr>
        <w:t xml:space="preserve"> הבדיקה תכלול כל חלקי המתקן המתנפח לרבות ציוד עזר, שעלולים להשפיע על תפעולו הבטוח של המתקן.</w:t>
      </w:r>
    </w:p>
    <w:p w14:paraId="15397BB5" w14:textId="4A471E3C" w:rsidR="000A1F08" w:rsidRPr="00833F5D" w:rsidRDefault="00CB218A" w:rsidP="000A1F08">
      <w:pPr>
        <w:rPr>
          <w:rtl/>
        </w:rPr>
      </w:pPr>
      <w:r w:rsidRPr="00833F5D">
        <w:rPr>
          <w:rtl/>
        </w:rPr>
        <w:t>בתקן ישנה רשימת בדיקות</w:t>
      </w:r>
      <w:r w:rsidR="00540127">
        <w:rPr>
          <w:rFonts w:hint="cs"/>
          <w:rtl/>
        </w:rPr>
        <w:t xml:space="preserve"> ו</w:t>
      </w:r>
      <w:r w:rsidRPr="00833F5D">
        <w:rPr>
          <w:rtl/>
        </w:rPr>
        <w:t>קיימת הסתייגות כי הרש</w:t>
      </w:r>
      <w:r w:rsidR="00FE09C5">
        <w:rPr>
          <w:rFonts w:hint="cs"/>
          <w:rtl/>
        </w:rPr>
        <w:t>י</w:t>
      </w:r>
      <w:r w:rsidRPr="00833F5D">
        <w:rPr>
          <w:rtl/>
        </w:rPr>
        <w:t>מה אינה מלאה וניתן להרחיבה.</w:t>
      </w:r>
    </w:p>
    <w:p w14:paraId="594B7D0F" w14:textId="1F996FB4" w:rsidR="000A1F08" w:rsidRPr="00833F5D" w:rsidRDefault="00CB218A" w:rsidP="000A1F08">
      <w:pPr>
        <w:rPr>
          <w:rtl/>
        </w:rPr>
      </w:pPr>
      <w:r w:rsidRPr="00833F5D">
        <w:rPr>
          <w:rtl/>
        </w:rPr>
        <w:t xml:space="preserve">לא נדרשת בדיקה </w:t>
      </w:r>
      <w:r w:rsidR="00540127">
        <w:rPr>
          <w:rFonts w:hint="cs"/>
          <w:rtl/>
        </w:rPr>
        <w:t xml:space="preserve">של מעבדה מאושרת </w:t>
      </w:r>
      <w:r w:rsidRPr="00833F5D">
        <w:rPr>
          <w:rtl/>
        </w:rPr>
        <w:t xml:space="preserve">לפני כל </w:t>
      </w:r>
      <w:r w:rsidR="00BF16A9">
        <w:rPr>
          <w:rFonts w:hint="cs"/>
          <w:rtl/>
        </w:rPr>
        <w:t>ה</w:t>
      </w:r>
      <w:r w:rsidRPr="00833F5D">
        <w:rPr>
          <w:rtl/>
        </w:rPr>
        <w:t>תקנ</w:t>
      </w:r>
      <w:r w:rsidR="00540127">
        <w:rPr>
          <w:rFonts w:hint="cs"/>
          <w:rtl/>
        </w:rPr>
        <w:t>ה חדשה של</w:t>
      </w:r>
      <w:r w:rsidRPr="00833F5D">
        <w:rPr>
          <w:rtl/>
        </w:rPr>
        <w:t xml:space="preserve"> המתקן</w:t>
      </w:r>
      <w:r w:rsidR="00540127">
        <w:rPr>
          <w:rFonts w:hint="cs"/>
          <w:rtl/>
        </w:rPr>
        <w:t>,</w:t>
      </w:r>
      <w:r w:rsidRPr="00833F5D">
        <w:rPr>
          <w:rtl/>
        </w:rPr>
        <w:t xml:space="preserve"> אלא הבדיקות האלה מתבצעות על ידי צוות מפעילי המתקן.</w:t>
      </w:r>
    </w:p>
    <w:p w14:paraId="40098C07" w14:textId="7D938DFC" w:rsidR="000A1F08" w:rsidRPr="00833F5D" w:rsidRDefault="00CB218A" w:rsidP="000A1F08">
      <w:pPr>
        <w:rPr>
          <w:rtl/>
        </w:rPr>
      </w:pPr>
      <w:r w:rsidRPr="00833F5D">
        <w:rPr>
          <w:rtl/>
        </w:rPr>
        <w:t>לאור כך</w:t>
      </w:r>
      <w:r w:rsidR="00540127">
        <w:rPr>
          <w:rFonts w:hint="cs"/>
          <w:rtl/>
        </w:rPr>
        <w:t>,</w:t>
      </w:r>
      <w:r w:rsidRPr="00833F5D">
        <w:rPr>
          <w:rtl/>
        </w:rPr>
        <w:t xml:space="preserve"> </w:t>
      </w:r>
      <w:r w:rsidR="00540127">
        <w:rPr>
          <w:rFonts w:hint="cs"/>
          <w:rtl/>
        </w:rPr>
        <w:t>ש</w:t>
      </w:r>
      <w:r w:rsidRPr="00833F5D">
        <w:rPr>
          <w:rtl/>
        </w:rPr>
        <w:t xml:space="preserve">המתקנים </w:t>
      </w:r>
      <w:r w:rsidR="00540127">
        <w:rPr>
          <w:rFonts w:hint="cs"/>
          <w:rtl/>
        </w:rPr>
        <w:t>ש</w:t>
      </w:r>
      <w:r w:rsidRPr="00833F5D">
        <w:rPr>
          <w:rtl/>
        </w:rPr>
        <w:t xml:space="preserve">נבדקו בתחילת שנת 2020 (ינואר-פברואר-מרץ), לא היו בשימוש לאחר הבדיקה </w:t>
      </w:r>
      <w:r w:rsidR="00540127">
        <w:rPr>
          <w:rFonts w:hint="cs"/>
          <w:rtl/>
        </w:rPr>
        <w:t>מאחר ו</w:t>
      </w:r>
      <w:r w:rsidRPr="00833F5D">
        <w:rPr>
          <w:rtl/>
        </w:rPr>
        <w:t xml:space="preserve">מיד לאחר מכן נכנסו </w:t>
      </w:r>
      <w:r w:rsidR="00540127">
        <w:rPr>
          <w:rFonts w:hint="cs"/>
          <w:rtl/>
        </w:rPr>
        <w:t>ה</w:t>
      </w:r>
      <w:r w:rsidRPr="00833F5D">
        <w:rPr>
          <w:rtl/>
        </w:rPr>
        <w:t>הגבלות עקב נגיף הקורונה</w:t>
      </w:r>
      <w:r w:rsidR="00FE09C5">
        <w:rPr>
          <w:rFonts w:hint="cs"/>
          <w:rtl/>
        </w:rPr>
        <w:t>,</w:t>
      </w:r>
      <w:r w:rsidR="00540127">
        <w:rPr>
          <w:rFonts w:hint="cs"/>
          <w:rtl/>
        </w:rPr>
        <w:t xml:space="preserve"> הוחלט לשקול לתת</w:t>
      </w:r>
      <w:r w:rsidR="00FE09C5">
        <w:rPr>
          <w:rFonts w:hint="cs"/>
          <w:rtl/>
        </w:rPr>
        <w:t xml:space="preserve"> פטור זמני זה</w:t>
      </w:r>
      <w:r w:rsidRPr="00833F5D">
        <w:rPr>
          <w:rtl/>
        </w:rPr>
        <w:t>.</w:t>
      </w:r>
    </w:p>
    <w:p w14:paraId="497440C3" w14:textId="5A242476" w:rsidR="000A1F08" w:rsidRPr="00833F5D" w:rsidRDefault="00CB218A" w:rsidP="00A865FC">
      <w:pPr>
        <w:rPr>
          <w:rtl/>
        </w:rPr>
      </w:pPr>
      <w:r w:rsidRPr="00833F5D">
        <w:rPr>
          <w:rtl/>
        </w:rPr>
        <w:t>יש לציין כי</w:t>
      </w:r>
      <w:r w:rsidR="00540127">
        <w:rPr>
          <w:rFonts w:hint="cs"/>
          <w:rtl/>
        </w:rPr>
        <w:t xml:space="preserve"> לפי </w:t>
      </w:r>
      <w:r w:rsidR="00A865FC">
        <w:rPr>
          <w:rFonts w:hint="cs"/>
          <w:rtl/>
        </w:rPr>
        <w:t xml:space="preserve">בירור שערך </w:t>
      </w:r>
      <w:proofErr w:type="spellStart"/>
      <w:r w:rsidR="00A865FC">
        <w:rPr>
          <w:rFonts w:hint="cs"/>
          <w:rtl/>
        </w:rPr>
        <w:t>מינהל</w:t>
      </w:r>
      <w:proofErr w:type="spellEnd"/>
      <w:r w:rsidR="00A865FC">
        <w:rPr>
          <w:rFonts w:hint="cs"/>
          <w:rtl/>
        </w:rPr>
        <w:t xml:space="preserve"> התקינה</w:t>
      </w:r>
      <w:r w:rsidR="00540127">
        <w:rPr>
          <w:rFonts w:hint="cs"/>
          <w:rtl/>
        </w:rPr>
        <w:t>,</w:t>
      </w:r>
      <w:r w:rsidRPr="00833F5D">
        <w:rPr>
          <w:rtl/>
        </w:rPr>
        <w:t xml:space="preserve"> רוב </w:t>
      </w:r>
      <w:r w:rsidR="00FE09C5">
        <w:rPr>
          <w:rFonts w:hint="cs"/>
          <w:rtl/>
        </w:rPr>
        <w:t>ה</w:t>
      </w:r>
      <w:r w:rsidRPr="00833F5D">
        <w:rPr>
          <w:rtl/>
        </w:rPr>
        <w:t xml:space="preserve">מתקנים </w:t>
      </w:r>
      <w:r w:rsidR="00FE09C5">
        <w:rPr>
          <w:rFonts w:hint="cs"/>
          <w:rtl/>
        </w:rPr>
        <w:t>האלו</w:t>
      </w:r>
      <w:r w:rsidRPr="00833F5D">
        <w:rPr>
          <w:rtl/>
        </w:rPr>
        <w:t xml:space="preserve"> נמצאים מקופלים במחסני המפעיל ו</w:t>
      </w:r>
      <w:r w:rsidR="00FE09C5">
        <w:rPr>
          <w:rFonts w:hint="cs"/>
          <w:rtl/>
        </w:rPr>
        <w:t>מ</w:t>
      </w:r>
      <w:r w:rsidRPr="00833F5D">
        <w:rPr>
          <w:rtl/>
        </w:rPr>
        <w:t>נפחים אותם רק לשעות פעילות המתקן.</w:t>
      </w:r>
      <w:r w:rsidR="00A865FC">
        <w:rPr>
          <w:rFonts w:hint="cs"/>
          <w:rtl/>
        </w:rPr>
        <w:t xml:space="preserve"> בנוסף,</w:t>
      </w:r>
      <w:r w:rsidR="00A865FC" w:rsidRPr="00833F5D">
        <w:rPr>
          <w:rtl/>
        </w:rPr>
        <w:t xml:space="preserve"> </w:t>
      </w:r>
      <w:r w:rsidRPr="00833F5D">
        <w:rPr>
          <w:rtl/>
        </w:rPr>
        <w:t xml:space="preserve">לרוב לא מדובר באחסנה חיצונית, אלא </w:t>
      </w:r>
      <w:r w:rsidR="00FE09C5">
        <w:rPr>
          <w:rFonts w:hint="cs"/>
          <w:rtl/>
        </w:rPr>
        <w:t>ב</w:t>
      </w:r>
      <w:r w:rsidRPr="00833F5D">
        <w:rPr>
          <w:rtl/>
        </w:rPr>
        <w:t>תוך מבנים</w:t>
      </w:r>
      <w:r w:rsidR="00FE09C5">
        <w:rPr>
          <w:rFonts w:hint="cs"/>
          <w:rtl/>
        </w:rPr>
        <w:t xml:space="preserve"> מקורים ולכן</w:t>
      </w:r>
      <w:r w:rsidR="00A865FC">
        <w:rPr>
          <w:rFonts w:hint="cs"/>
          <w:rtl/>
        </w:rPr>
        <w:t xml:space="preserve"> סביר להניח כי</w:t>
      </w:r>
      <w:r w:rsidR="00FE09C5">
        <w:rPr>
          <w:rFonts w:hint="cs"/>
          <w:rtl/>
        </w:rPr>
        <w:t xml:space="preserve"> אין חשש לנזק משימוש או שחיקה מנזקי מזג האוויר</w:t>
      </w:r>
      <w:r w:rsidRPr="00833F5D">
        <w:rPr>
          <w:rtl/>
        </w:rPr>
        <w:t>.</w:t>
      </w:r>
    </w:p>
    <w:p w14:paraId="0BE55169" w14:textId="158FC146" w:rsidR="000A1F08" w:rsidRDefault="00CB218A" w:rsidP="00FE09C5">
      <w:pPr>
        <w:rPr>
          <w:rtl/>
        </w:rPr>
      </w:pPr>
      <w:r>
        <w:rPr>
          <w:rFonts w:hint="cs"/>
          <w:rtl/>
        </w:rPr>
        <w:t>המלצת הממונה על התקינה</w:t>
      </w:r>
      <w:r w:rsidRPr="00833F5D">
        <w:rPr>
          <w:rtl/>
        </w:rPr>
        <w:t xml:space="preserve"> היא</w:t>
      </w:r>
      <w:r w:rsidR="00BF16A9" w:rsidRPr="00833F5D">
        <w:rPr>
          <w:rtl/>
        </w:rPr>
        <w:t xml:space="preserve"> </w:t>
      </w:r>
      <w:r w:rsidRPr="00833F5D">
        <w:rPr>
          <w:rtl/>
        </w:rPr>
        <w:t>לאפשר (</w:t>
      </w:r>
      <w:r>
        <w:rPr>
          <w:rFonts w:hint="cs"/>
          <w:rtl/>
        </w:rPr>
        <w:t>בכפוף</w:t>
      </w:r>
      <w:r w:rsidRPr="00833F5D">
        <w:rPr>
          <w:rtl/>
        </w:rPr>
        <w:t xml:space="preserve"> להנחיות </w:t>
      </w:r>
      <w:r>
        <w:rPr>
          <w:rFonts w:hint="cs"/>
          <w:rtl/>
        </w:rPr>
        <w:t xml:space="preserve">משרד </w:t>
      </w:r>
      <w:r w:rsidRPr="00833F5D">
        <w:rPr>
          <w:rtl/>
        </w:rPr>
        <w:t xml:space="preserve">הבריאות הכלליות) להמשיך להפעיל מתקני משחק מתנפחים אשר נבדקו על ידי מעבדה מאושרת החל מ-01/01/2020 ולא היו בשימוש </w:t>
      </w:r>
      <w:r>
        <w:rPr>
          <w:rFonts w:hint="cs"/>
          <w:rtl/>
        </w:rPr>
        <w:t>עד ה-</w:t>
      </w:r>
      <w:r w:rsidRPr="00833F5D">
        <w:rPr>
          <w:rtl/>
        </w:rPr>
        <w:t xml:space="preserve"> 31/12/2021.</w:t>
      </w:r>
      <w:r>
        <w:rPr>
          <w:rFonts w:hint="cs"/>
          <w:rtl/>
        </w:rPr>
        <w:t xml:space="preserve"> </w:t>
      </w:r>
      <w:r w:rsidRPr="00FE09C5">
        <w:rPr>
          <w:b/>
          <w:bCs/>
          <w:rtl/>
        </w:rPr>
        <w:t>זאת בתנאי שהבדיקה השנתית תתבצע על ידי צוות מפעילי המתקן</w:t>
      </w:r>
      <w:r w:rsidRPr="00833F5D">
        <w:rPr>
          <w:rtl/>
        </w:rPr>
        <w:t>.</w:t>
      </w:r>
    </w:p>
    <w:p w14:paraId="7770D114" w14:textId="77777777" w:rsidR="000A1F08" w:rsidRPr="00833F5D" w:rsidRDefault="000A1F08" w:rsidP="000A1F08">
      <w:pPr>
        <w:rPr>
          <w:rtl/>
        </w:rPr>
      </w:pPr>
    </w:p>
    <w:p w14:paraId="3E11E55A" w14:textId="0250014D" w:rsidR="0032099A" w:rsidRDefault="00CB218A" w:rsidP="00FE09C5">
      <w:pPr>
        <w:rPr>
          <w:rtl/>
        </w:rPr>
      </w:pPr>
      <w:r w:rsidRPr="0032099A">
        <w:rPr>
          <w:rFonts w:hint="cs"/>
          <w:rtl/>
        </w:rPr>
        <w:t xml:space="preserve">ההחלטה לדחות את </w:t>
      </w:r>
      <w:r w:rsidR="007438EC">
        <w:rPr>
          <w:rFonts w:hint="cs"/>
          <w:rtl/>
        </w:rPr>
        <w:t>המועד הקובע</w:t>
      </w:r>
      <w:r w:rsidRPr="0032099A">
        <w:rPr>
          <w:rFonts w:hint="cs"/>
          <w:rtl/>
        </w:rPr>
        <w:t xml:space="preserve"> על ידי מתן פטור מדרישות התקן הרשמי</w:t>
      </w:r>
      <w:r w:rsidR="00A865FC">
        <w:rPr>
          <w:rFonts w:hint="cs"/>
          <w:rtl/>
        </w:rPr>
        <w:t xml:space="preserve"> בכפוף לבדיקה באופן עצמאי </w:t>
      </w:r>
      <w:r w:rsidRPr="0032099A">
        <w:rPr>
          <w:rFonts w:hint="cs"/>
          <w:rtl/>
        </w:rPr>
        <w:t xml:space="preserve"> כאמור נובעת כדי </w:t>
      </w:r>
      <w:r w:rsidR="00FE09C5">
        <w:rPr>
          <w:rFonts w:hint="cs"/>
          <w:rtl/>
        </w:rPr>
        <w:t xml:space="preserve">להקל על העוסקים שנפגעו </w:t>
      </w:r>
      <w:r w:rsidR="00A865FC">
        <w:rPr>
          <w:rFonts w:hint="cs"/>
          <w:rtl/>
        </w:rPr>
        <w:t>כלכלית</w:t>
      </w:r>
      <w:r w:rsidR="00FE09C5">
        <w:rPr>
          <w:rFonts w:hint="cs"/>
          <w:rtl/>
        </w:rPr>
        <w:t xml:space="preserve"> מנגיף הקורונה.</w:t>
      </w:r>
      <w:r w:rsidR="004D5E19" w:rsidRPr="0032099A">
        <w:rPr>
          <w:rFonts w:hint="cs"/>
          <w:rtl/>
        </w:rPr>
        <w:t xml:space="preserve"> </w:t>
      </w:r>
    </w:p>
    <w:p w14:paraId="4F98758D" w14:textId="77777777" w:rsidR="0032099A" w:rsidRPr="0032099A" w:rsidRDefault="0032099A" w:rsidP="0032099A">
      <w:pPr>
        <w:rPr>
          <w:rtl/>
        </w:rPr>
      </w:pPr>
    </w:p>
    <w:p w14:paraId="26E2837B" w14:textId="77777777" w:rsidR="004D5E19" w:rsidRPr="0032099A" w:rsidRDefault="00CB218A" w:rsidP="0032099A">
      <w:r w:rsidRPr="0032099A">
        <w:rPr>
          <w:rFonts w:hint="cs"/>
          <w:rtl/>
        </w:rPr>
        <w:t>הפטור מדרישות התקן יעמוד בתוקפו עד ליום</w:t>
      </w:r>
      <w:r w:rsidR="00FE09C5">
        <w:rPr>
          <w:rFonts w:hint="cs"/>
          <w:rtl/>
        </w:rPr>
        <w:t xml:space="preserve"> 31.12.2021. </w:t>
      </w:r>
    </w:p>
    <w:p w14:paraId="5ADAD6AE" w14:textId="77777777" w:rsidR="00B409A0" w:rsidRPr="00B409A0" w:rsidRDefault="00B409A0" w:rsidP="00B409A0">
      <w:pPr>
        <w:rPr>
          <w:rFonts w:ascii="Arial" w:hAnsi="Arial" w:cs="Arial"/>
          <w:rtl/>
        </w:rPr>
      </w:pPr>
    </w:p>
    <w:p w14:paraId="186AB89D" w14:textId="77777777" w:rsidR="005A557E" w:rsidRPr="005A557E" w:rsidRDefault="005A557E" w:rsidP="0049306C">
      <w:pPr>
        <w:pStyle w:val="HesberHeading"/>
        <w:rPr>
          <w:b w:val="0"/>
          <w:bCs w:val="0"/>
        </w:rPr>
      </w:pPr>
    </w:p>
    <w:sectPr w:rsidR="005A557E" w:rsidRPr="005A557E" w:rsidSect="00BE5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5540B" w14:textId="77777777" w:rsidR="003930D4" w:rsidRDefault="003930D4">
      <w:pPr>
        <w:spacing w:line="240" w:lineRule="auto"/>
      </w:pPr>
      <w:r>
        <w:separator/>
      </w:r>
    </w:p>
  </w:endnote>
  <w:endnote w:type="continuationSeparator" w:id="0">
    <w:p w14:paraId="0482CBCE" w14:textId="77777777" w:rsidR="003930D4" w:rsidRDefault="00393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73320" w14:textId="77777777" w:rsidR="001668F0" w:rsidRDefault="001668F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5F6E" w14:textId="77777777" w:rsidR="001668F0" w:rsidRDefault="001668F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6CBF" w14:textId="77777777" w:rsidR="001668F0" w:rsidRDefault="001668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1CC18" w14:textId="77777777" w:rsidR="003930D4" w:rsidRDefault="003930D4" w:rsidP="00BE5C59">
      <w:pPr>
        <w:spacing w:line="240" w:lineRule="auto"/>
        <w:ind w:left="0"/>
      </w:pPr>
      <w:r>
        <w:separator/>
      </w:r>
    </w:p>
  </w:footnote>
  <w:footnote w:type="continuationSeparator" w:id="0">
    <w:p w14:paraId="39FFDF1A" w14:textId="77777777" w:rsidR="003930D4" w:rsidRDefault="003930D4" w:rsidP="00516364">
      <w:pPr>
        <w:spacing w:line="240" w:lineRule="auto"/>
      </w:pPr>
      <w:r>
        <w:continuationSeparator/>
      </w:r>
    </w:p>
  </w:footnote>
  <w:footnote w:id="1">
    <w:p w14:paraId="4F67DDC1" w14:textId="77777777" w:rsidR="00C4699D" w:rsidRDefault="00CB218A" w:rsidP="00264541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ס"ח </w:t>
      </w:r>
      <w:proofErr w:type="spellStart"/>
      <w:r>
        <w:rPr>
          <w:rtl/>
        </w:rPr>
        <w:t>התשי"ג</w:t>
      </w:r>
      <w:proofErr w:type="spellEnd"/>
      <w:r>
        <w:rPr>
          <w:rtl/>
        </w:rPr>
        <w:t xml:space="preserve">, עמ' 30; </w:t>
      </w:r>
      <w:proofErr w:type="spellStart"/>
      <w:r>
        <w:rPr>
          <w:rtl/>
        </w:rPr>
        <w:t>התשע"</w:t>
      </w:r>
      <w:r>
        <w:rPr>
          <w:rFonts w:hint="cs"/>
          <w:rtl/>
        </w:rPr>
        <w:t>ז</w:t>
      </w:r>
      <w:proofErr w:type="spellEnd"/>
      <w:r w:rsidRPr="00EC4C13">
        <w:rPr>
          <w:rtl/>
        </w:rPr>
        <w:t xml:space="preserve">, עמ' </w:t>
      </w:r>
      <w:r>
        <w:rPr>
          <w:rFonts w:hint="cs"/>
          <w:rtl/>
        </w:rPr>
        <w:t>162</w:t>
      </w:r>
      <w:r w:rsidRPr="00EC4C13">
        <w:rPr>
          <w:rtl/>
        </w:rPr>
        <w:t>.</w:t>
      </w:r>
    </w:p>
  </w:footnote>
  <w:footnote w:id="2">
    <w:p w14:paraId="4AF56163" w14:textId="3CF283C9" w:rsidR="001259F3" w:rsidRDefault="00CB218A" w:rsidP="00114529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ק"ת</w:t>
      </w:r>
      <w:proofErr w:type="spellEnd"/>
      <w:r>
        <w:rPr>
          <w:rFonts w:hint="cs"/>
          <w:rtl/>
        </w:rPr>
        <w:t xml:space="preserve"> </w:t>
      </w:r>
      <w:proofErr w:type="spellStart"/>
      <w:r w:rsidR="00114529">
        <w:rPr>
          <w:rFonts w:hint="cs"/>
          <w:rtl/>
        </w:rPr>
        <w:t>התש"ע</w:t>
      </w:r>
      <w:proofErr w:type="spellEnd"/>
      <w:r>
        <w:rPr>
          <w:rFonts w:hint="cs"/>
          <w:rtl/>
        </w:rPr>
        <w:t>, עמ' 1472</w:t>
      </w:r>
      <w:r w:rsidR="00114529">
        <w:rPr>
          <w:rFonts w:hint="cs"/>
          <w:rtl/>
        </w:rPr>
        <w:t>.</w:t>
      </w:r>
    </w:p>
  </w:footnote>
  <w:footnote w:id="3">
    <w:p w14:paraId="5EB326A1" w14:textId="77777777" w:rsidR="000A1F08" w:rsidRDefault="00CB218A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גיליון תיקון מס' 1 -ספטמבר 2012 </w:t>
      </w:r>
      <w:r>
        <w:rPr>
          <w:rtl/>
        </w:rPr>
        <w:t>–</w:t>
      </w:r>
      <w:r>
        <w:rPr>
          <w:rFonts w:hint="cs"/>
          <w:rtl/>
        </w:rPr>
        <w:t xml:space="preserve"> בודק מורשה וגוף בודק =</w:t>
      </w:r>
      <w:r w:rsidRPr="00833F5D">
        <w:rPr>
          <w:rtl/>
        </w:rPr>
        <w:t>מעבדה מאושרת.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BE07C" w14:textId="38C8055D" w:rsidR="001668F0" w:rsidRDefault="003930D4">
    <w:pPr>
      <w:pStyle w:val="a9"/>
    </w:pPr>
    <w:r>
      <w:rPr>
        <w:noProof/>
      </w:rPr>
      <w:pict w14:anchorId="6E2FBF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608016" o:spid="_x0000_s2050" type="#_x0000_t136" style="position:absolute;left:0;text-align:left;margin-left:0;margin-top:0;width:566.2pt;height:11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David&quot;;font-size:1pt" string="טיוטה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B9EB0" w14:textId="1BE686F5" w:rsidR="001668F0" w:rsidRDefault="003930D4">
    <w:pPr>
      <w:pStyle w:val="a9"/>
    </w:pPr>
    <w:r>
      <w:rPr>
        <w:noProof/>
      </w:rPr>
      <w:pict w14:anchorId="4DADB4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608017" o:spid="_x0000_s2051" type="#_x0000_t136" style="position:absolute;left:0;text-align:left;margin-left:0;margin-top:0;width:566.2pt;height:11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David&quot;;font-size:1pt" string="טיוטה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4EB53" w14:textId="0722C23B" w:rsidR="001668F0" w:rsidRDefault="003930D4">
    <w:pPr>
      <w:pStyle w:val="a9"/>
    </w:pPr>
    <w:r>
      <w:rPr>
        <w:noProof/>
      </w:rPr>
      <w:pict w14:anchorId="167AFC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608015" o:spid="_x0000_s2049" type="#_x0000_t136" style="position:absolute;left:0;text-align:left;margin-left:0;margin-top:0;width:566.2pt;height:11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David&quot;;font-size:1pt" string="טיוטה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C52C7"/>
    <w:multiLevelType w:val="hybridMultilevel"/>
    <w:tmpl w:val="57A81F86"/>
    <w:lvl w:ilvl="0" w:tplc="25324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89BA2" w:tentative="1">
      <w:start w:val="1"/>
      <w:numFmt w:val="lowerLetter"/>
      <w:lvlText w:val="%2."/>
      <w:lvlJc w:val="left"/>
      <w:pPr>
        <w:ind w:left="1440" w:hanging="360"/>
      </w:pPr>
    </w:lvl>
    <w:lvl w:ilvl="2" w:tplc="1460E402" w:tentative="1">
      <w:start w:val="1"/>
      <w:numFmt w:val="lowerRoman"/>
      <w:lvlText w:val="%3."/>
      <w:lvlJc w:val="right"/>
      <w:pPr>
        <w:ind w:left="2160" w:hanging="180"/>
      </w:pPr>
    </w:lvl>
    <w:lvl w:ilvl="3" w:tplc="A1DCDD34" w:tentative="1">
      <w:start w:val="1"/>
      <w:numFmt w:val="decimal"/>
      <w:lvlText w:val="%4."/>
      <w:lvlJc w:val="left"/>
      <w:pPr>
        <w:ind w:left="2880" w:hanging="360"/>
      </w:pPr>
    </w:lvl>
    <w:lvl w:ilvl="4" w:tplc="ABD22156" w:tentative="1">
      <w:start w:val="1"/>
      <w:numFmt w:val="lowerLetter"/>
      <w:lvlText w:val="%5."/>
      <w:lvlJc w:val="left"/>
      <w:pPr>
        <w:ind w:left="3600" w:hanging="360"/>
      </w:pPr>
    </w:lvl>
    <w:lvl w:ilvl="5" w:tplc="249E4212" w:tentative="1">
      <w:start w:val="1"/>
      <w:numFmt w:val="lowerRoman"/>
      <w:lvlText w:val="%6."/>
      <w:lvlJc w:val="right"/>
      <w:pPr>
        <w:ind w:left="4320" w:hanging="180"/>
      </w:pPr>
    </w:lvl>
    <w:lvl w:ilvl="6" w:tplc="15CEBC94" w:tentative="1">
      <w:start w:val="1"/>
      <w:numFmt w:val="decimal"/>
      <w:lvlText w:val="%7."/>
      <w:lvlJc w:val="left"/>
      <w:pPr>
        <w:ind w:left="5040" w:hanging="360"/>
      </w:pPr>
    </w:lvl>
    <w:lvl w:ilvl="7" w:tplc="ECDC41D8" w:tentative="1">
      <w:start w:val="1"/>
      <w:numFmt w:val="lowerLetter"/>
      <w:lvlText w:val="%8."/>
      <w:lvlJc w:val="left"/>
      <w:pPr>
        <w:ind w:left="5760" w:hanging="360"/>
      </w:pPr>
    </w:lvl>
    <w:lvl w:ilvl="8" w:tplc="518CD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72A86"/>
    <w:multiLevelType w:val="hybridMultilevel"/>
    <w:tmpl w:val="0D5028AE"/>
    <w:lvl w:ilvl="0" w:tplc="594652D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37A5C2C" w:tentative="1">
      <w:start w:val="1"/>
      <w:numFmt w:val="lowerLetter"/>
      <w:lvlText w:val="%2."/>
      <w:lvlJc w:val="left"/>
      <w:pPr>
        <w:ind w:left="1420" w:hanging="360"/>
      </w:pPr>
    </w:lvl>
    <w:lvl w:ilvl="2" w:tplc="7A081B96" w:tentative="1">
      <w:start w:val="1"/>
      <w:numFmt w:val="lowerRoman"/>
      <w:lvlText w:val="%3."/>
      <w:lvlJc w:val="right"/>
      <w:pPr>
        <w:ind w:left="2140" w:hanging="180"/>
      </w:pPr>
    </w:lvl>
    <w:lvl w:ilvl="3" w:tplc="B2E2FDDE" w:tentative="1">
      <w:start w:val="1"/>
      <w:numFmt w:val="decimal"/>
      <w:lvlText w:val="%4."/>
      <w:lvlJc w:val="left"/>
      <w:pPr>
        <w:ind w:left="2860" w:hanging="360"/>
      </w:pPr>
    </w:lvl>
    <w:lvl w:ilvl="4" w:tplc="C548EA16" w:tentative="1">
      <w:start w:val="1"/>
      <w:numFmt w:val="lowerLetter"/>
      <w:lvlText w:val="%5."/>
      <w:lvlJc w:val="left"/>
      <w:pPr>
        <w:ind w:left="3580" w:hanging="360"/>
      </w:pPr>
    </w:lvl>
    <w:lvl w:ilvl="5" w:tplc="E7008672" w:tentative="1">
      <w:start w:val="1"/>
      <w:numFmt w:val="lowerRoman"/>
      <w:lvlText w:val="%6."/>
      <w:lvlJc w:val="right"/>
      <w:pPr>
        <w:ind w:left="4300" w:hanging="180"/>
      </w:pPr>
    </w:lvl>
    <w:lvl w:ilvl="6" w:tplc="61B0058E" w:tentative="1">
      <w:start w:val="1"/>
      <w:numFmt w:val="decimal"/>
      <w:lvlText w:val="%7."/>
      <w:lvlJc w:val="left"/>
      <w:pPr>
        <w:ind w:left="5020" w:hanging="360"/>
      </w:pPr>
    </w:lvl>
    <w:lvl w:ilvl="7" w:tplc="79423502" w:tentative="1">
      <w:start w:val="1"/>
      <w:numFmt w:val="lowerLetter"/>
      <w:lvlText w:val="%8."/>
      <w:lvlJc w:val="left"/>
      <w:pPr>
        <w:ind w:left="5740" w:hanging="360"/>
      </w:pPr>
    </w:lvl>
    <w:lvl w:ilvl="8" w:tplc="153AD7E6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CDD78F3"/>
    <w:multiLevelType w:val="hybridMultilevel"/>
    <w:tmpl w:val="9E4C4E42"/>
    <w:lvl w:ilvl="0" w:tplc="DF58E83E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0BA7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E5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DA1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8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A3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ECE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AB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AE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C2A4E"/>
    <w:multiLevelType w:val="hybridMultilevel"/>
    <w:tmpl w:val="739A4BA2"/>
    <w:lvl w:ilvl="0" w:tplc="8C02CF1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David" w:hint="default"/>
      </w:rPr>
    </w:lvl>
    <w:lvl w:ilvl="1" w:tplc="9F96D4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ED206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814F93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D12AED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B92D34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88FDE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588B15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EB2B20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3B2AD0"/>
    <w:multiLevelType w:val="hybridMultilevel"/>
    <w:tmpl w:val="BB94ACF2"/>
    <w:lvl w:ilvl="0" w:tplc="AF469DDA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  <w:rPr>
        <w:rFonts w:ascii="David" w:hAnsi="David" w:cs="David" w:hint="default"/>
        <w:sz w:val="26"/>
        <w:szCs w:val="26"/>
      </w:rPr>
    </w:lvl>
    <w:lvl w:ilvl="1" w:tplc="44FCF0A0" w:tentative="1">
      <w:start w:val="1"/>
      <w:numFmt w:val="lowerLetter"/>
      <w:lvlText w:val="%2."/>
      <w:lvlJc w:val="left"/>
      <w:pPr>
        <w:ind w:left="1440" w:hanging="360"/>
      </w:pPr>
    </w:lvl>
    <w:lvl w:ilvl="2" w:tplc="B6B843B6" w:tentative="1">
      <w:start w:val="1"/>
      <w:numFmt w:val="lowerRoman"/>
      <w:lvlText w:val="%3."/>
      <w:lvlJc w:val="right"/>
      <w:pPr>
        <w:ind w:left="2160" w:hanging="180"/>
      </w:pPr>
    </w:lvl>
    <w:lvl w:ilvl="3" w:tplc="2C02D6D2" w:tentative="1">
      <w:start w:val="1"/>
      <w:numFmt w:val="decimal"/>
      <w:lvlText w:val="%4."/>
      <w:lvlJc w:val="left"/>
      <w:pPr>
        <w:ind w:left="2880" w:hanging="360"/>
      </w:pPr>
    </w:lvl>
    <w:lvl w:ilvl="4" w:tplc="D1C62ADA" w:tentative="1">
      <w:start w:val="1"/>
      <w:numFmt w:val="lowerLetter"/>
      <w:lvlText w:val="%5."/>
      <w:lvlJc w:val="left"/>
      <w:pPr>
        <w:ind w:left="3600" w:hanging="360"/>
      </w:pPr>
    </w:lvl>
    <w:lvl w:ilvl="5" w:tplc="578AE414" w:tentative="1">
      <w:start w:val="1"/>
      <w:numFmt w:val="lowerRoman"/>
      <w:lvlText w:val="%6."/>
      <w:lvlJc w:val="right"/>
      <w:pPr>
        <w:ind w:left="4320" w:hanging="180"/>
      </w:pPr>
    </w:lvl>
    <w:lvl w:ilvl="6" w:tplc="8EBE7BF8" w:tentative="1">
      <w:start w:val="1"/>
      <w:numFmt w:val="decimal"/>
      <w:lvlText w:val="%7."/>
      <w:lvlJc w:val="left"/>
      <w:pPr>
        <w:ind w:left="5040" w:hanging="360"/>
      </w:pPr>
    </w:lvl>
    <w:lvl w:ilvl="7" w:tplc="60AAF30C" w:tentative="1">
      <w:start w:val="1"/>
      <w:numFmt w:val="lowerLetter"/>
      <w:lvlText w:val="%8."/>
      <w:lvlJc w:val="left"/>
      <w:pPr>
        <w:ind w:left="5760" w:hanging="360"/>
      </w:pPr>
    </w:lvl>
    <w:lvl w:ilvl="8" w:tplc="AF4A2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4977"/>
    <w:multiLevelType w:val="hybridMultilevel"/>
    <w:tmpl w:val="084A3F52"/>
    <w:lvl w:ilvl="0" w:tplc="024EC5A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127225EA" w:tentative="1">
      <w:start w:val="1"/>
      <w:numFmt w:val="lowerLetter"/>
      <w:lvlText w:val="%2."/>
      <w:lvlJc w:val="left"/>
      <w:pPr>
        <w:ind w:left="1420" w:hanging="360"/>
      </w:pPr>
    </w:lvl>
    <w:lvl w:ilvl="2" w:tplc="06E00884" w:tentative="1">
      <w:start w:val="1"/>
      <w:numFmt w:val="lowerRoman"/>
      <w:lvlText w:val="%3."/>
      <w:lvlJc w:val="right"/>
      <w:pPr>
        <w:ind w:left="2140" w:hanging="180"/>
      </w:pPr>
    </w:lvl>
    <w:lvl w:ilvl="3" w:tplc="088EAF6A" w:tentative="1">
      <w:start w:val="1"/>
      <w:numFmt w:val="decimal"/>
      <w:lvlText w:val="%4."/>
      <w:lvlJc w:val="left"/>
      <w:pPr>
        <w:ind w:left="2860" w:hanging="360"/>
      </w:pPr>
    </w:lvl>
    <w:lvl w:ilvl="4" w:tplc="1B88B364" w:tentative="1">
      <w:start w:val="1"/>
      <w:numFmt w:val="lowerLetter"/>
      <w:lvlText w:val="%5."/>
      <w:lvlJc w:val="left"/>
      <w:pPr>
        <w:ind w:left="3580" w:hanging="360"/>
      </w:pPr>
    </w:lvl>
    <w:lvl w:ilvl="5" w:tplc="AE5EE8D6" w:tentative="1">
      <w:start w:val="1"/>
      <w:numFmt w:val="lowerRoman"/>
      <w:lvlText w:val="%6."/>
      <w:lvlJc w:val="right"/>
      <w:pPr>
        <w:ind w:left="4300" w:hanging="180"/>
      </w:pPr>
    </w:lvl>
    <w:lvl w:ilvl="6" w:tplc="0B24BA60" w:tentative="1">
      <w:start w:val="1"/>
      <w:numFmt w:val="decimal"/>
      <w:lvlText w:val="%7."/>
      <w:lvlJc w:val="left"/>
      <w:pPr>
        <w:ind w:left="5020" w:hanging="360"/>
      </w:pPr>
    </w:lvl>
    <w:lvl w:ilvl="7" w:tplc="763692CC" w:tentative="1">
      <w:start w:val="1"/>
      <w:numFmt w:val="lowerLetter"/>
      <w:lvlText w:val="%8."/>
      <w:lvlJc w:val="left"/>
      <w:pPr>
        <w:ind w:left="5740" w:hanging="360"/>
      </w:pPr>
    </w:lvl>
    <w:lvl w:ilvl="8" w:tplc="1234A8FE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555A2B35"/>
    <w:multiLevelType w:val="hybridMultilevel"/>
    <w:tmpl w:val="F61ADD04"/>
    <w:lvl w:ilvl="0" w:tplc="DD6868B8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E6C6D1F6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69F8E61A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FD52E432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E780DC7E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8ECA4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BA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C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602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B28B0"/>
    <w:multiLevelType w:val="hybridMultilevel"/>
    <w:tmpl w:val="41ACEA96"/>
    <w:lvl w:ilvl="0" w:tplc="4B989F1A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120833D2" w:tentative="1">
      <w:start w:val="1"/>
      <w:numFmt w:val="lowerLetter"/>
      <w:lvlText w:val="%2."/>
      <w:lvlJc w:val="left"/>
      <w:pPr>
        <w:ind w:left="2007" w:hanging="360"/>
      </w:pPr>
    </w:lvl>
    <w:lvl w:ilvl="2" w:tplc="76448B7A" w:tentative="1">
      <w:start w:val="1"/>
      <w:numFmt w:val="lowerRoman"/>
      <w:lvlText w:val="%3."/>
      <w:lvlJc w:val="right"/>
      <w:pPr>
        <w:ind w:left="2727" w:hanging="180"/>
      </w:pPr>
    </w:lvl>
    <w:lvl w:ilvl="3" w:tplc="526A1A04" w:tentative="1">
      <w:start w:val="1"/>
      <w:numFmt w:val="decimal"/>
      <w:lvlText w:val="%4."/>
      <w:lvlJc w:val="left"/>
      <w:pPr>
        <w:ind w:left="3447" w:hanging="360"/>
      </w:pPr>
    </w:lvl>
    <w:lvl w:ilvl="4" w:tplc="7C1EF3C0" w:tentative="1">
      <w:start w:val="1"/>
      <w:numFmt w:val="lowerLetter"/>
      <w:lvlText w:val="%5."/>
      <w:lvlJc w:val="left"/>
      <w:pPr>
        <w:ind w:left="4167" w:hanging="360"/>
      </w:pPr>
    </w:lvl>
    <w:lvl w:ilvl="5" w:tplc="C2363F2E" w:tentative="1">
      <w:start w:val="1"/>
      <w:numFmt w:val="lowerRoman"/>
      <w:lvlText w:val="%6."/>
      <w:lvlJc w:val="right"/>
      <w:pPr>
        <w:ind w:left="4887" w:hanging="180"/>
      </w:pPr>
    </w:lvl>
    <w:lvl w:ilvl="6" w:tplc="375C2A62" w:tentative="1">
      <w:start w:val="1"/>
      <w:numFmt w:val="decimal"/>
      <w:lvlText w:val="%7."/>
      <w:lvlJc w:val="left"/>
      <w:pPr>
        <w:ind w:left="5607" w:hanging="360"/>
      </w:pPr>
    </w:lvl>
    <w:lvl w:ilvl="7" w:tplc="72DCCFA0" w:tentative="1">
      <w:start w:val="1"/>
      <w:numFmt w:val="lowerLetter"/>
      <w:lvlText w:val="%8."/>
      <w:lvlJc w:val="left"/>
      <w:pPr>
        <w:ind w:left="6327" w:hanging="360"/>
      </w:pPr>
    </w:lvl>
    <w:lvl w:ilvl="8" w:tplc="BC5E1A9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53C544D"/>
    <w:multiLevelType w:val="hybridMultilevel"/>
    <w:tmpl w:val="C7443990"/>
    <w:lvl w:ilvl="0" w:tplc="E2125E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14FD94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B6660A68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B3C03A4A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7ECA8D04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42FE8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386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8C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A4B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C858E4"/>
    <w:multiLevelType w:val="hybridMultilevel"/>
    <w:tmpl w:val="882C6ED4"/>
    <w:lvl w:ilvl="0" w:tplc="3E2EB740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9BDA642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6C80E0F0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1B305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EF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AD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1A2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0E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DA6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6"/>
    <w:lvlOverride w:ilvl="0">
      <w:startOverride w:val="1"/>
    </w:lvlOverride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0"/>
  </w:num>
  <w:num w:numId="22">
    <w:abstractNumId w:val="14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64"/>
    <w:rsid w:val="000274F9"/>
    <w:rsid w:val="00062AE8"/>
    <w:rsid w:val="00095F2E"/>
    <w:rsid w:val="000A1F08"/>
    <w:rsid w:val="000C7F40"/>
    <w:rsid w:val="000E7A36"/>
    <w:rsid w:val="00114529"/>
    <w:rsid w:val="001259F3"/>
    <w:rsid w:val="0014116F"/>
    <w:rsid w:val="00146F37"/>
    <w:rsid w:val="001668F0"/>
    <w:rsid w:val="001737F2"/>
    <w:rsid w:val="001E7D46"/>
    <w:rsid w:val="002261AD"/>
    <w:rsid w:val="0022636C"/>
    <w:rsid w:val="002430FB"/>
    <w:rsid w:val="00264541"/>
    <w:rsid w:val="00291EAB"/>
    <w:rsid w:val="002E74C7"/>
    <w:rsid w:val="002F3610"/>
    <w:rsid w:val="0032099A"/>
    <w:rsid w:val="003542B0"/>
    <w:rsid w:val="003930D4"/>
    <w:rsid w:val="003F7A8D"/>
    <w:rsid w:val="00413E00"/>
    <w:rsid w:val="00426605"/>
    <w:rsid w:val="00426C91"/>
    <w:rsid w:val="004305FE"/>
    <w:rsid w:val="00434F45"/>
    <w:rsid w:val="004413FB"/>
    <w:rsid w:val="00456DC0"/>
    <w:rsid w:val="00467948"/>
    <w:rsid w:val="004751E1"/>
    <w:rsid w:val="0048185B"/>
    <w:rsid w:val="00487EB0"/>
    <w:rsid w:val="0049306C"/>
    <w:rsid w:val="004A0A10"/>
    <w:rsid w:val="004A729F"/>
    <w:rsid w:val="004D5E19"/>
    <w:rsid w:val="004F248E"/>
    <w:rsid w:val="004F34AD"/>
    <w:rsid w:val="00512484"/>
    <w:rsid w:val="00512724"/>
    <w:rsid w:val="00516364"/>
    <w:rsid w:val="00540127"/>
    <w:rsid w:val="005760AA"/>
    <w:rsid w:val="0057761A"/>
    <w:rsid w:val="00593E6D"/>
    <w:rsid w:val="005A08A3"/>
    <w:rsid w:val="005A557E"/>
    <w:rsid w:val="005D0436"/>
    <w:rsid w:val="005E0BE4"/>
    <w:rsid w:val="005F336D"/>
    <w:rsid w:val="005F4BB3"/>
    <w:rsid w:val="00643D88"/>
    <w:rsid w:val="006A00A9"/>
    <w:rsid w:val="006A24C6"/>
    <w:rsid w:val="006B4CE1"/>
    <w:rsid w:val="006F7C93"/>
    <w:rsid w:val="00700C2D"/>
    <w:rsid w:val="00733AB3"/>
    <w:rsid w:val="007438EC"/>
    <w:rsid w:val="00743A6E"/>
    <w:rsid w:val="00784075"/>
    <w:rsid w:val="007F78E5"/>
    <w:rsid w:val="00821FFA"/>
    <w:rsid w:val="00833F5D"/>
    <w:rsid w:val="00846FD7"/>
    <w:rsid w:val="00871518"/>
    <w:rsid w:val="0088054D"/>
    <w:rsid w:val="00883519"/>
    <w:rsid w:val="008A3323"/>
    <w:rsid w:val="008C3C1B"/>
    <w:rsid w:val="008E446B"/>
    <w:rsid w:val="009937A3"/>
    <w:rsid w:val="009946A3"/>
    <w:rsid w:val="009C6183"/>
    <w:rsid w:val="00A15E06"/>
    <w:rsid w:val="00A171B2"/>
    <w:rsid w:val="00A32A82"/>
    <w:rsid w:val="00A35A63"/>
    <w:rsid w:val="00A41D1E"/>
    <w:rsid w:val="00A477BB"/>
    <w:rsid w:val="00A670F8"/>
    <w:rsid w:val="00A865FC"/>
    <w:rsid w:val="00AA263C"/>
    <w:rsid w:val="00AF3659"/>
    <w:rsid w:val="00B31589"/>
    <w:rsid w:val="00B409A0"/>
    <w:rsid w:val="00B607E4"/>
    <w:rsid w:val="00BB50A5"/>
    <w:rsid w:val="00BC5931"/>
    <w:rsid w:val="00BD60D5"/>
    <w:rsid w:val="00BE5C59"/>
    <w:rsid w:val="00BF16A9"/>
    <w:rsid w:val="00C4699D"/>
    <w:rsid w:val="00C61E60"/>
    <w:rsid w:val="00C83B66"/>
    <w:rsid w:val="00CA60EF"/>
    <w:rsid w:val="00CB218A"/>
    <w:rsid w:val="00CB36BA"/>
    <w:rsid w:val="00D060C1"/>
    <w:rsid w:val="00D50CE5"/>
    <w:rsid w:val="00D53A91"/>
    <w:rsid w:val="00D67514"/>
    <w:rsid w:val="00D8326F"/>
    <w:rsid w:val="00D872EA"/>
    <w:rsid w:val="00DA40D6"/>
    <w:rsid w:val="00DC1573"/>
    <w:rsid w:val="00DD20FA"/>
    <w:rsid w:val="00DE7D36"/>
    <w:rsid w:val="00E1229E"/>
    <w:rsid w:val="00E324E8"/>
    <w:rsid w:val="00E51E43"/>
    <w:rsid w:val="00E8642F"/>
    <w:rsid w:val="00EA3956"/>
    <w:rsid w:val="00EC4C13"/>
    <w:rsid w:val="00F10CDF"/>
    <w:rsid w:val="00F30DE3"/>
    <w:rsid w:val="00F53488"/>
    <w:rsid w:val="00F65F53"/>
    <w:rsid w:val="00FC5928"/>
    <w:rsid w:val="00FD0EBF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A8A7E2"/>
  <w15:docId w15:val="{6AEF2305-AA75-45EA-93BC-CB64016C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59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5C59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BE5C59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BE5C59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BE5C59"/>
    <w:pPr>
      <w:numPr>
        <w:numId w:val="17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E5C59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sid w:val="00BE5C59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BE5C59"/>
    <w:pPr>
      <w:outlineLvl w:val="2"/>
    </w:pPr>
  </w:style>
  <w:style w:type="paragraph" w:customStyle="1" w:styleId="TableBlock">
    <w:name w:val="Table Block"/>
    <w:basedOn w:val="TableText"/>
    <w:rsid w:val="00BE5C59"/>
    <w:pPr>
      <w:jc w:val="both"/>
    </w:pPr>
  </w:style>
  <w:style w:type="paragraph" w:customStyle="1" w:styleId="TableHead">
    <w:name w:val="Table Head"/>
    <w:basedOn w:val="TableText"/>
    <w:rsid w:val="00BE5C59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BE5C59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BE5C59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Writers">
    <w:name w:val="Hesber Writers"/>
    <w:basedOn w:val="Hesber"/>
    <w:rsid w:val="00BE5C59"/>
    <w:pPr>
      <w:spacing w:before="120" w:after="120"/>
      <w:ind w:left="1418"/>
      <w:jc w:val="right"/>
    </w:pPr>
    <w:rPr>
      <w:b/>
      <w:bCs/>
    </w:rPr>
  </w:style>
  <w:style w:type="paragraph" w:customStyle="1" w:styleId="Hesber1st">
    <w:name w:val="Hesber 1st"/>
    <w:basedOn w:val="Hesber"/>
    <w:rsid w:val="00BE5C59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BE5C59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paragraph" w:customStyle="1" w:styleId="HeadHatzaotHok4Futer">
    <w:name w:val="Head HatzaotHok4Futer"/>
    <w:basedOn w:val="HeadHatzaotHok"/>
    <w:rsid w:val="00BE5C59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BE5C59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516364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BE5C59"/>
    <w:pPr>
      <w:outlineLvl w:val="9"/>
    </w:pPr>
  </w:style>
  <w:style w:type="paragraph" w:customStyle="1" w:styleId="Hesber">
    <w:name w:val="Hesber"/>
    <w:basedOn w:val="a"/>
    <w:rsid w:val="00BE5C59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rsid w:val="00BE5C59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rsid w:val="00516364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_0"/>
    <w:basedOn w:val="a0"/>
    <w:semiHidden/>
    <w:rsid w:val="00BE5C59"/>
    <w:rPr>
      <w:vertAlign w:val="superscript"/>
    </w:rPr>
  </w:style>
  <w:style w:type="paragraph" w:customStyle="1" w:styleId="HesberHeading">
    <w:name w:val="Hesber Heading"/>
    <w:basedOn w:val="Hesber"/>
    <w:rsid w:val="00BE5C59"/>
    <w:pPr>
      <w:tabs>
        <w:tab w:val="left" w:pos="624"/>
        <w:tab w:val="left" w:pos="1247"/>
      </w:tabs>
    </w:pPr>
    <w:rPr>
      <w:b/>
      <w:bCs/>
    </w:rPr>
  </w:style>
  <w:style w:type="character" w:styleId="a8">
    <w:name w:val="endnote reference"/>
    <w:basedOn w:val="a0"/>
    <w:semiHidden/>
    <w:rsid w:val="00BE5C59"/>
    <w:rPr>
      <w:vertAlign w:val="superscript"/>
    </w:rPr>
  </w:style>
  <w:style w:type="paragraph" w:customStyle="1" w:styleId="TableBlockOutdent">
    <w:name w:val="Table BlockOutdent"/>
    <w:basedOn w:val="TableBlock"/>
    <w:rsid w:val="00BE5C59"/>
    <w:pPr>
      <w:ind w:left="624" w:hanging="624"/>
    </w:pPr>
  </w:style>
  <w:style w:type="paragraph" w:styleId="a9">
    <w:name w:val="header"/>
    <w:basedOn w:val="a"/>
    <w:link w:val="aa"/>
    <w:rsid w:val="00BE5C59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516364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BE5C59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516364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BE5C59"/>
  </w:style>
  <w:style w:type="paragraph" w:customStyle="1" w:styleId="Cover1-Reshumot">
    <w:name w:val="Cover 1-Reshumot"/>
    <w:basedOn w:val="a"/>
    <w:rsid w:val="00BE5C59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BE5C59"/>
    <w:rPr>
      <w:sz w:val="36"/>
      <w:szCs w:val="52"/>
    </w:rPr>
  </w:style>
  <w:style w:type="paragraph" w:customStyle="1" w:styleId="Cover3-Haknesset">
    <w:name w:val="Cover 3-Haknesset"/>
    <w:basedOn w:val="Cover1-Reshumot"/>
    <w:rsid w:val="00BE5C59"/>
    <w:rPr>
      <w:b/>
      <w:bCs/>
      <w:spacing w:val="60"/>
    </w:rPr>
  </w:style>
  <w:style w:type="paragraph" w:customStyle="1" w:styleId="Cover4-Date">
    <w:name w:val="Cover 4-Date"/>
    <w:basedOn w:val="a"/>
    <w:rsid w:val="00BE5C59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BE5C59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character" w:styleId="ae">
    <w:name w:val="annotation reference"/>
    <w:basedOn w:val="a0"/>
    <w:uiPriority w:val="99"/>
    <w:semiHidden/>
    <w:unhideWhenUsed/>
    <w:rsid w:val="004930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9306C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49306C"/>
    <w:rPr>
      <w:rFonts w:ascii="Hadasa Roso SL" w:eastAsia="MS Mincho" w:hAnsi="Hadasa Roso SL" w:cs="Hadasa Roso SL"/>
      <w:color w:val="000000"/>
      <w:spacing w:val="1"/>
      <w:sz w:val="20"/>
      <w:szCs w:val="20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306C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49306C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paragraph" w:styleId="af3">
    <w:name w:val="Balloon Text"/>
    <w:basedOn w:val="a"/>
    <w:link w:val="af4"/>
    <w:uiPriority w:val="99"/>
    <w:semiHidden/>
    <w:unhideWhenUsed/>
    <w:rsid w:val="0049306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4">
    <w:name w:val="טקסט בלונים תו"/>
    <w:basedOn w:val="a0"/>
    <w:link w:val="af3"/>
    <w:uiPriority w:val="99"/>
    <w:semiHidden/>
    <w:rsid w:val="0049306C"/>
    <w:rPr>
      <w:rFonts w:ascii="Tahoma" w:eastAsia="MS Mincho" w:hAnsi="Tahoma" w:cs="Tahoma"/>
      <w:color w:val="000000"/>
      <w:spacing w:val="1"/>
      <w:sz w:val="18"/>
      <w:szCs w:val="18"/>
      <w:lang w:eastAsia="ja-JP"/>
    </w:rPr>
  </w:style>
  <w:style w:type="character" w:customStyle="1" w:styleId="10">
    <w:name w:val="כותרת 1 תו"/>
    <w:basedOn w:val="a0"/>
    <w:link w:val="1"/>
    <w:uiPriority w:val="9"/>
    <w:rsid w:val="00BE5C59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20">
    <w:name w:val="כותרת 2 תו"/>
    <w:basedOn w:val="a0"/>
    <w:link w:val="2"/>
    <w:rsid w:val="00BE5C59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BE5C59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40">
    <w:name w:val="כותרת 4 תו"/>
    <w:basedOn w:val="a0"/>
    <w:link w:val="4"/>
    <w:uiPriority w:val="9"/>
    <w:rsid w:val="00BE5C59"/>
    <w:rPr>
      <w:rFonts w:ascii="David" w:hAnsi="David" w:cs="David"/>
      <w:b/>
      <w:bCs/>
      <w:color w:val="000000" w:themeColor="text1"/>
      <w:sz w:val="24"/>
      <w:szCs w:val="28"/>
    </w:rPr>
  </w:style>
  <w:style w:type="character" w:customStyle="1" w:styleId="50">
    <w:name w:val="כותרת 5 תו"/>
    <w:basedOn w:val="a0"/>
    <w:link w:val="5"/>
    <w:uiPriority w:val="9"/>
    <w:rsid w:val="00BE5C59"/>
    <w:rPr>
      <w:rFonts w:ascii="David" w:hAnsi="David" w:cs="David"/>
      <w:color w:val="000000" w:themeColor="text1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BE5C59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BE5C59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BE5C59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BE5C59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BE5C59"/>
    <w:pPr>
      <w:numPr>
        <w:numId w:val="20"/>
      </w:numPr>
      <w:tabs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nhideWhenUsed/>
    <w:qFormat/>
    <w:rsid w:val="00BE5C59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BE5C59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BE5C59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BE5C59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BE5C59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BE5C59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BE5C59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BE5C59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BE5C59"/>
    <w:rPr>
      <w:rFonts w:eastAsia="Times New Roman"/>
    </w:rPr>
  </w:style>
  <w:style w:type="paragraph" w:styleId="af6">
    <w:name w:val="List Paragraph"/>
    <w:basedOn w:val="a"/>
    <w:uiPriority w:val="34"/>
    <w:qFormat/>
    <w:rsid w:val="00BE5C59"/>
    <w:pPr>
      <w:widowControl/>
      <w:spacing w:line="259" w:lineRule="auto"/>
    </w:pPr>
    <w:rPr>
      <w:rFonts w:asciiTheme="minorHAnsi" w:hAnsiTheme="minorHAnsi"/>
      <w:sz w:val="22"/>
    </w:rPr>
  </w:style>
  <w:style w:type="table" w:styleId="af7">
    <w:name w:val="Table Grid"/>
    <w:basedOn w:val="a1"/>
    <w:rsid w:val="00BE5C5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ה רגילה 11"/>
    <w:basedOn w:val="a1"/>
    <w:uiPriority w:val="41"/>
    <w:rsid w:val="00EC4C1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0">
    <w:name w:val="טבלת רשת 1 בהירה1"/>
    <w:basedOn w:val="a1"/>
    <w:uiPriority w:val="46"/>
    <w:rsid w:val="00EC4C1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8">
    <w:name w:val="טבלת חקיקה"/>
    <w:basedOn w:val="a1"/>
    <w:uiPriority w:val="99"/>
    <w:rsid w:val="00BE5C59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2">
    <w:name w:val="סגנון1"/>
    <w:basedOn w:val="a1"/>
    <w:uiPriority w:val="99"/>
    <w:rsid w:val="00BE5C5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table" w:customStyle="1" w:styleId="120">
    <w:name w:val="טבלה רגילה 12"/>
    <w:basedOn w:val="a1"/>
    <w:uiPriority w:val="41"/>
    <w:rsid w:val="00BE5C5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טבלת רשת 1 בהירה2"/>
    <w:basedOn w:val="a1"/>
    <w:uiPriority w:val="46"/>
    <w:rsid w:val="00BE5C5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5D77-50D0-4712-8176-3BD31BF6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Clement</dc:creator>
  <cp:lastModifiedBy>Merav Kaplan - Chamber Of Commerce</cp:lastModifiedBy>
  <cp:revision>2</cp:revision>
  <dcterms:created xsi:type="dcterms:W3CDTF">2021-04-07T08:20:00Z</dcterms:created>
  <dcterms:modified xsi:type="dcterms:W3CDTF">2021-04-07T08:20:00Z</dcterms:modified>
</cp:coreProperties>
</file>