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78" w:rsidRDefault="00767D78" w:rsidP="005F0271">
      <w:pPr>
        <w:jc w:val="center"/>
        <w:rPr>
          <w:b/>
          <w:bCs/>
          <w:sz w:val="26"/>
          <w:szCs w:val="26"/>
          <w:rtl/>
        </w:rPr>
      </w:pPr>
      <w:bookmarkStart w:id="0" w:name="_Toc13750990"/>
      <w:bookmarkStart w:id="1" w:name="_Toc13750997"/>
      <w:bookmarkStart w:id="2" w:name="_Toc13751012"/>
      <w:bookmarkStart w:id="3" w:name="_Toc13751028"/>
      <w:bookmarkStart w:id="4" w:name="_Toc13751046"/>
      <w:bookmarkStart w:id="5" w:name="_Toc13751064"/>
      <w:bookmarkStart w:id="6" w:name="_GoBack"/>
      <w:bookmarkEnd w:id="6"/>
      <w:r>
        <w:rPr>
          <w:noProof/>
        </w:rPr>
        <w:drawing>
          <wp:inline distT="0" distB="0" distL="0" distR="0" wp14:anchorId="2EF86A0C" wp14:editId="0B091937">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767D78" w:rsidRDefault="00767D78" w:rsidP="005F0271">
      <w:pPr>
        <w:rPr>
          <w:b/>
          <w:bCs/>
          <w:sz w:val="26"/>
          <w:szCs w:val="26"/>
          <w:rtl/>
        </w:rPr>
      </w:pPr>
      <w:r w:rsidRPr="00CB5068">
        <w:rPr>
          <w:b/>
          <w:bCs/>
          <w:sz w:val="26"/>
          <w:szCs w:val="26"/>
          <w:rtl/>
        </w:rPr>
        <w:t>תוכן עניינים</w:t>
      </w:r>
    </w:p>
    <w:p w:rsidR="00767D78" w:rsidRDefault="00767D78" w:rsidP="00767D78">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3751078" w:history="1">
        <w:r w:rsidRPr="00291596">
          <w:rPr>
            <w:rStyle w:val="Hyperlink"/>
            <w:rFonts w:hint="eastAsia"/>
            <w:noProof/>
            <w:rtl/>
          </w:rPr>
          <w:t>טיוטת</w:t>
        </w:r>
        <w:r w:rsidRPr="00291596">
          <w:rPr>
            <w:rStyle w:val="Hyperlink"/>
            <w:noProof/>
            <w:rtl/>
          </w:rPr>
          <w:t xml:space="preserve"> </w:t>
        </w:r>
        <w:r w:rsidRPr="00291596">
          <w:rPr>
            <w:rStyle w:val="Hyperlink"/>
            <w:rFonts w:hint="eastAsia"/>
            <w:noProof/>
            <w:rtl/>
          </w:rPr>
          <w:t>נוהל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Toc13751078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67D78" w:rsidRDefault="00363345" w:rsidP="00767D78">
      <w:pPr>
        <w:pStyle w:val="TOC4"/>
        <w:rPr>
          <w:rFonts w:cstheme="minorBidi"/>
          <w:rtl/>
        </w:rPr>
      </w:pPr>
      <w:hyperlink w:anchor="_Toc13751079" w:history="1">
        <w:r w:rsidR="00767D78" w:rsidRPr="00291596">
          <w:rPr>
            <w:rStyle w:val="Hyperlink"/>
            <w:rFonts w:hint="eastAsia"/>
            <w:rtl/>
          </w:rPr>
          <w:t>א</w:t>
        </w:r>
        <w:r w:rsidR="00767D78" w:rsidRPr="00291596">
          <w:rPr>
            <w:rStyle w:val="Hyperlink"/>
            <w:rtl/>
          </w:rPr>
          <w:t xml:space="preserve">. </w:t>
        </w:r>
        <w:r w:rsidR="00767D78" w:rsidRPr="00291596">
          <w:rPr>
            <w:rStyle w:val="Hyperlink"/>
            <w:rFonts w:hint="eastAsia"/>
            <w:rtl/>
          </w:rPr>
          <w:t>שם</w:t>
        </w:r>
        <w:r w:rsidR="00767D78" w:rsidRPr="00291596">
          <w:rPr>
            <w:rStyle w:val="Hyperlink"/>
            <w:rtl/>
          </w:rPr>
          <w:t xml:space="preserve"> </w:t>
        </w:r>
        <w:r w:rsidR="00767D78" w:rsidRPr="00291596">
          <w:rPr>
            <w:rStyle w:val="Hyperlink"/>
            <w:rFonts w:hint="eastAsia"/>
            <w:rtl/>
          </w:rPr>
          <w:t>הנוהל</w:t>
        </w:r>
        <w:r w:rsidR="00767D78" w:rsidRPr="00291596">
          <w:rPr>
            <w:rStyle w:val="Hyperlink"/>
            <w:rtl/>
          </w:rPr>
          <w:t xml:space="preserve"> </w:t>
        </w:r>
        <w:r w:rsidR="00767D78" w:rsidRPr="00291596">
          <w:rPr>
            <w:rStyle w:val="Hyperlink"/>
            <w:rFonts w:hint="eastAsia"/>
            <w:rtl/>
          </w:rPr>
          <w:t>המוצע</w:t>
        </w:r>
        <w:r w:rsidR="00767D78">
          <w:rPr>
            <w:webHidden/>
            <w:rtl/>
          </w:rPr>
          <w:tab/>
        </w:r>
        <w:r w:rsidR="00767D78">
          <w:rPr>
            <w:rStyle w:val="Hyperlink"/>
            <w:rtl/>
          </w:rPr>
          <w:fldChar w:fldCharType="begin"/>
        </w:r>
        <w:r w:rsidR="00767D78">
          <w:rPr>
            <w:webHidden/>
            <w:rtl/>
          </w:rPr>
          <w:instrText xml:space="preserve"> </w:instrText>
        </w:r>
        <w:r w:rsidR="00767D78">
          <w:rPr>
            <w:webHidden/>
          </w:rPr>
          <w:instrText>PAGEREF</w:instrText>
        </w:r>
        <w:r w:rsidR="00767D78">
          <w:rPr>
            <w:webHidden/>
            <w:rtl/>
          </w:rPr>
          <w:instrText xml:space="preserve"> _</w:instrText>
        </w:r>
        <w:r w:rsidR="00767D78">
          <w:rPr>
            <w:webHidden/>
          </w:rPr>
          <w:instrText>Toc13751079 \h</w:instrText>
        </w:r>
        <w:r w:rsidR="00767D78">
          <w:rPr>
            <w:webHidden/>
            <w:rtl/>
          </w:rPr>
          <w:instrText xml:space="preserve"> </w:instrText>
        </w:r>
        <w:r w:rsidR="00767D78">
          <w:rPr>
            <w:rStyle w:val="Hyperlink"/>
            <w:rtl/>
          </w:rPr>
        </w:r>
        <w:r w:rsidR="00767D78">
          <w:rPr>
            <w:rStyle w:val="Hyperlink"/>
            <w:rtl/>
          </w:rPr>
          <w:fldChar w:fldCharType="separate"/>
        </w:r>
        <w:r w:rsidR="00767D78">
          <w:rPr>
            <w:webHidden/>
            <w:rtl/>
          </w:rPr>
          <w:t>2</w:t>
        </w:r>
        <w:r w:rsidR="00767D78">
          <w:rPr>
            <w:rStyle w:val="Hyperlink"/>
            <w:rtl/>
          </w:rPr>
          <w:fldChar w:fldCharType="end"/>
        </w:r>
      </w:hyperlink>
    </w:p>
    <w:p w:rsidR="00767D78" w:rsidRDefault="00363345" w:rsidP="00767D78">
      <w:pPr>
        <w:pStyle w:val="TOC4"/>
        <w:rPr>
          <w:rFonts w:cstheme="minorBidi"/>
          <w:rtl/>
        </w:rPr>
      </w:pPr>
      <w:hyperlink w:anchor="_Toc13751080" w:history="1">
        <w:r w:rsidR="00767D78" w:rsidRPr="00291596">
          <w:rPr>
            <w:rStyle w:val="Hyperlink"/>
            <w:rFonts w:hint="eastAsia"/>
            <w:rtl/>
          </w:rPr>
          <w:t>ב</w:t>
        </w:r>
        <w:r w:rsidR="00767D78" w:rsidRPr="00291596">
          <w:rPr>
            <w:rStyle w:val="Hyperlink"/>
            <w:rtl/>
          </w:rPr>
          <w:t xml:space="preserve">. </w:t>
        </w:r>
        <w:r w:rsidR="00767D78" w:rsidRPr="00291596">
          <w:rPr>
            <w:rStyle w:val="Hyperlink"/>
            <w:rFonts w:hint="eastAsia"/>
            <w:rtl/>
          </w:rPr>
          <w:t>מטרת</w:t>
        </w:r>
        <w:r w:rsidR="00767D78" w:rsidRPr="00291596">
          <w:rPr>
            <w:rStyle w:val="Hyperlink"/>
            <w:rtl/>
          </w:rPr>
          <w:t xml:space="preserve"> </w:t>
        </w:r>
        <w:r w:rsidR="00767D78" w:rsidRPr="00291596">
          <w:rPr>
            <w:rStyle w:val="Hyperlink"/>
            <w:rFonts w:hint="eastAsia"/>
            <w:rtl/>
          </w:rPr>
          <w:t>הנוהל</w:t>
        </w:r>
        <w:r w:rsidR="00767D78" w:rsidRPr="00291596">
          <w:rPr>
            <w:rStyle w:val="Hyperlink"/>
            <w:rtl/>
          </w:rPr>
          <w:t xml:space="preserve"> </w:t>
        </w:r>
        <w:r w:rsidR="00767D78" w:rsidRPr="00291596">
          <w:rPr>
            <w:rStyle w:val="Hyperlink"/>
            <w:rFonts w:hint="eastAsia"/>
            <w:rtl/>
          </w:rPr>
          <w:t>המוצע</w:t>
        </w:r>
        <w:r w:rsidR="00767D78" w:rsidRPr="00291596">
          <w:rPr>
            <w:rStyle w:val="Hyperlink"/>
            <w:rtl/>
          </w:rPr>
          <w:t xml:space="preserve"> </w:t>
        </w:r>
        <w:r w:rsidR="00767D78" w:rsidRPr="00291596">
          <w:rPr>
            <w:rStyle w:val="Hyperlink"/>
            <w:rFonts w:hint="eastAsia"/>
            <w:rtl/>
          </w:rPr>
          <w:t>והצורך</w:t>
        </w:r>
        <w:r w:rsidR="00767D78" w:rsidRPr="00291596">
          <w:rPr>
            <w:rStyle w:val="Hyperlink"/>
            <w:rtl/>
          </w:rPr>
          <w:t xml:space="preserve"> </w:t>
        </w:r>
        <w:r w:rsidR="00767D78" w:rsidRPr="00291596">
          <w:rPr>
            <w:rStyle w:val="Hyperlink"/>
            <w:rFonts w:hint="eastAsia"/>
            <w:rtl/>
          </w:rPr>
          <w:t>בו</w:t>
        </w:r>
        <w:r w:rsidR="00767D78">
          <w:rPr>
            <w:webHidden/>
            <w:rtl/>
          </w:rPr>
          <w:tab/>
        </w:r>
        <w:r w:rsidR="00767D78">
          <w:rPr>
            <w:rStyle w:val="Hyperlink"/>
            <w:rtl/>
          </w:rPr>
          <w:fldChar w:fldCharType="begin"/>
        </w:r>
        <w:r w:rsidR="00767D78">
          <w:rPr>
            <w:webHidden/>
            <w:rtl/>
          </w:rPr>
          <w:instrText xml:space="preserve"> </w:instrText>
        </w:r>
        <w:r w:rsidR="00767D78">
          <w:rPr>
            <w:webHidden/>
          </w:rPr>
          <w:instrText>PAGEREF</w:instrText>
        </w:r>
        <w:r w:rsidR="00767D78">
          <w:rPr>
            <w:webHidden/>
            <w:rtl/>
          </w:rPr>
          <w:instrText xml:space="preserve"> _</w:instrText>
        </w:r>
        <w:r w:rsidR="00767D78">
          <w:rPr>
            <w:webHidden/>
          </w:rPr>
          <w:instrText>Toc13751080 \h</w:instrText>
        </w:r>
        <w:r w:rsidR="00767D78">
          <w:rPr>
            <w:webHidden/>
            <w:rtl/>
          </w:rPr>
          <w:instrText xml:space="preserve"> </w:instrText>
        </w:r>
        <w:r w:rsidR="00767D78">
          <w:rPr>
            <w:rStyle w:val="Hyperlink"/>
            <w:rtl/>
          </w:rPr>
        </w:r>
        <w:r w:rsidR="00767D78">
          <w:rPr>
            <w:rStyle w:val="Hyperlink"/>
            <w:rtl/>
          </w:rPr>
          <w:fldChar w:fldCharType="separate"/>
        </w:r>
        <w:r w:rsidR="00767D78">
          <w:rPr>
            <w:webHidden/>
            <w:rtl/>
          </w:rPr>
          <w:t>2</w:t>
        </w:r>
        <w:r w:rsidR="00767D78">
          <w:rPr>
            <w:rStyle w:val="Hyperlink"/>
            <w:rtl/>
          </w:rPr>
          <w:fldChar w:fldCharType="end"/>
        </w:r>
      </w:hyperlink>
    </w:p>
    <w:p w:rsidR="00767D78" w:rsidRDefault="00363345" w:rsidP="00767D78">
      <w:pPr>
        <w:pStyle w:val="TOC4"/>
        <w:rPr>
          <w:rFonts w:cstheme="minorBidi"/>
          <w:rtl/>
        </w:rPr>
      </w:pPr>
      <w:hyperlink w:anchor="_Toc13751082" w:history="1">
        <w:r w:rsidR="00767D78" w:rsidRPr="00291596">
          <w:rPr>
            <w:rStyle w:val="Hyperlink"/>
            <w:rFonts w:hint="eastAsia"/>
            <w:rtl/>
          </w:rPr>
          <w:t>ג</w:t>
        </w:r>
        <w:r w:rsidR="00767D78" w:rsidRPr="00291596">
          <w:rPr>
            <w:rStyle w:val="Hyperlink"/>
            <w:rtl/>
          </w:rPr>
          <w:t xml:space="preserve">. </w:t>
        </w:r>
        <w:r w:rsidR="00767D78" w:rsidRPr="00291596">
          <w:rPr>
            <w:rStyle w:val="Hyperlink"/>
            <w:rFonts w:hint="eastAsia"/>
            <w:rtl/>
          </w:rPr>
          <w:t>להלן</w:t>
        </w:r>
        <w:r w:rsidR="00767D78" w:rsidRPr="00291596">
          <w:rPr>
            <w:rStyle w:val="Hyperlink"/>
            <w:rtl/>
          </w:rPr>
          <w:t xml:space="preserve"> </w:t>
        </w:r>
        <w:r w:rsidR="00767D78" w:rsidRPr="00291596">
          <w:rPr>
            <w:rStyle w:val="Hyperlink"/>
            <w:rFonts w:hint="eastAsia"/>
            <w:rtl/>
          </w:rPr>
          <w:t>נוסח</w:t>
        </w:r>
        <w:r w:rsidR="00767D78" w:rsidRPr="00291596">
          <w:rPr>
            <w:rStyle w:val="Hyperlink"/>
            <w:rtl/>
          </w:rPr>
          <w:t xml:space="preserve"> </w:t>
        </w:r>
        <w:r w:rsidR="00767D78" w:rsidRPr="00291596">
          <w:rPr>
            <w:rStyle w:val="Hyperlink"/>
            <w:rFonts w:hint="eastAsia"/>
            <w:rtl/>
          </w:rPr>
          <w:t>טיוטת</w:t>
        </w:r>
        <w:r w:rsidR="00767D78" w:rsidRPr="00291596">
          <w:rPr>
            <w:rStyle w:val="Hyperlink"/>
            <w:rtl/>
          </w:rPr>
          <w:t xml:space="preserve"> </w:t>
        </w:r>
        <w:r w:rsidR="00767D78" w:rsidRPr="00291596">
          <w:rPr>
            <w:rStyle w:val="Hyperlink"/>
            <w:rFonts w:hint="eastAsia"/>
            <w:rtl/>
          </w:rPr>
          <w:t>הכללים</w:t>
        </w:r>
        <w:r w:rsidR="00767D78" w:rsidRPr="00291596">
          <w:rPr>
            <w:rStyle w:val="Hyperlink"/>
            <w:rtl/>
          </w:rPr>
          <w:t xml:space="preserve"> </w:t>
        </w:r>
        <w:r w:rsidR="00767D78" w:rsidRPr="00291596">
          <w:rPr>
            <w:rStyle w:val="Hyperlink"/>
            <w:rFonts w:hint="eastAsia"/>
            <w:rtl/>
          </w:rPr>
          <w:t>המוצעים</w:t>
        </w:r>
        <w:r w:rsidR="00767D78" w:rsidRPr="00291596">
          <w:rPr>
            <w:rStyle w:val="Hyperlink"/>
            <w:rtl/>
          </w:rPr>
          <w:t>:</w:t>
        </w:r>
        <w:r w:rsidR="00767D78">
          <w:rPr>
            <w:webHidden/>
            <w:rtl/>
          </w:rPr>
          <w:tab/>
        </w:r>
        <w:r w:rsidR="00767D78">
          <w:rPr>
            <w:rStyle w:val="Hyperlink"/>
            <w:rtl/>
          </w:rPr>
          <w:fldChar w:fldCharType="begin"/>
        </w:r>
        <w:r w:rsidR="00767D78">
          <w:rPr>
            <w:webHidden/>
            <w:rtl/>
          </w:rPr>
          <w:instrText xml:space="preserve"> </w:instrText>
        </w:r>
        <w:r w:rsidR="00767D78">
          <w:rPr>
            <w:webHidden/>
          </w:rPr>
          <w:instrText>PAGEREF</w:instrText>
        </w:r>
        <w:r w:rsidR="00767D78">
          <w:rPr>
            <w:webHidden/>
            <w:rtl/>
          </w:rPr>
          <w:instrText xml:space="preserve"> _</w:instrText>
        </w:r>
        <w:r w:rsidR="00767D78">
          <w:rPr>
            <w:webHidden/>
          </w:rPr>
          <w:instrText>Toc13751082 \h</w:instrText>
        </w:r>
        <w:r w:rsidR="00767D78">
          <w:rPr>
            <w:webHidden/>
            <w:rtl/>
          </w:rPr>
          <w:instrText xml:space="preserve"> </w:instrText>
        </w:r>
        <w:r w:rsidR="00767D78">
          <w:rPr>
            <w:rStyle w:val="Hyperlink"/>
            <w:rtl/>
          </w:rPr>
        </w:r>
        <w:r w:rsidR="00767D78">
          <w:rPr>
            <w:rStyle w:val="Hyperlink"/>
            <w:rtl/>
          </w:rPr>
          <w:fldChar w:fldCharType="separate"/>
        </w:r>
        <w:r w:rsidR="00767D78">
          <w:rPr>
            <w:webHidden/>
            <w:rtl/>
          </w:rPr>
          <w:t>2</w:t>
        </w:r>
        <w:r w:rsidR="00767D78">
          <w:rPr>
            <w:rStyle w:val="Hyperlink"/>
            <w:rtl/>
          </w:rPr>
          <w:fldChar w:fldCharType="end"/>
        </w:r>
      </w:hyperlink>
    </w:p>
    <w:p w:rsidR="00767D78" w:rsidRDefault="00363345" w:rsidP="00767D78">
      <w:pPr>
        <w:pStyle w:val="TOC1"/>
        <w:rPr>
          <w:rFonts w:asciiTheme="minorHAnsi" w:eastAsiaTheme="minorEastAsia" w:hAnsiTheme="minorHAnsi" w:cstheme="minorBidi"/>
          <w:bCs w:val="0"/>
          <w:noProof/>
          <w:sz w:val="22"/>
          <w:rtl/>
        </w:rPr>
      </w:pPr>
      <w:hyperlink w:anchor="_Toc13751083" w:history="1">
        <w:r w:rsidR="00767D78" w:rsidRPr="00291596">
          <w:rPr>
            <w:rStyle w:val="Hyperlink"/>
            <w:rFonts w:hint="eastAsia"/>
            <w:noProof/>
            <w:rtl/>
          </w:rPr>
          <w:t>נוהל</w:t>
        </w:r>
        <w:r w:rsidR="00767D78" w:rsidRPr="00291596">
          <w:rPr>
            <w:rStyle w:val="Hyperlink"/>
            <w:noProof/>
            <w:rtl/>
          </w:rPr>
          <w:t xml:space="preserve"> </w:t>
        </w:r>
        <w:r w:rsidR="00767D78" w:rsidRPr="00291596">
          <w:rPr>
            <w:rStyle w:val="Hyperlink"/>
            <w:rFonts w:hint="eastAsia"/>
            <w:noProof/>
            <w:rtl/>
          </w:rPr>
          <w:t>מדיניות</w:t>
        </w:r>
        <w:r w:rsidR="00767D78" w:rsidRPr="00291596">
          <w:rPr>
            <w:rStyle w:val="Hyperlink"/>
            <w:noProof/>
            <w:rtl/>
          </w:rPr>
          <w:t xml:space="preserve"> </w:t>
        </w:r>
        <w:r w:rsidR="00767D78" w:rsidRPr="00291596">
          <w:rPr>
            <w:rStyle w:val="Hyperlink"/>
            <w:rFonts w:hint="eastAsia"/>
            <w:noProof/>
            <w:rtl/>
          </w:rPr>
          <w:t>אכיפה</w:t>
        </w:r>
        <w:r w:rsidR="00767D78">
          <w:rPr>
            <w:noProof/>
            <w:webHidden/>
            <w:rtl/>
          </w:rPr>
          <w:tab/>
        </w:r>
        <w:r w:rsidR="00767D78">
          <w:rPr>
            <w:rStyle w:val="Hyperlink"/>
            <w:noProof/>
            <w:rtl/>
          </w:rPr>
          <w:fldChar w:fldCharType="begin"/>
        </w:r>
        <w:r w:rsidR="00767D78">
          <w:rPr>
            <w:noProof/>
            <w:webHidden/>
            <w:rtl/>
          </w:rPr>
          <w:instrText xml:space="preserve"> </w:instrText>
        </w:r>
        <w:r w:rsidR="00767D78">
          <w:rPr>
            <w:noProof/>
            <w:webHidden/>
          </w:rPr>
          <w:instrText>PAGEREF</w:instrText>
        </w:r>
        <w:r w:rsidR="00767D78">
          <w:rPr>
            <w:noProof/>
            <w:webHidden/>
            <w:rtl/>
          </w:rPr>
          <w:instrText xml:space="preserve"> _</w:instrText>
        </w:r>
        <w:r w:rsidR="00767D78">
          <w:rPr>
            <w:noProof/>
            <w:webHidden/>
          </w:rPr>
          <w:instrText>Toc13751083 \h</w:instrText>
        </w:r>
        <w:r w:rsidR="00767D78">
          <w:rPr>
            <w:noProof/>
            <w:webHidden/>
            <w:rtl/>
          </w:rPr>
          <w:instrText xml:space="preserve"> </w:instrText>
        </w:r>
        <w:r w:rsidR="00767D78">
          <w:rPr>
            <w:rStyle w:val="Hyperlink"/>
            <w:noProof/>
            <w:rtl/>
          </w:rPr>
        </w:r>
        <w:r w:rsidR="00767D78">
          <w:rPr>
            <w:rStyle w:val="Hyperlink"/>
            <w:noProof/>
            <w:rtl/>
          </w:rPr>
          <w:fldChar w:fldCharType="separate"/>
        </w:r>
        <w:r w:rsidR="00767D78">
          <w:rPr>
            <w:noProof/>
            <w:webHidden/>
            <w:rtl/>
          </w:rPr>
          <w:t>3</w:t>
        </w:r>
        <w:r w:rsidR="00767D78">
          <w:rPr>
            <w:rStyle w:val="Hyperlink"/>
            <w:noProof/>
            <w:rtl/>
          </w:rPr>
          <w:fldChar w:fldCharType="end"/>
        </w:r>
      </w:hyperlink>
    </w:p>
    <w:p w:rsidR="00767D78" w:rsidRDefault="00767D78" w:rsidP="00767D78">
      <w:pPr>
        <w:rPr>
          <w:snapToGrid w:val="0"/>
          <w:rtl/>
        </w:rPr>
      </w:pPr>
      <w:r>
        <w:rPr>
          <w:rtl/>
        </w:rPr>
        <w:fldChar w:fldCharType="end"/>
      </w:r>
      <w:r>
        <w:rPr>
          <w:rtl/>
        </w:rPr>
        <w:br w:type="page"/>
      </w:r>
    </w:p>
    <w:p w:rsidR="002565A9" w:rsidRDefault="002565A9" w:rsidP="002565A9">
      <w:pPr>
        <w:pStyle w:val="1"/>
        <w:keepNext w:val="0"/>
        <w:keepLines w:val="0"/>
      </w:pPr>
      <w:bookmarkStart w:id="7" w:name="_Toc13751070"/>
      <w:bookmarkStart w:id="8" w:name="_Toc13751078"/>
      <w:r>
        <w:rPr>
          <w:rtl/>
        </w:rPr>
        <w:lastRenderedPageBreak/>
        <w:t xml:space="preserve">טיוטת </w:t>
      </w:r>
      <w:r>
        <w:rPr>
          <w:rFonts w:hint="cs"/>
          <w:rtl/>
        </w:rPr>
        <w:t>נוהל</w:t>
      </w:r>
      <w:bookmarkEnd w:id="0"/>
      <w:bookmarkEnd w:id="1"/>
      <w:bookmarkEnd w:id="2"/>
      <w:bookmarkEnd w:id="3"/>
      <w:bookmarkEnd w:id="4"/>
      <w:bookmarkEnd w:id="5"/>
      <w:bookmarkEnd w:id="7"/>
      <w:bookmarkEnd w:id="8"/>
    </w:p>
    <w:p w:rsidR="002565A9" w:rsidRDefault="002565A9" w:rsidP="002565A9">
      <w:pPr>
        <w:rPr>
          <w:rtl/>
        </w:rPr>
      </w:pPr>
    </w:p>
    <w:p w:rsidR="002565A9" w:rsidRDefault="002565A9" w:rsidP="002565A9">
      <w:pPr>
        <w:pStyle w:val="4"/>
        <w:rPr>
          <w:rtl/>
        </w:rPr>
      </w:pPr>
      <w:bookmarkStart w:id="9" w:name="_Toc13750998"/>
      <w:bookmarkStart w:id="10" w:name="_Toc13751013"/>
      <w:bookmarkStart w:id="11" w:name="_Toc13751029"/>
      <w:bookmarkStart w:id="12" w:name="_Toc13751047"/>
      <w:bookmarkStart w:id="13" w:name="_Toc13751065"/>
      <w:bookmarkStart w:id="14" w:name="_Toc13751079"/>
      <w:r>
        <w:rPr>
          <w:rFonts w:hint="cs"/>
          <w:rtl/>
        </w:rPr>
        <w:t>שם הנוהל המוצע</w:t>
      </w:r>
      <w:bookmarkEnd w:id="9"/>
      <w:bookmarkEnd w:id="10"/>
      <w:bookmarkEnd w:id="11"/>
      <w:bookmarkEnd w:id="12"/>
      <w:bookmarkEnd w:id="13"/>
      <w:bookmarkEnd w:id="14"/>
    </w:p>
    <w:p w:rsidR="002565A9" w:rsidRDefault="002565A9" w:rsidP="002565A9">
      <w:r>
        <w:rPr>
          <w:rFonts w:hint="cs"/>
          <w:rtl/>
        </w:rPr>
        <w:t>נוהל מדיניות אכיפה</w:t>
      </w:r>
    </w:p>
    <w:p w:rsidR="002565A9" w:rsidRDefault="002565A9" w:rsidP="002565A9">
      <w:pPr>
        <w:rPr>
          <w:rtl/>
        </w:rPr>
      </w:pPr>
    </w:p>
    <w:p w:rsidR="002565A9" w:rsidRDefault="002565A9" w:rsidP="002565A9">
      <w:pPr>
        <w:rPr>
          <w:rtl/>
        </w:rPr>
      </w:pPr>
    </w:p>
    <w:p w:rsidR="00E9407F" w:rsidRPr="00E9407F" w:rsidRDefault="002565A9" w:rsidP="002565A9">
      <w:pPr>
        <w:pStyle w:val="4"/>
      </w:pPr>
      <w:bookmarkStart w:id="15" w:name="_Toc13751014"/>
      <w:bookmarkStart w:id="16" w:name="_Toc13751030"/>
      <w:bookmarkStart w:id="17" w:name="_Toc13751048"/>
      <w:bookmarkStart w:id="18" w:name="_Toc13751066"/>
      <w:bookmarkStart w:id="19" w:name="_Toc13751080"/>
      <w:bookmarkStart w:id="20" w:name="_Toc13750999"/>
      <w:r>
        <w:rPr>
          <w:rFonts w:hint="cs"/>
          <w:rtl/>
        </w:rPr>
        <w:t>מטרת הנוהל המוצע והצורך בו</w:t>
      </w:r>
      <w:bookmarkEnd w:id="15"/>
      <w:bookmarkEnd w:id="16"/>
      <w:bookmarkEnd w:id="17"/>
      <w:bookmarkEnd w:id="18"/>
      <w:bookmarkEnd w:id="19"/>
      <w:r>
        <w:rPr>
          <w:rFonts w:hint="cs"/>
          <w:rtl/>
        </w:rPr>
        <w:t xml:space="preserve"> </w:t>
      </w:r>
    </w:p>
    <w:p w:rsidR="00E9407F" w:rsidRDefault="00E9407F" w:rsidP="00E9407F">
      <w:pPr>
        <w:pStyle w:val="4"/>
        <w:numPr>
          <w:ilvl w:val="0"/>
          <w:numId w:val="0"/>
        </w:numPr>
        <w:rPr>
          <w:b w:val="0"/>
          <w:bCs w:val="0"/>
          <w:szCs w:val="24"/>
          <w:rtl/>
        </w:rPr>
      </w:pPr>
      <w:bookmarkStart w:id="21" w:name="_Toc13751015"/>
      <w:bookmarkStart w:id="22" w:name="_Toc13751031"/>
      <w:bookmarkStart w:id="23" w:name="_Toc13751049"/>
    </w:p>
    <w:p w:rsidR="00201E8C" w:rsidRDefault="00AC1C2F" w:rsidP="00201E8C">
      <w:pPr>
        <w:pStyle w:val="4"/>
        <w:numPr>
          <w:ilvl w:val="0"/>
          <w:numId w:val="0"/>
        </w:numPr>
        <w:rPr>
          <w:rtl/>
        </w:rPr>
      </w:pPr>
      <w:bookmarkStart w:id="24" w:name="_Toc13751067"/>
      <w:bookmarkStart w:id="25" w:name="_Toc13751081"/>
      <w:r w:rsidRPr="00F01249">
        <w:rPr>
          <w:b w:val="0"/>
          <w:bCs w:val="0"/>
          <w:szCs w:val="24"/>
          <w:rtl/>
        </w:rPr>
        <w:t>פרק שלושה עשר א' לפקודת המכס קבע כי ניתן להטיל עיצומים כספיים בגין ב</w:t>
      </w:r>
      <w:r>
        <w:rPr>
          <w:b w:val="0"/>
          <w:bCs w:val="0"/>
          <w:szCs w:val="24"/>
          <w:rtl/>
        </w:rPr>
        <w:t>יצוע הפרות שונות של פקודת המכס.</w:t>
      </w:r>
      <w:r>
        <w:rPr>
          <w:rFonts w:hint="cs"/>
          <w:b w:val="0"/>
          <w:bCs w:val="0"/>
          <w:szCs w:val="24"/>
          <w:rtl/>
        </w:rPr>
        <w:t xml:space="preserve"> הנוהל המוצע מפרט את מדיניות האכיפה, קרי את המקרים בהם על אף ביצועה של הפרה לא יוטל עיצום כספי</w:t>
      </w:r>
      <w:r w:rsidRPr="00DD743E">
        <w:rPr>
          <w:rFonts w:hint="cs"/>
          <w:b w:val="0"/>
          <w:bCs w:val="0"/>
          <w:szCs w:val="24"/>
          <w:rtl/>
        </w:rPr>
        <w:t xml:space="preserve">. </w:t>
      </w:r>
      <w:r w:rsidR="00964A93" w:rsidRPr="00DD743E">
        <w:rPr>
          <w:b w:val="0"/>
          <w:bCs w:val="0"/>
          <w:szCs w:val="24"/>
          <w:rtl/>
        </w:rPr>
        <w:t>יצוין כי</w:t>
      </w:r>
      <w:r w:rsidR="00964A93" w:rsidRPr="00DD743E">
        <w:rPr>
          <w:rFonts w:hint="cs"/>
          <w:b w:val="0"/>
          <w:bCs w:val="0"/>
          <w:szCs w:val="24"/>
          <w:rtl/>
        </w:rPr>
        <w:t xml:space="preserve"> הנוהל המוצע </w:t>
      </w:r>
      <w:r w:rsidR="00964A93" w:rsidRPr="00DD743E">
        <w:rPr>
          <w:b w:val="0"/>
          <w:bCs w:val="0"/>
          <w:szCs w:val="24"/>
          <w:rtl/>
        </w:rPr>
        <w:t>מתייחס להפרות המבוצעות בקשר לייבוא של טובין בלבד.</w:t>
      </w:r>
      <w:r w:rsidR="00964A93">
        <w:rPr>
          <w:rFonts w:hint="cs"/>
          <w:b w:val="0"/>
          <w:bCs w:val="0"/>
          <w:szCs w:val="24"/>
          <w:rtl/>
        </w:rPr>
        <w:t xml:space="preserve"> </w:t>
      </w:r>
      <w:r w:rsidR="00201E8C" w:rsidRPr="00201E8C">
        <w:rPr>
          <w:rFonts w:hint="cs"/>
          <w:b w:val="0"/>
          <w:bCs w:val="0"/>
          <w:szCs w:val="24"/>
          <w:rtl/>
        </w:rPr>
        <w:t>במקביל לפרסום נוהל זה להערות הציבור, פורסמו להערות הציבור גם תקנות ה</w:t>
      </w:r>
      <w:r w:rsidR="00201E8C" w:rsidRPr="00201E8C">
        <w:rPr>
          <w:b w:val="0"/>
          <w:bCs w:val="0"/>
          <w:szCs w:val="24"/>
          <w:rtl/>
        </w:rPr>
        <w:t>מכס (הפחתה של סכומי עיצום כספי), התש</w:t>
      </w:r>
      <w:r w:rsidR="00201E8C" w:rsidRPr="00201E8C">
        <w:rPr>
          <w:rFonts w:hint="cs"/>
          <w:b w:val="0"/>
          <w:bCs w:val="0"/>
          <w:szCs w:val="24"/>
          <w:rtl/>
        </w:rPr>
        <w:t>"ף-2020, עם כניסתן לתוקף ייכנס לתוקף פרק שלושה עשר א' לפקודת המכס.</w:t>
      </w:r>
      <w:r w:rsidR="00201E8C">
        <w:rPr>
          <w:rFonts w:hint="cs"/>
          <w:rtl/>
        </w:rPr>
        <w:t xml:space="preserve"> </w:t>
      </w:r>
    </w:p>
    <w:p w:rsidR="00201E8C" w:rsidRPr="00201E8C" w:rsidRDefault="00201E8C" w:rsidP="00201E8C">
      <w:pPr>
        <w:rPr>
          <w:rtl/>
        </w:rPr>
      </w:pPr>
    </w:p>
    <w:bookmarkEnd w:id="20"/>
    <w:bookmarkEnd w:id="21"/>
    <w:bookmarkEnd w:id="22"/>
    <w:bookmarkEnd w:id="23"/>
    <w:bookmarkEnd w:id="24"/>
    <w:bookmarkEnd w:id="25"/>
    <w:p w:rsidR="002565A9" w:rsidRDefault="002565A9" w:rsidP="002565A9">
      <w:pPr>
        <w:rPr>
          <w:rtl/>
        </w:rPr>
      </w:pPr>
    </w:p>
    <w:p w:rsidR="002565A9" w:rsidRDefault="002565A9" w:rsidP="002565A9">
      <w:pPr>
        <w:rPr>
          <w:rtl/>
        </w:rPr>
      </w:pPr>
    </w:p>
    <w:p w:rsidR="002565A9" w:rsidRDefault="002565A9" w:rsidP="002565A9">
      <w:pPr>
        <w:rPr>
          <w:rtl/>
        </w:rPr>
      </w:pPr>
    </w:p>
    <w:p w:rsidR="002565A9" w:rsidRDefault="002565A9" w:rsidP="002565A9">
      <w:pPr>
        <w:pStyle w:val="4"/>
        <w:rPr>
          <w:rtl/>
        </w:rPr>
      </w:pPr>
      <w:bookmarkStart w:id="26" w:name="_Toc13751000"/>
      <w:bookmarkStart w:id="27" w:name="_Toc13751016"/>
      <w:bookmarkStart w:id="28" w:name="_Toc13751032"/>
      <w:bookmarkStart w:id="29" w:name="_Toc13751050"/>
      <w:bookmarkStart w:id="30" w:name="_Toc13751068"/>
      <w:bookmarkStart w:id="31" w:name="_Toc13751082"/>
      <w:r>
        <w:rPr>
          <w:rFonts w:hint="cs"/>
          <w:rtl/>
        </w:rPr>
        <w:t>להלן נוסח טיוטת הכללים המוצעים:</w:t>
      </w:r>
      <w:bookmarkEnd w:id="26"/>
      <w:bookmarkEnd w:id="27"/>
      <w:bookmarkEnd w:id="28"/>
      <w:bookmarkEnd w:id="29"/>
      <w:bookmarkEnd w:id="30"/>
      <w:bookmarkEnd w:id="31"/>
      <w:r>
        <w:rPr>
          <w:rFonts w:hint="cs"/>
          <w:rtl/>
        </w:rPr>
        <w:t xml:space="preserve"> </w:t>
      </w:r>
    </w:p>
    <w:p w:rsidR="002565A9" w:rsidRDefault="002565A9">
      <w:pPr>
        <w:widowControl/>
        <w:bidi w:val="0"/>
        <w:spacing w:after="200" w:line="276" w:lineRule="auto"/>
        <w:ind w:left="0"/>
        <w:contextualSpacing w:val="0"/>
        <w:jc w:val="left"/>
        <w:rPr>
          <w:rFonts w:ascii="Arial" w:eastAsia="Arial Unicode MS" w:hAnsi="Arial"/>
          <w:b/>
          <w:bCs/>
          <w:snapToGrid w:val="0"/>
          <w:sz w:val="20"/>
          <w:szCs w:val="26"/>
          <w:rtl/>
        </w:rPr>
      </w:pPr>
      <w:r>
        <w:rPr>
          <w:rtl/>
        </w:rPr>
        <w:br w:type="page"/>
      </w:r>
    </w:p>
    <w:p w:rsidR="00ED140F" w:rsidRDefault="005E1522" w:rsidP="00307E94">
      <w:pPr>
        <w:pStyle w:val="HeadHatzaotHok"/>
        <w:keepNext w:val="0"/>
        <w:keepLines w:val="0"/>
        <w:rPr>
          <w:rtl/>
        </w:rPr>
      </w:pPr>
      <w:bookmarkStart w:id="32" w:name="_Toc13750991"/>
      <w:bookmarkStart w:id="33" w:name="_Toc13751001"/>
      <w:bookmarkStart w:id="34" w:name="_Toc13751017"/>
      <w:bookmarkStart w:id="35" w:name="_Toc13751033"/>
      <w:bookmarkStart w:id="36" w:name="_Toc13751051"/>
      <w:bookmarkStart w:id="37" w:name="_Toc13751069"/>
      <w:bookmarkStart w:id="38" w:name="_Toc13751071"/>
      <w:bookmarkStart w:id="39" w:name="_Toc13751083"/>
      <w:r>
        <w:rPr>
          <w:rFonts w:hint="cs"/>
          <w:rtl/>
        </w:rPr>
        <w:lastRenderedPageBreak/>
        <w:t>נוהל מדיניות אכיפה</w:t>
      </w:r>
      <w:bookmarkEnd w:id="32"/>
      <w:bookmarkEnd w:id="33"/>
      <w:bookmarkEnd w:id="34"/>
      <w:bookmarkEnd w:id="35"/>
      <w:bookmarkEnd w:id="36"/>
      <w:bookmarkEnd w:id="37"/>
      <w:bookmarkEnd w:id="38"/>
      <w:bookmarkEnd w:id="39"/>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ED140F" w:rsidTr="002565A9">
        <w:trPr>
          <w:cantSplit/>
          <w:trHeight w:val="60"/>
        </w:trPr>
        <w:tc>
          <w:tcPr>
            <w:tcW w:w="1871" w:type="dxa"/>
          </w:tcPr>
          <w:p w:rsidR="00ED140F" w:rsidRDefault="00ED140F">
            <w:pPr>
              <w:pStyle w:val="TableSideHeading"/>
              <w:rPr>
                <w:rtl/>
              </w:rPr>
            </w:pPr>
          </w:p>
        </w:tc>
        <w:tc>
          <w:tcPr>
            <w:tcW w:w="624" w:type="dxa"/>
          </w:tcPr>
          <w:p w:rsidR="00ED140F" w:rsidRDefault="00ED140F">
            <w:pPr>
              <w:pStyle w:val="TableText"/>
            </w:pPr>
          </w:p>
        </w:tc>
        <w:tc>
          <w:tcPr>
            <w:tcW w:w="7146" w:type="dxa"/>
            <w:gridSpan w:val="2"/>
            <w:hideMark/>
          </w:tcPr>
          <w:p w:rsidR="00ED140F" w:rsidRDefault="00ED140F">
            <w:pPr>
              <w:pStyle w:val="TableBlock"/>
            </w:pPr>
          </w:p>
        </w:tc>
      </w:tr>
      <w:tr w:rsidR="00ED140F" w:rsidTr="002565A9">
        <w:trPr>
          <w:cantSplit/>
          <w:trHeight w:val="60"/>
        </w:trPr>
        <w:tc>
          <w:tcPr>
            <w:tcW w:w="1871" w:type="dxa"/>
          </w:tcPr>
          <w:p w:rsidR="00ED140F" w:rsidRDefault="00ED140F">
            <w:pPr>
              <w:pStyle w:val="TableSideHeading"/>
            </w:pPr>
          </w:p>
        </w:tc>
        <w:tc>
          <w:tcPr>
            <w:tcW w:w="624" w:type="dxa"/>
          </w:tcPr>
          <w:p w:rsidR="00ED140F" w:rsidRDefault="00ED140F">
            <w:pPr>
              <w:pStyle w:val="TableText"/>
            </w:pPr>
          </w:p>
        </w:tc>
        <w:tc>
          <w:tcPr>
            <w:tcW w:w="7146" w:type="dxa"/>
            <w:gridSpan w:val="2"/>
          </w:tcPr>
          <w:p w:rsidR="00ED140F" w:rsidRDefault="00ED140F">
            <w:pPr>
              <w:pStyle w:val="TableHead"/>
            </w:pPr>
          </w:p>
        </w:tc>
      </w:tr>
      <w:tr w:rsidR="00ED140F" w:rsidTr="002565A9">
        <w:trPr>
          <w:cantSplit/>
          <w:trHeight w:val="60"/>
        </w:trPr>
        <w:tc>
          <w:tcPr>
            <w:tcW w:w="1871" w:type="dxa"/>
          </w:tcPr>
          <w:p w:rsidR="00ED140F" w:rsidRDefault="00ED140F">
            <w:pPr>
              <w:pStyle w:val="TableSideHeading"/>
            </w:pPr>
          </w:p>
        </w:tc>
        <w:tc>
          <w:tcPr>
            <w:tcW w:w="624" w:type="dxa"/>
          </w:tcPr>
          <w:p w:rsidR="00ED140F" w:rsidRDefault="00ED140F" w:rsidP="00ED140F">
            <w:pPr>
              <w:pStyle w:val="TableText"/>
              <w:numPr>
                <w:ilvl w:val="0"/>
                <w:numId w:val="2"/>
              </w:numPr>
            </w:pPr>
          </w:p>
        </w:tc>
        <w:tc>
          <w:tcPr>
            <w:tcW w:w="7146" w:type="dxa"/>
            <w:gridSpan w:val="2"/>
          </w:tcPr>
          <w:p w:rsidR="00ED140F" w:rsidRDefault="00980ADD" w:rsidP="00D91302">
            <w:pPr>
              <w:pStyle w:val="TableBlock"/>
            </w:pPr>
            <w:r w:rsidRPr="00980ADD">
              <w:rPr>
                <w:rtl/>
              </w:rPr>
              <w:t>בהפרה לפי סעיף 223ב(א), לא יוטל עיצום כספי בנסיבות הבאות:</w:t>
            </w:r>
          </w:p>
        </w:tc>
      </w:tr>
      <w:tr w:rsidR="00980ADD" w:rsidRPr="009069A0" w:rsidTr="00D91302">
        <w:trPr>
          <w:cantSplit/>
          <w:trHeight w:val="60"/>
        </w:trPr>
        <w:tc>
          <w:tcPr>
            <w:tcW w:w="1871" w:type="dxa"/>
          </w:tcPr>
          <w:p w:rsidR="00980ADD" w:rsidRDefault="00980ADD">
            <w:pPr>
              <w:pStyle w:val="TableSideHeading"/>
            </w:pPr>
          </w:p>
        </w:tc>
        <w:tc>
          <w:tcPr>
            <w:tcW w:w="624" w:type="dxa"/>
          </w:tcPr>
          <w:p w:rsidR="00980ADD" w:rsidRDefault="00980ADD" w:rsidP="002565A9">
            <w:pPr>
              <w:pStyle w:val="TableText"/>
            </w:pPr>
          </w:p>
        </w:tc>
        <w:tc>
          <w:tcPr>
            <w:tcW w:w="7146" w:type="dxa"/>
            <w:gridSpan w:val="2"/>
          </w:tcPr>
          <w:p w:rsidR="00980ADD" w:rsidRPr="00980ADD" w:rsidRDefault="00980ADD" w:rsidP="002565A9">
            <w:pPr>
              <w:pStyle w:val="TableBlock"/>
              <w:numPr>
                <w:ilvl w:val="0"/>
                <w:numId w:val="23"/>
              </w:numPr>
              <w:tabs>
                <w:tab w:val="left" w:pos="624"/>
              </w:tabs>
              <w:rPr>
                <w:rtl/>
              </w:rPr>
            </w:pPr>
            <w:r w:rsidRPr="00980ADD">
              <w:rPr>
                <w:rtl/>
              </w:rPr>
              <w:t>תוקן המצהר עד להגשת הצהרת יבוא, ובלבד שהתיקון נ</w:t>
            </w:r>
            <w:r w:rsidR="009809EF">
              <w:rPr>
                <w:rtl/>
              </w:rPr>
              <w:t>בע מיוזמתו של המפר ולא נפתחה בי</w:t>
            </w:r>
            <w:r w:rsidRPr="00980ADD">
              <w:rPr>
                <w:rtl/>
              </w:rPr>
              <w:t>ק</w:t>
            </w:r>
            <w:r w:rsidR="009809EF">
              <w:rPr>
                <w:rFonts w:hint="cs"/>
                <w:rtl/>
              </w:rPr>
              <w:t>ו</w:t>
            </w:r>
            <w:r w:rsidRPr="00980ADD">
              <w:rPr>
                <w:rtl/>
              </w:rPr>
              <w:t>רת או חקירה או בדיקה בנוגע לאותו מצהר.</w:t>
            </w:r>
          </w:p>
        </w:tc>
      </w:tr>
      <w:tr w:rsidR="00980ADD" w:rsidTr="00D91302">
        <w:trPr>
          <w:cantSplit/>
          <w:trHeight w:val="60"/>
        </w:trPr>
        <w:tc>
          <w:tcPr>
            <w:tcW w:w="1871" w:type="dxa"/>
          </w:tcPr>
          <w:p w:rsidR="00980ADD" w:rsidRDefault="00980ADD">
            <w:pPr>
              <w:pStyle w:val="TableSideHeading"/>
            </w:pPr>
          </w:p>
        </w:tc>
        <w:tc>
          <w:tcPr>
            <w:tcW w:w="624" w:type="dxa"/>
          </w:tcPr>
          <w:p w:rsidR="00980ADD" w:rsidRDefault="00980ADD" w:rsidP="00980ADD">
            <w:pPr>
              <w:pStyle w:val="TableText"/>
            </w:pPr>
          </w:p>
        </w:tc>
        <w:tc>
          <w:tcPr>
            <w:tcW w:w="7146" w:type="dxa"/>
            <w:gridSpan w:val="2"/>
          </w:tcPr>
          <w:p w:rsidR="00980ADD" w:rsidRPr="00980ADD" w:rsidRDefault="00980ADD" w:rsidP="00980ADD">
            <w:pPr>
              <w:pStyle w:val="TableBlock"/>
              <w:numPr>
                <w:ilvl w:val="0"/>
                <w:numId w:val="23"/>
              </w:numPr>
              <w:tabs>
                <w:tab w:val="left" w:pos="624"/>
              </w:tabs>
              <w:rPr>
                <w:rtl/>
              </w:rPr>
            </w:pPr>
            <w:r w:rsidRPr="00980ADD">
              <w:rPr>
                <w:rtl/>
              </w:rPr>
              <w:t>התגלה אי התאמה בין הצהרת יבוא למצהר בפרטים שאינם פרטי נשגר, פרט מכס, כמות, משקל, סוג אריזה.</w:t>
            </w:r>
          </w:p>
        </w:tc>
      </w:tr>
      <w:tr w:rsidR="00D91302" w:rsidTr="002565A9">
        <w:trPr>
          <w:cantSplit/>
          <w:trHeight w:val="60"/>
        </w:trPr>
        <w:tc>
          <w:tcPr>
            <w:tcW w:w="1871" w:type="dxa"/>
          </w:tcPr>
          <w:p w:rsidR="00D91302" w:rsidRDefault="00D91302" w:rsidP="007E751D">
            <w:pPr>
              <w:pStyle w:val="TableSideHeading"/>
              <w:keepLines w:val="0"/>
            </w:pPr>
          </w:p>
        </w:tc>
        <w:tc>
          <w:tcPr>
            <w:tcW w:w="624" w:type="dxa"/>
          </w:tcPr>
          <w:p w:rsidR="00D91302" w:rsidRDefault="00D91302" w:rsidP="00D91302">
            <w:pPr>
              <w:pStyle w:val="TableText"/>
              <w:keepLines w:val="0"/>
              <w:numPr>
                <w:ilvl w:val="0"/>
                <w:numId w:val="4"/>
              </w:numPr>
            </w:pPr>
          </w:p>
        </w:tc>
        <w:tc>
          <w:tcPr>
            <w:tcW w:w="7146" w:type="dxa"/>
            <w:gridSpan w:val="2"/>
          </w:tcPr>
          <w:p w:rsidR="00D91302" w:rsidRPr="00C34DE2" w:rsidRDefault="00D91302" w:rsidP="00D91302">
            <w:pPr>
              <w:pStyle w:val="TableBlock"/>
              <w:keepLines w:val="0"/>
            </w:pPr>
            <w:r w:rsidRPr="005E1522">
              <w:rPr>
                <w:rtl/>
              </w:rPr>
              <w:t xml:space="preserve">יוטל עיצום כספי בגין הפרה של סעיף 223ב(ג)(1)  לפקודת המכס בהתקיים אחד מהמקרים הבאים:  </w:t>
            </w:r>
          </w:p>
        </w:tc>
      </w:tr>
      <w:tr w:rsidR="005E1522" w:rsidTr="002565A9">
        <w:trPr>
          <w:cantSplit/>
          <w:trHeight w:val="60"/>
        </w:trPr>
        <w:tc>
          <w:tcPr>
            <w:tcW w:w="1871" w:type="dxa"/>
          </w:tcPr>
          <w:p w:rsidR="005E1522" w:rsidRDefault="005E1522">
            <w:pPr>
              <w:pStyle w:val="TableSideHeading"/>
            </w:pPr>
          </w:p>
        </w:tc>
        <w:tc>
          <w:tcPr>
            <w:tcW w:w="624" w:type="dxa"/>
          </w:tcPr>
          <w:p w:rsidR="005E1522" w:rsidRDefault="005E1522" w:rsidP="005E1522">
            <w:pPr>
              <w:pStyle w:val="TableText"/>
            </w:pPr>
          </w:p>
        </w:tc>
        <w:tc>
          <w:tcPr>
            <w:tcW w:w="7146" w:type="dxa"/>
            <w:gridSpan w:val="2"/>
          </w:tcPr>
          <w:p w:rsidR="005E1522" w:rsidRPr="005E1522" w:rsidRDefault="005E1522" w:rsidP="005E1522">
            <w:pPr>
              <w:pStyle w:val="af"/>
              <w:numPr>
                <w:ilvl w:val="0"/>
                <w:numId w:val="20"/>
              </w:numPr>
              <w:jc w:val="left"/>
              <w:rPr>
                <w:rFonts w:ascii="Arial" w:eastAsia="Arial Unicode MS" w:hAnsi="Arial"/>
                <w:snapToGrid w:val="0"/>
                <w:sz w:val="20"/>
                <w:szCs w:val="26"/>
                <w:rtl/>
              </w:rPr>
            </w:pPr>
            <w:r w:rsidRPr="005E1522">
              <w:rPr>
                <w:rFonts w:ascii="Arial" w:eastAsia="Arial Unicode MS" w:hAnsi="Arial"/>
                <w:snapToGrid w:val="0"/>
                <w:sz w:val="20"/>
                <w:szCs w:val="26"/>
                <w:rtl/>
              </w:rPr>
              <w:t>נוצר הפרש מסי יבוא בשל ההפרה בסכום שעולה על 500 ש"ח;</w:t>
            </w:r>
          </w:p>
        </w:tc>
      </w:tr>
      <w:tr w:rsidR="002F3A3C" w:rsidTr="002565A9">
        <w:trPr>
          <w:cantSplit/>
          <w:trHeight w:val="60"/>
        </w:trPr>
        <w:tc>
          <w:tcPr>
            <w:tcW w:w="1871" w:type="dxa"/>
          </w:tcPr>
          <w:p w:rsidR="002F3A3C" w:rsidRDefault="002F3A3C">
            <w:pPr>
              <w:pStyle w:val="TableSideHeading"/>
            </w:pPr>
          </w:p>
        </w:tc>
        <w:tc>
          <w:tcPr>
            <w:tcW w:w="624" w:type="dxa"/>
          </w:tcPr>
          <w:p w:rsidR="002F3A3C" w:rsidRDefault="002F3A3C" w:rsidP="002F3A3C">
            <w:pPr>
              <w:pStyle w:val="TableText"/>
            </w:pPr>
          </w:p>
        </w:tc>
        <w:tc>
          <w:tcPr>
            <w:tcW w:w="7146" w:type="dxa"/>
            <w:gridSpan w:val="2"/>
          </w:tcPr>
          <w:p w:rsidR="002F3A3C" w:rsidRPr="002F3A3C" w:rsidRDefault="002F3A3C" w:rsidP="002F3A3C">
            <w:pPr>
              <w:pStyle w:val="af"/>
              <w:numPr>
                <w:ilvl w:val="0"/>
                <w:numId w:val="20"/>
              </w:numPr>
              <w:jc w:val="left"/>
              <w:rPr>
                <w:rFonts w:ascii="Arial" w:eastAsia="Arial Unicode MS" w:hAnsi="Arial"/>
                <w:snapToGrid w:val="0"/>
                <w:sz w:val="20"/>
                <w:szCs w:val="26"/>
                <w:rtl/>
              </w:rPr>
            </w:pPr>
            <w:r w:rsidRPr="002F3A3C">
              <w:rPr>
                <w:rFonts w:ascii="Arial" w:eastAsia="Arial Unicode MS" w:hAnsi="Arial"/>
                <w:snapToGrid w:val="0"/>
                <w:sz w:val="20"/>
                <w:szCs w:val="26"/>
                <w:rtl/>
              </w:rPr>
              <w:t>הוגשה הצהרת יבוא מבלי שהיו בידי סוכן המכס אחד מהמסמכים הבאים:</w:t>
            </w:r>
          </w:p>
        </w:tc>
      </w:tr>
      <w:tr w:rsidR="002F3A3C" w:rsidTr="002565A9">
        <w:trPr>
          <w:cantSplit/>
          <w:trHeight w:val="60"/>
        </w:trPr>
        <w:tc>
          <w:tcPr>
            <w:tcW w:w="1871" w:type="dxa"/>
          </w:tcPr>
          <w:p w:rsidR="002F3A3C" w:rsidRDefault="002F3A3C">
            <w:pPr>
              <w:pStyle w:val="TableSideHeading"/>
            </w:pPr>
          </w:p>
        </w:tc>
        <w:tc>
          <w:tcPr>
            <w:tcW w:w="624" w:type="dxa"/>
          </w:tcPr>
          <w:p w:rsidR="002F3A3C" w:rsidRDefault="002F3A3C">
            <w:pPr>
              <w:pStyle w:val="TableText"/>
            </w:pPr>
          </w:p>
        </w:tc>
        <w:tc>
          <w:tcPr>
            <w:tcW w:w="624" w:type="dxa"/>
          </w:tcPr>
          <w:p w:rsidR="002F3A3C" w:rsidRDefault="002F3A3C">
            <w:pPr>
              <w:pStyle w:val="TableText"/>
            </w:pPr>
          </w:p>
        </w:tc>
        <w:tc>
          <w:tcPr>
            <w:tcW w:w="6522" w:type="dxa"/>
          </w:tcPr>
          <w:p w:rsidR="002F3A3C" w:rsidRPr="002F3A3C" w:rsidRDefault="00BF3F86" w:rsidP="002F3A3C">
            <w:pPr>
              <w:pStyle w:val="TableBlock"/>
              <w:numPr>
                <w:ilvl w:val="0"/>
                <w:numId w:val="21"/>
              </w:numPr>
              <w:tabs>
                <w:tab w:val="left" w:pos="624"/>
              </w:tabs>
            </w:pPr>
            <w:r>
              <w:rPr>
                <w:rFonts w:hint="cs"/>
                <w:rtl/>
              </w:rPr>
              <w:t>חשבון מטענים או שטר מטען ימי או שטר מטען אווירי;</w:t>
            </w:r>
          </w:p>
        </w:tc>
      </w:tr>
      <w:tr w:rsidR="00BF3F86" w:rsidTr="002565A9">
        <w:trPr>
          <w:cantSplit/>
          <w:trHeight w:val="60"/>
        </w:trPr>
        <w:tc>
          <w:tcPr>
            <w:tcW w:w="1871" w:type="dxa"/>
          </w:tcPr>
          <w:p w:rsidR="00BF3F86" w:rsidRDefault="00BF3F86">
            <w:pPr>
              <w:pStyle w:val="TableSideHeading"/>
            </w:pPr>
          </w:p>
        </w:tc>
        <w:tc>
          <w:tcPr>
            <w:tcW w:w="624" w:type="dxa"/>
          </w:tcPr>
          <w:p w:rsidR="00BF3F86" w:rsidRDefault="00BF3F86" w:rsidP="00BF3F86">
            <w:pPr>
              <w:pStyle w:val="TableText"/>
            </w:pPr>
          </w:p>
        </w:tc>
        <w:tc>
          <w:tcPr>
            <w:tcW w:w="624" w:type="dxa"/>
          </w:tcPr>
          <w:p w:rsidR="00BF3F86" w:rsidRDefault="00BF3F86">
            <w:pPr>
              <w:pStyle w:val="TableText"/>
            </w:pPr>
          </w:p>
        </w:tc>
        <w:tc>
          <w:tcPr>
            <w:tcW w:w="6522" w:type="dxa"/>
          </w:tcPr>
          <w:p w:rsidR="00BF3F86" w:rsidRDefault="00BF3F86" w:rsidP="002F3A3C">
            <w:pPr>
              <w:pStyle w:val="TableBlock"/>
              <w:numPr>
                <w:ilvl w:val="0"/>
                <w:numId w:val="21"/>
              </w:numPr>
              <w:tabs>
                <w:tab w:val="left" w:pos="624"/>
              </w:tabs>
              <w:rPr>
                <w:rtl/>
              </w:rPr>
            </w:pPr>
            <w:r>
              <w:rPr>
                <w:rFonts w:hint="cs"/>
                <w:rtl/>
              </w:rPr>
              <w:t>חשבון הובלה;</w:t>
            </w:r>
          </w:p>
        </w:tc>
      </w:tr>
      <w:tr w:rsidR="002F3A3C" w:rsidRPr="002F3A3C" w:rsidTr="002565A9">
        <w:trPr>
          <w:cantSplit/>
          <w:trHeight w:val="60"/>
        </w:trPr>
        <w:tc>
          <w:tcPr>
            <w:tcW w:w="1871" w:type="dxa"/>
          </w:tcPr>
          <w:p w:rsidR="002F3A3C" w:rsidRDefault="002F3A3C">
            <w:pPr>
              <w:pStyle w:val="TableSideHeading"/>
            </w:pPr>
          </w:p>
        </w:tc>
        <w:tc>
          <w:tcPr>
            <w:tcW w:w="624" w:type="dxa"/>
          </w:tcPr>
          <w:p w:rsidR="002F3A3C" w:rsidRDefault="002F3A3C" w:rsidP="002F3A3C">
            <w:pPr>
              <w:pStyle w:val="TableText"/>
            </w:pPr>
          </w:p>
        </w:tc>
        <w:tc>
          <w:tcPr>
            <w:tcW w:w="624" w:type="dxa"/>
          </w:tcPr>
          <w:p w:rsidR="002F3A3C" w:rsidRDefault="002F3A3C">
            <w:pPr>
              <w:pStyle w:val="TableText"/>
            </w:pPr>
          </w:p>
        </w:tc>
        <w:tc>
          <w:tcPr>
            <w:tcW w:w="6522" w:type="dxa"/>
          </w:tcPr>
          <w:p w:rsidR="002F3A3C" w:rsidRDefault="002F3A3C" w:rsidP="002F3A3C">
            <w:pPr>
              <w:pStyle w:val="TableBlock"/>
              <w:numPr>
                <w:ilvl w:val="0"/>
                <w:numId w:val="21"/>
              </w:numPr>
              <w:tabs>
                <w:tab w:val="left" w:pos="624"/>
              </w:tabs>
              <w:rPr>
                <w:rtl/>
              </w:rPr>
            </w:pPr>
            <w:r>
              <w:rPr>
                <w:rFonts w:hint="cs"/>
                <w:rtl/>
              </w:rPr>
              <w:t>מסמך העדפה;</w:t>
            </w:r>
          </w:p>
        </w:tc>
      </w:tr>
      <w:tr w:rsidR="002F3A3C" w:rsidTr="002565A9">
        <w:trPr>
          <w:cantSplit/>
          <w:trHeight w:val="60"/>
        </w:trPr>
        <w:tc>
          <w:tcPr>
            <w:tcW w:w="1871" w:type="dxa"/>
          </w:tcPr>
          <w:p w:rsidR="002F3A3C" w:rsidRDefault="002F3A3C">
            <w:pPr>
              <w:pStyle w:val="TableSideHeading"/>
            </w:pPr>
          </w:p>
        </w:tc>
        <w:tc>
          <w:tcPr>
            <w:tcW w:w="624" w:type="dxa"/>
          </w:tcPr>
          <w:p w:rsidR="002F3A3C" w:rsidRDefault="002F3A3C" w:rsidP="002F3A3C">
            <w:pPr>
              <w:pStyle w:val="TableText"/>
            </w:pPr>
          </w:p>
        </w:tc>
        <w:tc>
          <w:tcPr>
            <w:tcW w:w="624" w:type="dxa"/>
          </w:tcPr>
          <w:p w:rsidR="002F3A3C" w:rsidRDefault="002F3A3C">
            <w:pPr>
              <w:pStyle w:val="TableText"/>
            </w:pPr>
          </w:p>
        </w:tc>
        <w:tc>
          <w:tcPr>
            <w:tcW w:w="6522" w:type="dxa"/>
          </w:tcPr>
          <w:p w:rsidR="002F3A3C" w:rsidRDefault="002F3A3C" w:rsidP="002F3A3C">
            <w:pPr>
              <w:pStyle w:val="TableBlock"/>
              <w:numPr>
                <w:ilvl w:val="0"/>
                <w:numId w:val="21"/>
              </w:numPr>
              <w:tabs>
                <w:tab w:val="left" w:pos="624"/>
              </w:tabs>
              <w:rPr>
                <w:rtl/>
              </w:rPr>
            </w:pPr>
            <w:r>
              <w:rPr>
                <w:rFonts w:hint="cs"/>
                <w:rtl/>
              </w:rPr>
              <w:t>חשבון מכר;</w:t>
            </w:r>
          </w:p>
        </w:tc>
      </w:tr>
      <w:tr w:rsidR="00BF3F86" w:rsidTr="002565A9">
        <w:trPr>
          <w:cantSplit/>
          <w:trHeight w:val="60"/>
        </w:trPr>
        <w:tc>
          <w:tcPr>
            <w:tcW w:w="1871" w:type="dxa"/>
          </w:tcPr>
          <w:p w:rsidR="00BF3F86" w:rsidRDefault="00BF3F86">
            <w:pPr>
              <w:pStyle w:val="TableSideHeading"/>
            </w:pPr>
          </w:p>
        </w:tc>
        <w:tc>
          <w:tcPr>
            <w:tcW w:w="624" w:type="dxa"/>
          </w:tcPr>
          <w:p w:rsidR="00BF3F86" w:rsidRDefault="00BF3F86" w:rsidP="00BF3F86">
            <w:pPr>
              <w:pStyle w:val="TableText"/>
            </w:pPr>
          </w:p>
        </w:tc>
        <w:tc>
          <w:tcPr>
            <w:tcW w:w="624" w:type="dxa"/>
          </w:tcPr>
          <w:p w:rsidR="00BF3F86" w:rsidRDefault="00BF3F86">
            <w:pPr>
              <w:pStyle w:val="TableText"/>
            </w:pPr>
          </w:p>
        </w:tc>
        <w:tc>
          <w:tcPr>
            <w:tcW w:w="6522" w:type="dxa"/>
          </w:tcPr>
          <w:p w:rsidR="00BF3F86" w:rsidRDefault="00BF3F86" w:rsidP="002F3A3C">
            <w:pPr>
              <w:pStyle w:val="TableBlock"/>
              <w:numPr>
                <w:ilvl w:val="0"/>
                <w:numId w:val="21"/>
              </w:numPr>
              <w:tabs>
                <w:tab w:val="left" w:pos="624"/>
              </w:tabs>
              <w:rPr>
                <w:rtl/>
              </w:rPr>
            </w:pPr>
            <w:r>
              <w:rPr>
                <w:rFonts w:hint="cs"/>
                <w:rtl/>
              </w:rPr>
              <w:t>הוכחת יצוא;</w:t>
            </w:r>
          </w:p>
        </w:tc>
      </w:tr>
      <w:tr w:rsidR="00BF3F86" w:rsidTr="002565A9">
        <w:trPr>
          <w:cantSplit/>
          <w:trHeight w:val="60"/>
        </w:trPr>
        <w:tc>
          <w:tcPr>
            <w:tcW w:w="1871" w:type="dxa"/>
          </w:tcPr>
          <w:p w:rsidR="00BF3F86" w:rsidRDefault="00BF3F86">
            <w:pPr>
              <w:pStyle w:val="TableSideHeading"/>
            </w:pPr>
          </w:p>
        </w:tc>
        <w:tc>
          <w:tcPr>
            <w:tcW w:w="624" w:type="dxa"/>
          </w:tcPr>
          <w:p w:rsidR="00BF3F86" w:rsidRDefault="00BF3F86" w:rsidP="00BF3F86">
            <w:pPr>
              <w:pStyle w:val="TableText"/>
            </w:pPr>
          </w:p>
        </w:tc>
        <w:tc>
          <w:tcPr>
            <w:tcW w:w="624" w:type="dxa"/>
          </w:tcPr>
          <w:p w:rsidR="00BF3F86" w:rsidRDefault="00BF3F86">
            <w:pPr>
              <w:pStyle w:val="TableText"/>
            </w:pPr>
          </w:p>
        </w:tc>
        <w:tc>
          <w:tcPr>
            <w:tcW w:w="6522" w:type="dxa"/>
          </w:tcPr>
          <w:p w:rsidR="00BF3F86" w:rsidRDefault="00BF3F86" w:rsidP="002F3A3C">
            <w:pPr>
              <w:pStyle w:val="TableBlock"/>
              <w:numPr>
                <w:ilvl w:val="0"/>
                <w:numId w:val="21"/>
              </w:numPr>
              <w:tabs>
                <w:tab w:val="left" w:pos="624"/>
              </w:tabs>
              <w:rPr>
                <w:rtl/>
              </w:rPr>
            </w:pPr>
            <w:r>
              <w:rPr>
                <w:rFonts w:hint="cs"/>
                <w:rtl/>
              </w:rPr>
              <w:t>העברת בעלות;</w:t>
            </w:r>
          </w:p>
        </w:tc>
      </w:tr>
      <w:tr w:rsidR="00D91302">
        <w:trPr>
          <w:cantSplit/>
          <w:trHeight w:val="60"/>
        </w:trPr>
        <w:tc>
          <w:tcPr>
            <w:tcW w:w="1871" w:type="dxa"/>
          </w:tcPr>
          <w:p w:rsidR="00D91302" w:rsidRDefault="00D91302">
            <w:pPr>
              <w:pStyle w:val="TableSideHeading"/>
            </w:pPr>
          </w:p>
        </w:tc>
        <w:tc>
          <w:tcPr>
            <w:tcW w:w="624" w:type="dxa"/>
          </w:tcPr>
          <w:p w:rsidR="00D91302" w:rsidRDefault="00D91302">
            <w:pPr>
              <w:pStyle w:val="TableText"/>
            </w:pPr>
          </w:p>
        </w:tc>
        <w:tc>
          <w:tcPr>
            <w:tcW w:w="7146" w:type="dxa"/>
            <w:gridSpan w:val="2"/>
          </w:tcPr>
          <w:p w:rsidR="00D91302" w:rsidRPr="00C34DE2" w:rsidRDefault="00D91302" w:rsidP="00D91302">
            <w:pPr>
              <w:pStyle w:val="TableBlock"/>
            </w:pPr>
            <w:r w:rsidRPr="00D91302">
              <w:rPr>
                <w:rtl/>
              </w:rPr>
              <w:tab/>
            </w:r>
            <w:r>
              <w:rPr>
                <w:rFonts w:hint="cs"/>
                <w:rtl/>
              </w:rPr>
              <w:t xml:space="preserve">יראו </w:t>
            </w:r>
            <w:r w:rsidRPr="00D91302">
              <w:rPr>
                <w:rtl/>
              </w:rPr>
              <w:t>מסמך העדפה שאינו עומד בתנאי הסכם הסחר כהגדרתו בצו תעריף המכס והפטורים ומס קניה על טובין, תשע"ז-2017 (להלן צו תעריף המכס) וחשבון מכר שאינו עומד בתנאי תקנות המכס, התשכ"ו- 1965, כאילו לא היו בידי סוכן המכס בעת הגשת הצ</w:t>
            </w:r>
            <w:r>
              <w:rPr>
                <w:rFonts w:hint="cs"/>
                <w:rtl/>
              </w:rPr>
              <w:t>ה</w:t>
            </w:r>
            <w:r w:rsidRPr="00D91302">
              <w:rPr>
                <w:rtl/>
              </w:rPr>
              <w:t>רת היבוא (וזאת אף אם מסמכים אלו צורפות להצהרת היבוא).</w:t>
            </w:r>
          </w:p>
        </w:tc>
      </w:tr>
      <w:tr w:rsidR="00980ADD" w:rsidRPr="00496A45">
        <w:trPr>
          <w:cantSplit/>
          <w:trHeight w:val="60"/>
        </w:trPr>
        <w:tc>
          <w:tcPr>
            <w:tcW w:w="1871" w:type="dxa"/>
          </w:tcPr>
          <w:p w:rsidR="00980ADD" w:rsidRDefault="00980ADD" w:rsidP="007E751D">
            <w:pPr>
              <w:pStyle w:val="TableSideHeading"/>
              <w:keepLines w:val="0"/>
            </w:pPr>
          </w:p>
        </w:tc>
        <w:tc>
          <w:tcPr>
            <w:tcW w:w="624" w:type="dxa"/>
          </w:tcPr>
          <w:p w:rsidR="00980ADD" w:rsidRDefault="00980ADD" w:rsidP="00980ADD">
            <w:pPr>
              <w:pStyle w:val="TableText"/>
              <w:keepLines w:val="0"/>
              <w:numPr>
                <w:ilvl w:val="0"/>
                <w:numId w:val="4"/>
              </w:numPr>
            </w:pPr>
          </w:p>
        </w:tc>
        <w:tc>
          <w:tcPr>
            <w:tcW w:w="7146" w:type="dxa"/>
            <w:gridSpan w:val="2"/>
          </w:tcPr>
          <w:p w:rsidR="00980ADD" w:rsidRPr="00C34DE2" w:rsidRDefault="00980ADD" w:rsidP="00D16A77">
            <w:pPr>
              <w:pStyle w:val="TableBlock"/>
              <w:keepLines w:val="0"/>
            </w:pPr>
            <w:r w:rsidRPr="00980ADD">
              <w:rPr>
                <w:rtl/>
              </w:rPr>
              <w:t xml:space="preserve">בהפרה לפי סעיף 223ב(ב) או (ג), יוטל עיצום כספי </w:t>
            </w:r>
            <w:r w:rsidR="007D44D3">
              <w:rPr>
                <w:rFonts w:hint="cs"/>
                <w:rtl/>
              </w:rPr>
              <w:t>על מפר אחד</w:t>
            </w:r>
            <w:r w:rsidRPr="00980ADD">
              <w:rPr>
                <w:rtl/>
              </w:rPr>
              <w:t xml:space="preserve"> בשל כל הצהרת יבוא לגביה בוצעה הפרה כאמור.</w:t>
            </w:r>
            <w:r>
              <w:rPr>
                <w:rtl/>
              </w:rPr>
              <w:t xml:space="preserve"> </w:t>
            </w:r>
            <w:r w:rsidRPr="00980ADD">
              <w:rPr>
                <w:rtl/>
              </w:rPr>
              <w:t xml:space="preserve">במקרים בהם ישנם מספר גורמים אחראיים להפרה או בוצעו מספר הפרות בהצהרת יבוא אחת, העיצום הכספי יוטל על המפר העיקרי ויובאו בחשבון </w:t>
            </w:r>
            <w:r w:rsidR="00D16A77">
              <w:rPr>
                <w:rFonts w:hint="cs"/>
                <w:rtl/>
              </w:rPr>
              <w:t xml:space="preserve">לעניין זה </w:t>
            </w:r>
            <w:r w:rsidRPr="00980ADD">
              <w:rPr>
                <w:rtl/>
              </w:rPr>
              <w:t>בין היתר השיקולים הבאים: מספר ההפרות להן גרם</w:t>
            </w:r>
            <w:r w:rsidR="00D16A77">
              <w:rPr>
                <w:rFonts w:hint="cs"/>
                <w:rtl/>
              </w:rPr>
              <w:t xml:space="preserve"> כל אחד</w:t>
            </w:r>
            <w:r w:rsidRPr="00980ADD">
              <w:rPr>
                <w:rtl/>
              </w:rPr>
              <w:t xml:space="preserve"> </w:t>
            </w:r>
            <w:r w:rsidR="00D16A77">
              <w:rPr>
                <w:rFonts w:hint="cs"/>
                <w:rtl/>
              </w:rPr>
              <w:t>מהגורמים האחראים על ההפרה</w:t>
            </w:r>
            <w:r w:rsidRPr="00980ADD">
              <w:rPr>
                <w:rtl/>
              </w:rPr>
              <w:t>, גובה הפרש המסים שנגרם על ידי כל אחד מהמפרים וכיו"ב.</w:t>
            </w:r>
          </w:p>
        </w:tc>
      </w:tr>
      <w:tr w:rsidR="002F3A3C" w:rsidRPr="0015633D" w:rsidTr="00980ADD">
        <w:trPr>
          <w:cantSplit/>
          <w:trHeight w:val="60"/>
        </w:trPr>
        <w:tc>
          <w:tcPr>
            <w:tcW w:w="1871" w:type="dxa"/>
          </w:tcPr>
          <w:p w:rsidR="002F3A3C" w:rsidRDefault="002F3A3C" w:rsidP="007E751D">
            <w:pPr>
              <w:pStyle w:val="TableSideHeading"/>
              <w:keepLines w:val="0"/>
            </w:pPr>
          </w:p>
        </w:tc>
        <w:tc>
          <w:tcPr>
            <w:tcW w:w="624" w:type="dxa"/>
          </w:tcPr>
          <w:p w:rsidR="002F3A3C" w:rsidRDefault="002F3A3C" w:rsidP="002F3A3C">
            <w:pPr>
              <w:pStyle w:val="TableText"/>
              <w:keepLines w:val="0"/>
              <w:numPr>
                <w:ilvl w:val="0"/>
                <w:numId w:val="4"/>
              </w:numPr>
            </w:pPr>
          </w:p>
        </w:tc>
        <w:tc>
          <w:tcPr>
            <w:tcW w:w="7146" w:type="dxa"/>
            <w:gridSpan w:val="2"/>
          </w:tcPr>
          <w:p w:rsidR="002F3A3C" w:rsidRPr="00C34DE2" w:rsidRDefault="00D91302" w:rsidP="00D16A77">
            <w:pPr>
              <w:pStyle w:val="TableBlock"/>
            </w:pPr>
            <w:r>
              <w:rPr>
                <w:rtl/>
              </w:rPr>
              <w:t xml:space="preserve">יוטל עיצום כספי בגין הפרה של סעיף 223ב(ד) לפקודת המכס  אם שיעור הצהרות היבוא לגביהן </w:t>
            </w:r>
            <w:r w:rsidR="00D16A77">
              <w:rPr>
                <w:rFonts w:hint="cs"/>
                <w:rtl/>
              </w:rPr>
              <w:t>בוצעה</w:t>
            </w:r>
            <w:r w:rsidR="00D16A77">
              <w:rPr>
                <w:rtl/>
              </w:rPr>
              <w:t xml:space="preserve"> </w:t>
            </w:r>
            <w:r>
              <w:rPr>
                <w:rtl/>
              </w:rPr>
              <w:t>הפרה עולה 1% מתוך סך הצהרות היבוא ברבעון.  לעניין סעיף קטן זה, "רבעון"- תקופה רצופה של שלושה חודשים שתחילתה ב-1 בינואר, ב-1 באפריל, ב-1 ביולי או ב-1 באוקטובר של כל שנת מס.</w:t>
            </w:r>
          </w:p>
        </w:tc>
      </w:tr>
      <w:tr w:rsidR="00D91302" w:rsidTr="00980ADD">
        <w:trPr>
          <w:cantSplit/>
          <w:trHeight w:val="60"/>
        </w:trPr>
        <w:tc>
          <w:tcPr>
            <w:tcW w:w="1871" w:type="dxa"/>
          </w:tcPr>
          <w:p w:rsidR="00D91302" w:rsidRPr="00D91302" w:rsidRDefault="00D91302" w:rsidP="007E751D">
            <w:pPr>
              <w:pStyle w:val="TableSideHeading"/>
              <w:keepLines w:val="0"/>
            </w:pPr>
          </w:p>
        </w:tc>
        <w:tc>
          <w:tcPr>
            <w:tcW w:w="624" w:type="dxa"/>
          </w:tcPr>
          <w:p w:rsidR="00D91302" w:rsidRDefault="00D91302" w:rsidP="00D91302">
            <w:pPr>
              <w:pStyle w:val="TableText"/>
              <w:keepLines w:val="0"/>
              <w:numPr>
                <w:ilvl w:val="0"/>
                <w:numId w:val="4"/>
              </w:numPr>
            </w:pPr>
          </w:p>
        </w:tc>
        <w:tc>
          <w:tcPr>
            <w:tcW w:w="7146" w:type="dxa"/>
            <w:gridSpan w:val="2"/>
          </w:tcPr>
          <w:p w:rsidR="00D91302" w:rsidRPr="00C34DE2" w:rsidRDefault="00D91302" w:rsidP="007E751D">
            <w:pPr>
              <w:pStyle w:val="TableBlock"/>
              <w:keepLines w:val="0"/>
            </w:pPr>
            <w:r w:rsidRPr="00D91302">
              <w:rPr>
                <w:rtl/>
              </w:rPr>
              <w:t>עיצום כספי בגין הפרה של סעיף 223ב(ו)</w:t>
            </w:r>
            <w:r w:rsidR="009069A0">
              <w:rPr>
                <w:rFonts w:hint="cs"/>
                <w:rtl/>
              </w:rPr>
              <w:t xml:space="preserve"> </w:t>
            </w:r>
            <w:r w:rsidRPr="00D91302">
              <w:rPr>
                <w:rtl/>
              </w:rPr>
              <w:t>יוטל אם סוכן המכס פעל עבור  בעל טובין מבלי שהוגש כתב הרשאה מתאים. לדוגמא: במקרה בו צורף כתב הרשאה לפעול עבור בעל הטובין שאינו בתוקף או שמת</w:t>
            </w:r>
            <w:r>
              <w:rPr>
                <w:rFonts w:hint="cs"/>
                <w:rtl/>
              </w:rPr>
              <w:t>י</w:t>
            </w:r>
            <w:r w:rsidRPr="00D91302">
              <w:rPr>
                <w:rtl/>
              </w:rPr>
              <w:t>יחס לטובין אחרים או לבעל טובין אחר.</w:t>
            </w:r>
          </w:p>
        </w:tc>
      </w:tr>
      <w:tr w:rsidR="00D91302" w:rsidTr="00980ADD">
        <w:trPr>
          <w:cantSplit/>
          <w:trHeight w:val="60"/>
        </w:trPr>
        <w:tc>
          <w:tcPr>
            <w:tcW w:w="1871" w:type="dxa"/>
          </w:tcPr>
          <w:p w:rsidR="00D91302" w:rsidRPr="00D91302" w:rsidRDefault="00D91302" w:rsidP="007E751D">
            <w:pPr>
              <w:pStyle w:val="TableSideHeading"/>
              <w:keepLines w:val="0"/>
            </w:pPr>
          </w:p>
        </w:tc>
        <w:tc>
          <w:tcPr>
            <w:tcW w:w="624" w:type="dxa"/>
          </w:tcPr>
          <w:p w:rsidR="00D91302" w:rsidRDefault="00D91302" w:rsidP="00D91302">
            <w:pPr>
              <w:pStyle w:val="TableText"/>
              <w:keepLines w:val="0"/>
              <w:numPr>
                <w:ilvl w:val="0"/>
                <w:numId w:val="4"/>
              </w:numPr>
            </w:pPr>
          </w:p>
        </w:tc>
        <w:tc>
          <w:tcPr>
            <w:tcW w:w="7146" w:type="dxa"/>
            <w:gridSpan w:val="2"/>
          </w:tcPr>
          <w:p w:rsidR="00D91302" w:rsidRPr="00D91302" w:rsidRDefault="00D91302" w:rsidP="007E751D">
            <w:pPr>
              <w:pStyle w:val="TableBlock"/>
              <w:keepLines w:val="0"/>
            </w:pPr>
            <w:r>
              <w:rPr>
                <w:rFonts w:hint="cs"/>
                <w:rtl/>
              </w:rPr>
              <w:t xml:space="preserve">על </w:t>
            </w:r>
            <w:r w:rsidRPr="00D91302">
              <w:rPr>
                <w:rtl/>
              </w:rPr>
              <w:t>אף האמור בסעיף 223ו(ב), בהפרה חוזרת של סעיף 223ב(ד), לא יוכפל סכום העיצום הכספי.</w:t>
            </w:r>
          </w:p>
        </w:tc>
      </w:tr>
      <w:tr w:rsidR="00D91302" w:rsidTr="00980ADD">
        <w:trPr>
          <w:cantSplit/>
          <w:trHeight w:val="60"/>
        </w:trPr>
        <w:tc>
          <w:tcPr>
            <w:tcW w:w="1871" w:type="dxa"/>
          </w:tcPr>
          <w:p w:rsidR="00D91302" w:rsidRDefault="00D91302" w:rsidP="007E751D">
            <w:pPr>
              <w:pStyle w:val="TableSideHeading"/>
              <w:keepLines w:val="0"/>
            </w:pPr>
          </w:p>
        </w:tc>
        <w:tc>
          <w:tcPr>
            <w:tcW w:w="624" w:type="dxa"/>
          </w:tcPr>
          <w:p w:rsidR="00D91302" w:rsidRDefault="00D91302" w:rsidP="00D91302">
            <w:pPr>
              <w:pStyle w:val="TableText"/>
              <w:keepLines w:val="0"/>
              <w:numPr>
                <w:ilvl w:val="0"/>
                <w:numId w:val="4"/>
              </w:numPr>
            </w:pPr>
          </w:p>
        </w:tc>
        <w:tc>
          <w:tcPr>
            <w:tcW w:w="7146" w:type="dxa"/>
            <w:gridSpan w:val="2"/>
          </w:tcPr>
          <w:p w:rsidR="00D91302" w:rsidRPr="00C34DE2" w:rsidRDefault="00D91302" w:rsidP="007E751D">
            <w:pPr>
              <w:pStyle w:val="TableBlock"/>
              <w:keepLines w:val="0"/>
            </w:pPr>
            <w:r w:rsidRPr="00D91302">
              <w:rPr>
                <w:rtl/>
              </w:rPr>
              <w:t>הבהרת פרט 7 לתוספת לפקודה המפנה לתקנה 23ו(יט) לתקנות המכס: לפי תקנה זו בעל רישיון של מחסן רשוי כללי  לא יחסין במחסנו האמור טובין, בין היתר, טובין שהם בבעלות אדם שעמו יש לו "יחסים מיוחדים". המונח "יחסים מיוחדים" יפורש כהגדרתו בסעיף 129 לפקודת המכס.</w:t>
            </w:r>
          </w:p>
        </w:tc>
      </w:tr>
      <w:tr w:rsidR="00D91302" w:rsidTr="00980ADD">
        <w:trPr>
          <w:cantSplit/>
          <w:trHeight w:val="60"/>
        </w:trPr>
        <w:tc>
          <w:tcPr>
            <w:tcW w:w="1871" w:type="dxa"/>
          </w:tcPr>
          <w:p w:rsidR="00D91302" w:rsidRDefault="00D91302" w:rsidP="007E751D">
            <w:pPr>
              <w:pStyle w:val="TableSideHeading"/>
              <w:keepLines w:val="0"/>
            </w:pPr>
          </w:p>
        </w:tc>
        <w:tc>
          <w:tcPr>
            <w:tcW w:w="624" w:type="dxa"/>
          </w:tcPr>
          <w:p w:rsidR="00D91302" w:rsidRDefault="00D91302" w:rsidP="00D91302">
            <w:pPr>
              <w:pStyle w:val="TableText"/>
              <w:keepLines w:val="0"/>
              <w:numPr>
                <w:ilvl w:val="0"/>
                <w:numId w:val="4"/>
              </w:numPr>
            </w:pPr>
          </w:p>
        </w:tc>
        <w:tc>
          <w:tcPr>
            <w:tcW w:w="7146" w:type="dxa"/>
            <w:gridSpan w:val="2"/>
          </w:tcPr>
          <w:p w:rsidR="00D91302" w:rsidRPr="00C34DE2" w:rsidRDefault="00D91302" w:rsidP="007E751D">
            <w:pPr>
              <w:pStyle w:val="TableBlock"/>
              <w:keepLines w:val="0"/>
            </w:pPr>
            <w:r w:rsidRPr="00D91302">
              <w:rPr>
                <w:rtl/>
              </w:rPr>
              <w:t>במקרה בו צוין פרט לא נכון בהצהרת יבוא או צורף מסמך לא נכון, יוטל העיצום הכספי על מי שגרם להפרה. אם היבואן הוא הגורם שמסר את הפרט הלא נכון העיצום הכספי יוטל עליו, ואם סוכן המכס מסר את הפרט הלא נכון, העיצום יוטל עליו.  כך לדוגמא, במקרה בו יבואן מגיש הצהרות יבוא באמצעות סוכן מכס והיבואן מילא באופן נכון ומלא את כל הנתונים הכלולים בתצהיר יבואן ומסר לסוכן המכס מטעמו את כל המסמכים שנדרש, וההפרה מתייחסת לאחד מנתונים אלו, לא יוטל עיצום כספי על היבואן.</w:t>
            </w:r>
          </w:p>
        </w:tc>
      </w:tr>
      <w:tr w:rsidR="00980ADD">
        <w:trPr>
          <w:cantSplit/>
          <w:trHeight w:val="60"/>
        </w:trPr>
        <w:tc>
          <w:tcPr>
            <w:tcW w:w="1871" w:type="dxa"/>
          </w:tcPr>
          <w:p w:rsidR="00980ADD" w:rsidRDefault="00980ADD" w:rsidP="007E751D">
            <w:pPr>
              <w:pStyle w:val="TableSideHeading"/>
              <w:keepLines w:val="0"/>
            </w:pPr>
          </w:p>
        </w:tc>
        <w:tc>
          <w:tcPr>
            <w:tcW w:w="624" w:type="dxa"/>
          </w:tcPr>
          <w:p w:rsidR="00980ADD" w:rsidRDefault="00980ADD" w:rsidP="00980ADD">
            <w:pPr>
              <w:pStyle w:val="TableText"/>
              <w:keepLines w:val="0"/>
              <w:numPr>
                <w:ilvl w:val="0"/>
                <w:numId w:val="4"/>
              </w:numPr>
            </w:pPr>
          </w:p>
        </w:tc>
        <w:tc>
          <w:tcPr>
            <w:tcW w:w="7146" w:type="dxa"/>
            <w:gridSpan w:val="2"/>
          </w:tcPr>
          <w:p w:rsidR="00980ADD" w:rsidRPr="00C34DE2" w:rsidRDefault="00980ADD" w:rsidP="007062A3">
            <w:pPr>
              <w:pStyle w:val="TableBlock"/>
              <w:keepLines w:val="0"/>
            </w:pPr>
            <w:r w:rsidRPr="00980ADD">
              <w:rPr>
                <w:rtl/>
              </w:rPr>
              <w:t xml:space="preserve">סיווג לא נכון או ערך עסקה לא נכון בהפרות לפי סעיפים 223ב(ב)(1), 223ב(ג)(1), 223ב(ד)(1)(ה)- </w:t>
            </w:r>
            <w:r w:rsidR="009069A0">
              <w:rPr>
                <w:rFonts w:hint="cs"/>
                <w:rtl/>
              </w:rPr>
              <w:t xml:space="preserve">לא יוטל עיצום כספי </w:t>
            </w:r>
            <w:r w:rsidRPr="00980ADD">
              <w:rPr>
                <w:rtl/>
              </w:rPr>
              <w:t>במקרים בהם הוגשה הצהרת יבוא הכוללת סיווג לא נכון או ערך עסקה לא נכון, והמנהל קבע, שמדובר בסיווג או קביעת ערך ללא סתירה לנהלים, הנחיות סיווג</w:t>
            </w:r>
            <w:r w:rsidR="007062A3">
              <w:rPr>
                <w:rFonts w:hint="cs"/>
                <w:rtl/>
              </w:rPr>
              <w:t xml:space="preserve"> או</w:t>
            </w:r>
            <w:r w:rsidRPr="00980ADD">
              <w:rPr>
                <w:rtl/>
              </w:rPr>
              <w:t xml:space="preserve"> החלטות מיסוי ("פרה רולינג") </w:t>
            </w:r>
            <w:r w:rsidR="00496A45">
              <w:rPr>
                <w:rFonts w:hint="cs"/>
                <w:rtl/>
              </w:rPr>
              <w:t xml:space="preserve">ולא </w:t>
            </w:r>
            <w:r w:rsidRPr="00980ADD">
              <w:rPr>
                <w:rtl/>
              </w:rPr>
              <w:t>קיימת אי בהירות בדבר הסיווג הנכון או הערך הנכון</w:t>
            </w:r>
            <w:r w:rsidR="009069A0">
              <w:rPr>
                <w:rFonts w:hint="cs"/>
                <w:rtl/>
              </w:rPr>
              <w:t>.</w:t>
            </w:r>
          </w:p>
        </w:tc>
      </w:tr>
      <w:tr w:rsidR="00D91302" w:rsidTr="00980ADD">
        <w:trPr>
          <w:cantSplit/>
          <w:trHeight w:val="60"/>
        </w:trPr>
        <w:tc>
          <w:tcPr>
            <w:tcW w:w="1871" w:type="dxa"/>
          </w:tcPr>
          <w:p w:rsidR="00D91302" w:rsidRDefault="00D91302" w:rsidP="007E751D">
            <w:pPr>
              <w:pStyle w:val="TableSideHeading"/>
              <w:keepLines w:val="0"/>
            </w:pPr>
          </w:p>
        </w:tc>
        <w:tc>
          <w:tcPr>
            <w:tcW w:w="624" w:type="dxa"/>
          </w:tcPr>
          <w:p w:rsidR="00D91302" w:rsidRDefault="00D91302" w:rsidP="00D91302">
            <w:pPr>
              <w:pStyle w:val="TableText"/>
              <w:keepLines w:val="0"/>
              <w:numPr>
                <w:ilvl w:val="0"/>
                <w:numId w:val="4"/>
              </w:numPr>
            </w:pPr>
          </w:p>
        </w:tc>
        <w:tc>
          <w:tcPr>
            <w:tcW w:w="7146" w:type="dxa"/>
            <w:gridSpan w:val="2"/>
          </w:tcPr>
          <w:p w:rsidR="00D91302" w:rsidRPr="00C34DE2" w:rsidRDefault="00D91302" w:rsidP="001D0170">
            <w:pPr>
              <w:pStyle w:val="TableBlock"/>
              <w:keepLines w:val="0"/>
            </w:pPr>
            <w:r w:rsidRPr="00D91302">
              <w:rPr>
                <w:rtl/>
              </w:rPr>
              <w:t>הליך הטלת העיצום הכספי לא יעכב את שחרור הטובין מפיקוח המכס (בכפוף לכך שלא קיימת כל מניעה אחרת לשחרור הטובין).</w:t>
            </w:r>
            <w:r w:rsidR="00980ADD">
              <w:rPr>
                <w:rtl/>
              </w:rPr>
              <w:t xml:space="preserve"> </w:t>
            </w:r>
            <w:r w:rsidR="00980ADD" w:rsidRPr="00980ADD">
              <w:rPr>
                <w:rtl/>
              </w:rPr>
              <w:t xml:space="preserve">ככלל, כשמבוצעות הפרות המנויות בפרק 13א לפקודת המכס יוטל עיצום כספי, אולם ייעשה שימוש בהליכי תפיסה </w:t>
            </w:r>
            <w:r w:rsidR="00496A45">
              <w:rPr>
                <w:rFonts w:hint="cs"/>
                <w:rtl/>
              </w:rPr>
              <w:t>(חלף עיצום</w:t>
            </w:r>
            <w:r w:rsidR="00AC1E2A">
              <w:rPr>
                <w:rFonts w:hint="cs"/>
                <w:rtl/>
              </w:rPr>
              <w:t xml:space="preserve"> כספי</w:t>
            </w:r>
            <w:r w:rsidR="00496A45">
              <w:rPr>
                <w:rFonts w:hint="cs"/>
                <w:rtl/>
              </w:rPr>
              <w:t xml:space="preserve">) </w:t>
            </w:r>
            <w:r w:rsidR="00980ADD" w:rsidRPr="00980ADD">
              <w:rPr>
                <w:rtl/>
              </w:rPr>
              <w:t>במקרים בהם קיימות נסיבות חמור</w:t>
            </w:r>
            <w:r w:rsidR="00980ADD">
              <w:rPr>
                <w:rFonts w:hint="cs"/>
                <w:rtl/>
              </w:rPr>
              <w:t xml:space="preserve">ות יותר, כגון: </w:t>
            </w:r>
            <w:r w:rsidR="00980ADD" w:rsidRPr="00980ADD">
              <w:rPr>
                <w:rtl/>
              </w:rPr>
              <w:t xml:space="preserve">הסלקה של טובין שלא הוצהר עליהם, יבוא של משלוח שלם ללא הצהרה, טובין האסורים ביבוא, הצהרה כוזבת של ערך במטרה להתחמק מתשלום מס, וזיוף מסמכים וכיוצ"ב. </w:t>
            </w:r>
          </w:p>
        </w:tc>
      </w:tr>
      <w:tr w:rsidR="006342D2">
        <w:trPr>
          <w:cantSplit/>
          <w:trHeight w:val="60"/>
        </w:trPr>
        <w:tc>
          <w:tcPr>
            <w:tcW w:w="1871" w:type="dxa"/>
          </w:tcPr>
          <w:p w:rsidR="006342D2" w:rsidRPr="006342D2" w:rsidRDefault="006342D2" w:rsidP="007E751D">
            <w:pPr>
              <w:pStyle w:val="TableSideHeading"/>
              <w:keepLines w:val="0"/>
            </w:pPr>
          </w:p>
        </w:tc>
        <w:tc>
          <w:tcPr>
            <w:tcW w:w="624" w:type="dxa"/>
          </w:tcPr>
          <w:p w:rsidR="006342D2" w:rsidRDefault="006342D2" w:rsidP="006342D2">
            <w:pPr>
              <w:pStyle w:val="TableText"/>
              <w:keepLines w:val="0"/>
              <w:numPr>
                <w:ilvl w:val="0"/>
                <w:numId w:val="4"/>
              </w:numPr>
            </w:pPr>
          </w:p>
        </w:tc>
        <w:tc>
          <w:tcPr>
            <w:tcW w:w="7146" w:type="dxa"/>
            <w:gridSpan w:val="2"/>
          </w:tcPr>
          <w:p w:rsidR="006342D2" w:rsidRPr="00C34DE2" w:rsidRDefault="006342D2" w:rsidP="00496A45">
            <w:pPr>
              <w:pStyle w:val="TableBlock"/>
              <w:keepLines w:val="0"/>
            </w:pPr>
            <w:r>
              <w:rPr>
                <w:rFonts w:hint="cs"/>
                <w:rtl/>
              </w:rPr>
              <w:t xml:space="preserve">במקרים של הטלת עיצום כספי </w:t>
            </w:r>
            <w:r w:rsidR="009809EF">
              <w:rPr>
                <w:rFonts w:hint="cs"/>
                <w:rtl/>
              </w:rPr>
              <w:t>עקב הפרה לפי סעיפים 223ב(ב)(1) או 223ב(ג)(1) שבגינה נוצר הפרש מיסים בסכום שאינו עולה על 5,000 ₪</w:t>
            </w:r>
            <w:r>
              <w:rPr>
                <w:rFonts w:hint="cs"/>
                <w:rtl/>
              </w:rPr>
              <w:t>, העיצום</w:t>
            </w:r>
            <w:r w:rsidR="009069A0">
              <w:rPr>
                <w:rFonts w:hint="cs"/>
                <w:rtl/>
              </w:rPr>
              <w:t xml:space="preserve"> הכספי</w:t>
            </w:r>
            <w:r>
              <w:rPr>
                <w:rFonts w:hint="cs"/>
                <w:rtl/>
              </w:rPr>
              <w:t xml:space="preserve"> יוטל על ידי </w:t>
            </w:r>
            <w:r w:rsidR="009069A0">
              <w:rPr>
                <w:rFonts w:hint="cs"/>
                <w:rtl/>
              </w:rPr>
              <w:t xml:space="preserve">מנהל תחום בכיר בבתי המכס </w:t>
            </w:r>
            <w:r>
              <w:rPr>
                <w:rFonts w:hint="cs"/>
                <w:rtl/>
              </w:rPr>
              <w:t>ולא על ידי ועדה.</w:t>
            </w:r>
            <w:r w:rsidR="009809EF">
              <w:rPr>
                <w:rFonts w:hint="cs"/>
                <w:rtl/>
              </w:rPr>
              <w:t xml:space="preserve"> במקרים של  הטלת עיצום כספי עקב הפרה לפי סעיף 223ב(ד) העיצום יוטל על ידי מנהל תחום בכיר </w:t>
            </w:r>
            <w:r w:rsidR="00496A45">
              <w:rPr>
                <w:rFonts w:hint="cs"/>
                <w:rtl/>
              </w:rPr>
              <w:t xml:space="preserve">בהנהלת רשות המסים </w:t>
            </w:r>
            <w:r w:rsidR="009809EF">
              <w:rPr>
                <w:rFonts w:hint="cs"/>
                <w:rtl/>
              </w:rPr>
              <w:t xml:space="preserve"> ולא על ידי ועדה.</w:t>
            </w:r>
          </w:p>
        </w:tc>
      </w:tr>
    </w:tbl>
    <w:p w:rsidR="00ED140F" w:rsidRDefault="00ED140F" w:rsidP="00307E94"/>
    <w:p w:rsidR="00ED140F" w:rsidRDefault="00ED140F" w:rsidP="00307E94">
      <w:pPr>
        <w:rPr>
          <w:rtl/>
        </w:rPr>
      </w:pPr>
    </w:p>
    <w:p w:rsidR="00ED140F" w:rsidRDefault="00ED140F" w:rsidP="00C52A02">
      <w:pPr>
        <w:rPr>
          <w:rFonts w:eastAsia="Calibri"/>
          <w:rtl/>
        </w:rPr>
      </w:pPr>
      <w:r>
        <w:rPr>
          <w:rFonts w:eastAsia="Calibri" w:hint="cs"/>
          <w:rtl/>
        </w:rPr>
        <w:t xml:space="preserve">___ ב________ </w:t>
      </w:r>
      <w:r w:rsidR="005E1522">
        <w:rPr>
          <w:rFonts w:eastAsia="Calibri" w:hint="cs"/>
          <w:rtl/>
        </w:rPr>
        <w:t>התש</w:t>
      </w:r>
      <w:r w:rsidR="00C52A02">
        <w:rPr>
          <w:rFonts w:eastAsia="Calibri" w:hint="cs"/>
          <w:rtl/>
        </w:rPr>
        <w:t>"ף</w:t>
      </w:r>
      <w:r>
        <w:rPr>
          <w:rFonts w:eastAsia="Calibri" w:hint="cs"/>
          <w:rtl/>
        </w:rPr>
        <w:t xml:space="preserve"> (___ ב________ </w:t>
      </w:r>
      <w:r w:rsidR="005E1522">
        <w:rPr>
          <w:rFonts w:eastAsia="Calibri" w:hint="cs"/>
          <w:rtl/>
        </w:rPr>
        <w:t>20</w:t>
      </w:r>
      <w:r w:rsidR="00C52A02">
        <w:rPr>
          <w:rFonts w:eastAsia="Calibri" w:hint="cs"/>
          <w:rtl/>
        </w:rPr>
        <w:t>20</w:t>
      </w:r>
      <w:r>
        <w:rPr>
          <w:rFonts w:eastAsia="Calibri" w:hint="cs"/>
          <w:rtl/>
        </w:rPr>
        <w:t>)</w:t>
      </w:r>
    </w:p>
    <w:p w:rsidR="00ED140F" w:rsidRDefault="00ED140F" w:rsidP="00307E94">
      <w:pPr>
        <w:rPr>
          <w:rFonts w:eastAsia="Calibri"/>
          <w:rtl/>
        </w:rPr>
      </w:pPr>
    </w:p>
    <w:p w:rsidR="00ED140F" w:rsidRDefault="005E1522" w:rsidP="00307E94">
      <w:pPr>
        <w:ind w:left="5760"/>
        <w:jc w:val="center"/>
        <w:rPr>
          <w:rFonts w:eastAsia="Calibri"/>
          <w:rtl/>
        </w:rPr>
      </w:pPr>
      <w:r>
        <w:rPr>
          <w:rFonts w:eastAsia="Calibri" w:hint="cs"/>
          <w:rtl/>
        </w:rPr>
        <w:t>__________________</w:t>
      </w:r>
    </w:p>
    <w:p w:rsidR="00ED140F" w:rsidRDefault="00EA74B7" w:rsidP="00307E94">
      <w:pPr>
        <w:ind w:left="5760"/>
        <w:jc w:val="center"/>
        <w:rPr>
          <w:rFonts w:eastAsia="Calibri"/>
          <w:rtl/>
        </w:rPr>
      </w:pPr>
      <w:r>
        <w:rPr>
          <w:rFonts w:eastAsia="Calibri" w:hint="cs"/>
          <w:rtl/>
        </w:rPr>
        <w:t>ערו יעקב</w:t>
      </w:r>
    </w:p>
    <w:p w:rsidR="00ED140F" w:rsidRDefault="00EA74B7" w:rsidP="00307E94">
      <w:pPr>
        <w:ind w:left="5760"/>
        <w:jc w:val="center"/>
        <w:rPr>
          <w:rFonts w:eastAsia="Calibri"/>
          <w:rtl/>
        </w:rPr>
      </w:pPr>
      <w:r>
        <w:rPr>
          <w:rFonts w:eastAsia="Calibri" w:hint="cs"/>
          <w:rtl/>
        </w:rPr>
        <w:t>מנהל רשות המסים בישראל</w:t>
      </w:r>
    </w:p>
    <w:p w:rsidR="00311920" w:rsidRDefault="00311920"/>
    <w:sectPr w:rsidR="00311920" w:rsidSect="00ED140F">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45" w:rsidRDefault="00363345" w:rsidP="005E1522">
      <w:pPr>
        <w:spacing w:line="240" w:lineRule="auto"/>
      </w:pPr>
      <w:r>
        <w:separator/>
      </w:r>
    </w:p>
  </w:endnote>
  <w:endnote w:type="continuationSeparator" w:id="0">
    <w:p w:rsidR="00363345" w:rsidRDefault="00363345" w:rsidP="005E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45" w:rsidRDefault="00363345" w:rsidP="005E1522">
      <w:pPr>
        <w:spacing w:line="240" w:lineRule="auto"/>
      </w:pPr>
      <w:r>
        <w:separator/>
      </w:r>
    </w:p>
  </w:footnote>
  <w:footnote w:type="continuationSeparator" w:id="0">
    <w:p w:rsidR="00363345" w:rsidRDefault="00363345" w:rsidP="005E15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21867"/>
    <w:multiLevelType w:val="hybridMultilevel"/>
    <w:tmpl w:val="BA6C4146"/>
    <w:lvl w:ilvl="0" w:tplc="BBDA0E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37533"/>
    <w:multiLevelType w:val="hybridMultilevel"/>
    <w:tmpl w:val="03401B9C"/>
    <w:lvl w:ilvl="0" w:tplc="6FCC55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C8294E"/>
    <w:multiLevelType w:val="hybridMultilevel"/>
    <w:tmpl w:val="BCBE5226"/>
    <w:lvl w:ilvl="0" w:tplc="874845D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C38E8"/>
    <w:multiLevelType w:val="hybridMultilevel"/>
    <w:tmpl w:val="3A146144"/>
    <w:lvl w:ilvl="0" w:tplc="C692728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B085BD7"/>
    <w:multiLevelType w:val="hybridMultilevel"/>
    <w:tmpl w:val="25B61598"/>
    <w:lvl w:ilvl="0" w:tplc="42FAED8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1"/>
  </w:num>
  <w:num w:numId="6">
    <w:abstractNumId w:val="2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4"/>
    <w:lvlOverride w:ilvl="0">
      <w:startOverride w:val="1"/>
    </w:lvlOverride>
  </w:num>
  <w:num w:numId="18">
    <w:abstractNumId w:val="10"/>
  </w:num>
  <w:num w:numId="19">
    <w:abstractNumId w:val="17"/>
  </w:num>
  <w:num w:numId="20">
    <w:abstractNumId w:val="15"/>
  </w:num>
  <w:num w:numId="21">
    <w:abstractNumId w:val="13"/>
  </w:num>
  <w:num w:numId="22">
    <w:abstractNumId w:val="18"/>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0F"/>
    <w:rsid w:val="000811B4"/>
    <w:rsid w:val="00120D56"/>
    <w:rsid w:val="0015633D"/>
    <w:rsid w:val="001739A2"/>
    <w:rsid w:val="001D0170"/>
    <w:rsid w:val="00201E8C"/>
    <w:rsid w:val="002565A9"/>
    <w:rsid w:val="002D6F88"/>
    <w:rsid w:val="002F3A3C"/>
    <w:rsid w:val="00311920"/>
    <w:rsid w:val="00363345"/>
    <w:rsid w:val="00447ED8"/>
    <w:rsid w:val="00447F33"/>
    <w:rsid w:val="004856D0"/>
    <w:rsid w:val="00496A45"/>
    <w:rsid w:val="00572F5C"/>
    <w:rsid w:val="005E1522"/>
    <w:rsid w:val="006342D2"/>
    <w:rsid w:val="0068429E"/>
    <w:rsid w:val="007062A3"/>
    <w:rsid w:val="00724B4D"/>
    <w:rsid w:val="00767D78"/>
    <w:rsid w:val="007D44D3"/>
    <w:rsid w:val="00897E51"/>
    <w:rsid w:val="008C6453"/>
    <w:rsid w:val="008E02DB"/>
    <w:rsid w:val="00902369"/>
    <w:rsid w:val="009069A0"/>
    <w:rsid w:val="00964A93"/>
    <w:rsid w:val="009809EF"/>
    <w:rsid w:val="00980ADD"/>
    <w:rsid w:val="009827D9"/>
    <w:rsid w:val="009C16EB"/>
    <w:rsid w:val="00A17377"/>
    <w:rsid w:val="00A258F5"/>
    <w:rsid w:val="00A64D3F"/>
    <w:rsid w:val="00AC1C2F"/>
    <w:rsid w:val="00AC1E2A"/>
    <w:rsid w:val="00B10880"/>
    <w:rsid w:val="00B90512"/>
    <w:rsid w:val="00B976C3"/>
    <w:rsid w:val="00BB27DA"/>
    <w:rsid w:val="00BF3F86"/>
    <w:rsid w:val="00C069FA"/>
    <w:rsid w:val="00C52A02"/>
    <w:rsid w:val="00CB644A"/>
    <w:rsid w:val="00D16A77"/>
    <w:rsid w:val="00D91302"/>
    <w:rsid w:val="00DA04FC"/>
    <w:rsid w:val="00DD32AB"/>
    <w:rsid w:val="00DD743E"/>
    <w:rsid w:val="00E02FFD"/>
    <w:rsid w:val="00E9407F"/>
    <w:rsid w:val="00EA74B7"/>
    <w:rsid w:val="00EB4FF2"/>
    <w:rsid w:val="00ED14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AE07E-ED15-4BF8-9FC7-16A98329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D78"/>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767D78"/>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767D78"/>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767D78"/>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767D78"/>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767D78"/>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67D78"/>
    <w:rPr>
      <w:rFonts w:asciiTheme="majorHAnsi" w:eastAsiaTheme="majorEastAsia" w:hAnsiTheme="majorHAnsi" w:cs="David"/>
      <w:bCs/>
      <w:sz w:val="32"/>
      <w:szCs w:val="36"/>
    </w:rPr>
  </w:style>
  <w:style w:type="character" w:customStyle="1" w:styleId="40">
    <w:name w:val="כותרת 4 תו"/>
    <w:basedOn w:val="a0"/>
    <w:link w:val="4"/>
    <w:uiPriority w:val="9"/>
    <w:rsid w:val="00767D78"/>
    <w:rPr>
      <w:rFonts w:ascii="David" w:hAnsi="David" w:cs="David"/>
      <w:b/>
      <w:bCs/>
      <w:color w:val="000000" w:themeColor="text1"/>
      <w:sz w:val="24"/>
      <w:szCs w:val="28"/>
    </w:rPr>
  </w:style>
  <w:style w:type="paragraph" w:customStyle="1" w:styleId="TableText">
    <w:name w:val="Table Text"/>
    <w:basedOn w:val="a"/>
    <w:rsid w:val="00767D78"/>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767D78"/>
    <w:pPr>
      <w:outlineLvl w:val="2"/>
    </w:pPr>
  </w:style>
  <w:style w:type="paragraph" w:customStyle="1" w:styleId="TableBlock">
    <w:name w:val="Table Block"/>
    <w:basedOn w:val="TableText"/>
    <w:rsid w:val="00767D78"/>
    <w:pPr>
      <w:jc w:val="both"/>
    </w:pPr>
  </w:style>
  <w:style w:type="paragraph" w:customStyle="1" w:styleId="TableHead">
    <w:name w:val="Table Head"/>
    <w:basedOn w:val="TableText"/>
    <w:rsid w:val="00767D78"/>
    <w:pPr>
      <w:jc w:val="center"/>
      <w:outlineLvl w:val="1"/>
    </w:pPr>
    <w:rPr>
      <w:b/>
      <w:bCs/>
    </w:rPr>
  </w:style>
  <w:style w:type="paragraph" w:customStyle="1" w:styleId="HeadMitparsemetBaze">
    <w:name w:val="Head MitparsemetBaze"/>
    <w:basedOn w:val="a"/>
    <w:rsid w:val="00767D78"/>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767D78"/>
    <w:pPr>
      <w:keepNext/>
      <w:keepLines/>
      <w:snapToGrid w:val="0"/>
      <w:spacing w:before="240"/>
      <w:jc w:val="center"/>
      <w:outlineLvl w:val="0"/>
    </w:pPr>
    <w:rPr>
      <w:rFonts w:ascii="Arial" w:eastAsia="Arial Unicode MS" w:hAnsi="Arial"/>
      <w:b/>
      <w:bCs/>
      <w:snapToGrid w:val="0"/>
      <w:sz w:val="20"/>
      <w:szCs w:val="26"/>
    </w:rPr>
  </w:style>
  <w:style w:type="paragraph" w:customStyle="1" w:styleId="HeadDivreiHesber">
    <w:name w:val="Head DivreiHesber"/>
    <w:basedOn w:val="a"/>
    <w:rsid w:val="00767D78"/>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767D78"/>
    <w:rPr>
      <w:rFonts w:asciiTheme="majorHAnsi" w:eastAsiaTheme="majorEastAsia" w:hAnsiTheme="majorHAnsi" w:cs="David"/>
      <w:bCs/>
      <w:sz w:val="26"/>
      <w:szCs w:val="36"/>
      <w:u w:val="single"/>
    </w:rPr>
  </w:style>
  <w:style w:type="character" w:customStyle="1" w:styleId="30">
    <w:name w:val="כותרת 3 תו"/>
    <w:basedOn w:val="a0"/>
    <w:link w:val="3"/>
    <w:rsid w:val="00767D78"/>
    <w:rPr>
      <w:rFonts w:asciiTheme="majorHAnsi" w:eastAsiaTheme="majorEastAsia" w:hAnsiTheme="majorHAnsi" w:cs="David"/>
      <w:sz w:val="24"/>
      <w:szCs w:val="28"/>
      <w:u w:val="double"/>
    </w:rPr>
  </w:style>
  <w:style w:type="character" w:customStyle="1" w:styleId="50">
    <w:name w:val="כותרת 5 תו"/>
    <w:basedOn w:val="a0"/>
    <w:link w:val="5"/>
    <w:uiPriority w:val="9"/>
    <w:rsid w:val="00767D78"/>
    <w:rPr>
      <w:rFonts w:ascii="David" w:hAnsi="David" w:cs="David"/>
      <w:color w:val="000000" w:themeColor="text1"/>
      <w:sz w:val="24"/>
      <w:szCs w:val="24"/>
    </w:rPr>
  </w:style>
  <w:style w:type="paragraph" w:customStyle="1" w:styleId="HeadHatzaotHok4Futer">
    <w:name w:val="Head HatzaotHok4Futer"/>
    <w:basedOn w:val="HeadHatzaotHok"/>
    <w:rsid w:val="00767D78"/>
    <w:pPr>
      <w:spacing w:before="120" w:after="120"/>
    </w:pPr>
    <w:rPr>
      <w:color w:val="FF0000"/>
      <w:w w:val="80"/>
    </w:rPr>
  </w:style>
  <w:style w:type="paragraph" w:styleId="a3">
    <w:name w:val="endnote text"/>
    <w:basedOn w:val="a"/>
    <w:link w:val="a4"/>
    <w:semiHidden/>
    <w:rsid w:val="00767D78"/>
    <w:pPr>
      <w:ind w:left="227" w:hanging="227"/>
    </w:pPr>
    <w:rPr>
      <w:sz w:val="14"/>
      <w:szCs w:val="22"/>
    </w:rPr>
  </w:style>
  <w:style w:type="character" w:customStyle="1" w:styleId="a4">
    <w:name w:val="טקסט הערת סיום תו"/>
    <w:basedOn w:val="a0"/>
    <w:link w:val="a3"/>
    <w:semiHidden/>
    <w:rsid w:val="00ED140F"/>
    <w:rPr>
      <w:rFonts w:ascii="David" w:hAnsi="David" w:cs="David"/>
      <w:sz w:val="14"/>
    </w:rPr>
  </w:style>
  <w:style w:type="paragraph" w:customStyle="1" w:styleId="TableInnerSideHeading">
    <w:name w:val="Table InnerSideHeading"/>
    <w:basedOn w:val="TableSideHeading"/>
    <w:rsid w:val="00767D78"/>
    <w:pPr>
      <w:outlineLvl w:val="9"/>
    </w:pPr>
  </w:style>
  <w:style w:type="paragraph" w:customStyle="1" w:styleId="Hesber">
    <w:name w:val="Hesber"/>
    <w:basedOn w:val="a"/>
    <w:rsid w:val="00767D78"/>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767D78"/>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ED140F"/>
    <w:rPr>
      <w:rFonts w:ascii="Arial" w:eastAsia="Arial Unicode MS" w:hAnsi="Arial" w:cs="David"/>
      <w:snapToGrid w:val="0"/>
      <w:sz w:val="14"/>
      <w:szCs w:val="20"/>
    </w:rPr>
  </w:style>
  <w:style w:type="character" w:styleId="a7">
    <w:name w:val="footnote reference"/>
    <w:aliases w:val="Footnote Reference"/>
    <w:basedOn w:val="a0"/>
    <w:semiHidden/>
    <w:rsid w:val="00767D78"/>
    <w:rPr>
      <w:vertAlign w:val="superscript"/>
    </w:rPr>
  </w:style>
  <w:style w:type="paragraph" w:customStyle="1" w:styleId="HesberHeading">
    <w:name w:val="Hesber Heading"/>
    <w:basedOn w:val="Hesber"/>
    <w:rsid w:val="00767D78"/>
    <w:pPr>
      <w:tabs>
        <w:tab w:val="left" w:pos="624"/>
        <w:tab w:val="left" w:pos="1247"/>
      </w:tabs>
    </w:pPr>
    <w:rPr>
      <w:b/>
      <w:bCs/>
    </w:rPr>
  </w:style>
  <w:style w:type="paragraph" w:customStyle="1" w:styleId="HesberWriters">
    <w:name w:val="Hesber Writers"/>
    <w:basedOn w:val="Hesber"/>
    <w:rsid w:val="00767D78"/>
    <w:pPr>
      <w:spacing w:before="120" w:after="120"/>
      <w:ind w:left="1418"/>
      <w:jc w:val="right"/>
    </w:pPr>
    <w:rPr>
      <w:b/>
      <w:bCs/>
    </w:rPr>
  </w:style>
  <w:style w:type="paragraph" w:customStyle="1" w:styleId="Hesber1st">
    <w:name w:val="Hesber 1st"/>
    <w:basedOn w:val="Hesber"/>
    <w:rsid w:val="00767D78"/>
    <w:pPr>
      <w:tabs>
        <w:tab w:val="left" w:pos="680"/>
        <w:tab w:val="left" w:pos="1020"/>
      </w:tabs>
      <w:ind w:firstLine="0"/>
    </w:pPr>
  </w:style>
  <w:style w:type="character" w:styleId="a8">
    <w:name w:val="endnote reference"/>
    <w:basedOn w:val="a0"/>
    <w:semiHidden/>
    <w:rsid w:val="00767D78"/>
    <w:rPr>
      <w:vertAlign w:val="superscript"/>
    </w:rPr>
  </w:style>
  <w:style w:type="paragraph" w:customStyle="1" w:styleId="TableBlockOutdent">
    <w:name w:val="Table BlockOutdent"/>
    <w:basedOn w:val="TableBlock"/>
    <w:rsid w:val="00767D78"/>
    <w:pPr>
      <w:ind w:left="624" w:hanging="624"/>
    </w:pPr>
  </w:style>
  <w:style w:type="paragraph" w:styleId="a9">
    <w:name w:val="header"/>
    <w:basedOn w:val="a"/>
    <w:link w:val="aa"/>
    <w:rsid w:val="00767D78"/>
    <w:pPr>
      <w:tabs>
        <w:tab w:val="center" w:pos="4153"/>
        <w:tab w:val="right" w:pos="8306"/>
      </w:tabs>
    </w:pPr>
  </w:style>
  <w:style w:type="character" w:customStyle="1" w:styleId="aa">
    <w:name w:val="כותרת עליונה תו"/>
    <w:basedOn w:val="a0"/>
    <w:link w:val="a9"/>
    <w:rsid w:val="00ED140F"/>
    <w:rPr>
      <w:rFonts w:ascii="David" w:hAnsi="David" w:cs="David"/>
      <w:sz w:val="24"/>
      <w:szCs w:val="24"/>
    </w:rPr>
  </w:style>
  <w:style w:type="paragraph" w:styleId="ab">
    <w:name w:val="footer"/>
    <w:basedOn w:val="a"/>
    <w:link w:val="ac"/>
    <w:rsid w:val="00767D78"/>
    <w:pPr>
      <w:tabs>
        <w:tab w:val="center" w:pos="4153"/>
        <w:tab w:val="right" w:pos="8306"/>
      </w:tabs>
    </w:pPr>
  </w:style>
  <w:style w:type="character" w:customStyle="1" w:styleId="ac">
    <w:name w:val="כותרת תחתונה תו"/>
    <w:basedOn w:val="a0"/>
    <w:link w:val="ab"/>
    <w:rsid w:val="00ED140F"/>
    <w:rPr>
      <w:rFonts w:ascii="David" w:hAnsi="David" w:cs="David"/>
      <w:sz w:val="24"/>
      <w:szCs w:val="24"/>
    </w:rPr>
  </w:style>
  <w:style w:type="character" w:styleId="ad">
    <w:name w:val="page number"/>
    <w:basedOn w:val="a0"/>
    <w:rsid w:val="00767D78"/>
  </w:style>
  <w:style w:type="paragraph" w:customStyle="1" w:styleId="Cover1-Reshumot">
    <w:name w:val="Cover 1-Reshumot"/>
    <w:basedOn w:val="a"/>
    <w:rsid w:val="00767D78"/>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767D78"/>
    <w:rPr>
      <w:sz w:val="36"/>
      <w:szCs w:val="52"/>
    </w:rPr>
  </w:style>
  <w:style w:type="paragraph" w:customStyle="1" w:styleId="Cover3-Haknesset">
    <w:name w:val="Cover 3-Haknesset"/>
    <w:basedOn w:val="Cover1-Reshumot"/>
    <w:rsid w:val="00767D78"/>
    <w:rPr>
      <w:b/>
      <w:bCs/>
      <w:spacing w:val="60"/>
    </w:rPr>
  </w:style>
  <w:style w:type="paragraph" w:customStyle="1" w:styleId="Cover4-Date">
    <w:name w:val="Cover 4-Date"/>
    <w:basedOn w:val="a"/>
    <w:rsid w:val="00767D78"/>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767D78"/>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767D78"/>
    <w:pPr>
      <w:widowControl/>
      <w:spacing w:before="120" w:after="120"/>
      <w:outlineLvl w:val="9"/>
    </w:pPr>
    <w:rPr>
      <w:rtl/>
      <w:cs/>
    </w:rPr>
  </w:style>
  <w:style w:type="paragraph" w:styleId="TOC1">
    <w:name w:val="toc 1"/>
    <w:basedOn w:val="a"/>
    <w:next w:val="a"/>
    <w:autoRedefine/>
    <w:uiPriority w:val="39"/>
    <w:unhideWhenUsed/>
    <w:rsid w:val="00767D78"/>
    <w:pPr>
      <w:tabs>
        <w:tab w:val="right" w:leader="dot" w:pos="9629"/>
      </w:tabs>
      <w:spacing w:after="100"/>
    </w:pPr>
    <w:rPr>
      <w:bCs/>
      <w:szCs w:val="22"/>
    </w:rPr>
  </w:style>
  <w:style w:type="paragraph" w:styleId="TOC2">
    <w:name w:val="toc 2"/>
    <w:basedOn w:val="a"/>
    <w:next w:val="a"/>
    <w:uiPriority w:val="39"/>
    <w:unhideWhenUsed/>
    <w:rsid w:val="00767D78"/>
    <w:pPr>
      <w:tabs>
        <w:tab w:val="right" w:leader="dot" w:pos="9628"/>
      </w:tabs>
      <w:spacing w:after="100"/>
    </w:pPr>
    <w:rPr>
      <w:szCs w:val="22"/>
    </w:rPr>
  </w:style>
  <w:style w:type="character" w:styleId="Hyperlink">
    <w:name w:val="Hyperlink"/>
    <w:basedOn w:val="a0"/>
    <w:uiPriority w:val="99"/>
    <w:unhideWhenUsed/>
    <w:rsid w:val="00767D78"/>
    <w:rPr>
      <w:color w:val="0000FF" w:themeColor="hyperlink"/>
      <w:u w:val="single"/>
    </w:rPr>
  </w:style>
  <w:style w:type="paragraph" w:styleId="TOC3">
    <w:name w:val="toc 3"/>
    <w:basedOn w:val="a"/>
    <w:next w:val="a"/>
    <w:uiPriority w:val="39"/>
    <w:unhideWhenUsed/>
    <w:rsid w:val="00767D78"/>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767D78"/>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767D78"/>
    <w:pPr>
      <w:tabs>
        <w:tab w:val="right" w:leader="dot" w:pos="9628"/>
      </w:tabs>
      <w:spacing w:after="100"/>
      <w:ind w:left="567"/>
    </w:pPr>
    <w:rPr>
      <w:szCs w:val="22"/>
    </w:rPr>
  </w:style>
  <w:style w:type="paragraph" w:styleId="TOC6">
    <w:name w:val="toc 6"/>
    <w:basedOn w:val="a"/>
    <w:next w:val="a"/>
    <w:autoRedefine/>
    <w:semiHidden/>
    <w:unhideWhenUsed/>
    <w:rsid w:val="00767D78"/>
    <w:pPr>
      <w:spacing w:after="100"/>
      <w:ind w:left="850"/>
    </w:pPr>
  </w:style>
  <w:style w:type="paragraph" w:styleId="TOC7">
    <w:name w:val="toc 7"/>
    <w:basedOn w:val="a"/>
    <w:next w:val="a"/>
    <w:autoRedefine/>
    <w:semiHidden/>
    <w:unhideWhenUsed/>
    <w:rsid w:val="00767D78"/>
    <w:pPr>
      <w:spacing w:after="100"/>
      <w:ind w:left="1020"/>
    </w:pPr>
  </w:style>
  <w:style w:type="paragraph" w:styleId="TOC8">
    <w:name w:val="toc 8"/>
    <w:basedOn w:val="a"/>
    <w:next w:val="a"/>
    <w:autoRedefine/>
    <w:semiHidden/>
    <w:unhideWhenUsed/>
    <w:rsid w:val="00767D78"/>
    <w:pPr>
      <w:spacing w:after="100"/>
      <w:ind w:left="1190"/>
    </w:pPr>
  </w:style>
  <w:style w:type="paragraph" w:styleId="TOC9">
    <w:name w:val="toc 9"/>
    <w:basedOn w:val="a"/>
    <w:next w:val="a"/>
    <w:autoRedefine/>
    <w:semiHidden/>
    <w:unhideWhenUsed/>
    <w:rsid w:val="00767D78"/>
    <w:pPr>
      <w:spacing w:after="100"/>
      <w:ind w:left="1360"/>
    </w:pPr>
  </w:style>
  <w:style w:type="paragraph" w:customStyle="1" w:styleId="TableHead2">
    <w:name w:val="Table Head2"/>
    <w:basedOn w:val="TableHead"/>
    <w:qFormat/>
    <w:rsid w:val="00767D78"/>
    <w:pPr>
      <w:outlineLvl w:val="9"/>
    </w:pPr>
  </w:style>
  <w:style w:type="paragraph" w:customStyle="1" w:styleId="TableSideHeading2">
    <w:name w:val="Table SideHeading2"/>
    <w:basedOn w:val="TableSideHeading"/>
    <w:autoRedefine/>
    <w:qFormat/>
    <w:rsid w:val="00767D78"/>
    <w:pPr>
      <w:keepLines w:val="0"/>
      <w:outlineLvl w:val="9"/>
    </w:pPr>
  </w:style>
  <w:style w:type="paragraph" w:customStyle="1" w:styleId="0">
    <w:name w:val="סגנון שורה ראשונה:  0  ס''מ"/>
    <w:basedOn w:val="2"/>
    <w:rsid w:val="00767D78"/>
    <w:rPr>
      <w:rFonts w:eastAsia="Times New Roman"/>
    </w:rPr>
  </w:style>
  <w:style w:type="paragraph" w:styleId="af">
    <w:name w:val="List Paragraph"/>
    <w:basedOn w:val="a"/>
    <w:uiPriority w:val="34"/>
    <w:qFormat/>
    <w:rsid w:val="00767D78"/>
    <w:pPr>
      <w:widowControl/>
      <w:spacing w:line="259" w:lineRule="auto"/>
    </w:pPr>
    <w:rPr>
      <w:rFonts w:asciiTheme="minorHAnsi" w:hAnsiTheme="minorHAnsi"/>
      <w:sz w:val="22"/>
    </w:rPr>
  </w:style>
  <w:style w:type="table" w:styleId="af0">
    <w:name w:val="Table Grid"/>
    <w:basedOn w:val="a1"/>
    <w:rsid w:val="00767D7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ED140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ED140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767D78"/>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767D78"/>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5E1522"/>
    <w:pPr>
      <w:spacing w:line="240" w:lineRule="auto"/>
    </w:pPr>
    <w:rPr>
      <w:rFonts w:ascii="Tahoma" w:hAnsi="Tahoma" w:cs="Tahoma"/>
      <w:sz w:val="16"/>
      <w:szCs w:val="16"/>
    </w:rPr>
  </w:style>
  <w:style w:type="character" w:customStyle="1" w:styleId="af3">
    <w:name w:val="טקסט בלונים תו"/>
    <w:basedOn w:val="a0"/>
    <w:link w:val="af2"/>
    <w:uiPriority w:val="99"/>
    <w:semiHidden/>
    <w:rsid w:val="005E1522"/>
    <w:rPr>
      <w:rFonts w:ascii="Tahoma" w:hAnsi="Tahoma" w:cs="Tahoma"/>
      <w:sz w:val="16"/>
      <w:szCs w:val="16"/>
    </w:rPr>
  </w:style>
  <w:style w:type="character" w:styleId="af4">
    <w:name w:val="annotation reference"/>
    <w:basedOn w:val="a0"/>
    <w:uiPriority w:val="99"/>
    <w:semiHidden/>
    <w:unhideWhenUsed/>
    <w:rsid w:val="00980ADD"/>
    <w:rPr>
      <w:sz w:val="16"/>
      <w:szCs w:val="16"/>
    </w:rPr>
  </w:style>
  <w:style w:type="paragraph" w:styleId="af5">
    <w:name w:val="annotation text"/>
    <w:basedOn w:val="a"/>
    <w:link w:val="af6"/>
    <w:uiPriority w:val="99"/>
    <w:unhideWhenUsed/>
    <w:rsid w:val="00980ADD"/>
    <w:pPr>
      <w:spacing w:line="240" w:lineRule="auto"/>
    </w:pPr>
    <w:rPr>
      <w:sz w:val="20"/>
      <w:szCs w:val="20"/>
    </w:rPr>
  </w:style>
  <w:style w:type="character" w:customStyle="1" w:styleId="af6">
    <w:name w:val="טקסט הערה תו"/>
    <w:basedOn w:val="a0"/>
    <w:link w:val="af5"/>
    <w:uiPriority w:val="99"/>
    <w:rsid w:val="00980ADD"/>
    <w:rPr>
      <w:rFonts w:ascii="David" w:hAnsi="David" w:cs="David"/>
      <w:sz w:val="20"/>
      <w:szCs w:val="20"/>
    </w:rPr>
  </w:style>
  <w:style w:type="paragraph" w:styleId="af7">
    <w:name w:val="annotation subject"/>
    <w:basedOn w:val="af5"/>
    <w:next w:val="af5"/>
    <w:link w:val="af8"/>
    <w:uiPriority w:val="99"/>
    <w:semiHidden/>
    <w:unhideWhenUsed/>
    <w:rsid w:val="00980ADD"/>
    <w:rPr>
      <w:b/>
      <w:bCs/>
    </w:rPr>
  </w:style>
  <w:style w:type="character" w:customStyle="1" w:styleId="af8">
    <w:name w:val="נושא הערה תו"/>
    <w:basedOn w:val="af6"/>
    <w:link w:val="af7"/>
    <w:uiPriority w:val="99"/>
    <w:semiHidden/>
    <w:rsid w:val="00980ADD"/>
    <w:rPr>
      <w:rFonts w:ascii="David" w:hAnsi="David" w:cs="David"/>
      <w:b/>
      <w:bCs/>
      <w:sz w:val="20"/>
      <w:szCs w:val="20"/>
    </w:rPr>
  </w:style>
  <w:style w:type="paragraph" w:styleId="af9">
    <w:name w:val="Revision"/>
    <w:hidden/>
    <w:uiPriority w:val="99"/>
    <w:semiHidden/>
    <w:rsid w:val="00AC1E2A"/>
    <w:pPr>
      <w:spacing w:after="0" w:line="240" w:lineRule="auto"/>
    </w:pPr>
    <w:rPr>
      <w:rFonts w:ascii="David" w:hAnsi="David" w:cs="David"/>
      <w:sz w:val="24"/>
      <w:szCs w:val="24"/>
    </w:rPr>
  </w:style>
  <w:style w:type="table" w:customStyle="1" w:styleId="120">
    <w:name w:val="טבלה רגילה 12"/>
    <w:basedOn w:val="a1"/>
    <w:uiPriority w:val="41"/>
    <w:rsid w:val="00767D7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2"/>
    <w:basedOn w:val="a1"/>
    <w:uiPriority w:val="46"/>
    <w:rsid w:val="00767D7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4048</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לילי אור</dc:creator>
  <cp:lastModifiedBy>Merav Kaplan - Chamber Of Commerce</cp:lastModifiedBy>
  <cp:revision>2</cp:revision>
  <dcterms:created xsi:type="dcterms:W3CDTF">2020-03-09T07:48:00Z</dcterms:created>
  <dcterms:modified xsi:type="dcterms:W3CDTF">2020-03-09T07:48:00Z</dcterms:modified>
</cp:coreProperties>
</file>