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CE" w:rsidRDefault="00C75ACE" w:rsidP="005F0271">
      <w:pPr>
        <w:jc w:val="center"/>
        <w:rPr>
          <w:b/>
          <w:bCs/>
          <w:sz w:val="26"/>
          <w:szCs w:val="26"/>
          <w:rtl/>
        </w:rPr>
      </w:pPr>
      <w:bookmarkStart w:id="0" w:name="_GoBack"/>
      <w:bookmarkEnd w:id="0"/>
      <w:r>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C75ACE" w:rsidRDefault="00C75ACE" w:rsidP="005F0271">
      <w:pPr>
        <w:rPr>
          <w:b/>
          <w:bCs/>
          <w:sz w:val="26"/>
          <w:szCs w:val="26"/>
          <w:rtl/>
        </w:rPr>
      </w:pPr>
      <w:r w:rsidRPr="00CB5068">
        <w:rPr>
          <w:b/>
          <w:bCs/>
          <w:sz w:val="26"/>
          <w:szCs w:val="26"/>
          <w:rtl/>
        </w:rPr>
        <w:t>תוכן עניינים</w:t>
      </w:r>
    </w:p>
    <w:p w:rsidR="00FA3170" w:rsidRDefault="00FA3170" w:rsidP="00FA3170">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34553933" w:history="1">
        <w:r w:rsidRPr="00841738">
          <w:rPr>
            <w:rStyle w:val="Hyperlink"/>
            <w:rFonts w:hint="eastAsia"/>
            <w:noProof/>
            <w:rtl/>
          </w:rPr>
          <w:t>טיוטת</w:t>
        </w:r>
        <w:r w:rsidRPr="00841738">
          <w:rPr>
            <w:rStyle w:val="Hyperlink"/>
            <w:noProof/>
            <w:rtl/>
          </w:rPr>
          <w:t xml:space="preserve"> </w:t>
        </w:r>
        <w:r w:rsidRPr="00841738">
          <w:rPr>
            <w:rStyle w:val="Hyperlink"/>
            <w:rFonts w:hint="eastAsia"/>
            <w:noProof/>
            <w:rtl/>
          </w:rPr>
          <w:t>תקנות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Toc34553933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FA3170" w:rsidRDefault="003C07A9" w:rsidP="00FA3170">
      <w:pPr>
        <w:pStyle w:val="TOC4"/>
        <w:rPr>
          <w:rFonts w:cstheme="minorBidi"/>
          <w:rtl/>
        </w:rPr>
      </w:pPr>
      <w:hyperlink w:anchor="_Toc34553934" w:history="1">
        <w:r w:rsidR="00FA3170" w:rsidRPr="00841738">
          <w:rPr>
            <w:rStyle w:val="Hyperlink"/>
            <w:rFonts w:hint="eastAsia"/>
            <w:rtl/>
          </w:rPr>
          <w:t>א</w:t>
        </w:r>
        <w:r w:rsidR="00FA3170" w:rsidRPr="00841738">
          <w:rPr>
            <w:rStyle w:val="Hyperlink"/>
            <w:rtl/>
          </w:rPr>
          <w:t xml:space="preserve">. </w:t>
        </w:r>
        <w:r w:rsidR="00FA3170" w:rsidRPr="00841738">
          <w:rPr>
            <w:rStyle w:val="Hyperlink"/>
            <w:rFonts w:hint="eastAsia"/>
            <w:rtl/>
          </w:rPr>
          <w:t>שם</w:t>
        </w:r>
        <w:r w:rsidR="00FA3170" w:rsidRPr="00841738">
          <w:rPr>
            <w:rStyle w:val="Hyperlink"/>
            <w:rtl/>
          </w:rPr>
          <w:t xml:space="preserve"> </w:t>
        </w:r>
        <w:r w:rsidR="00FA3170" w:rsidRPr="00841738">
          <w:rPr>
            <w:rStyle w:val="Hyperlink"/>
            <w:rFonts w:hint="eastAsia"/>
            <w:rtl/>
          </w:rPr>
          <w:t>התקנות</w:t>
        </w:r>
        <w:r w:rsidR="00FA3170" w:rsidRPr="00841738">
          <w:rPr>
            <w:rStyle w:val="Hyperlink"/>
            <w:rtl/>
          </w:rPr>
          <w:t xml:space="preserve"> </w:t>
        </w:r>
        <w:r w:rsidR="00FA3170" w:rsidRPr="00841738">
          <w:rPr>
            <w:rStyle w:val="Hyperlink"/>
            <w:rFonts w:hint="eastAsia"/>
            <w:rtl/>
          </w:rPr>
          <w:t>המוצעות</w:t>
        </w:r>
        <w:r w:rsidR="00FA3170">
          <w:rPr>
            <w:webHidden/>
            <w:rtl/>
          </w:rPr>
          <w:tab/>
        </w:r>
        <w:r w:rsidR="00FA3170">
          <w:rPr>
            <w:webHidden/>
            <w:rtl/>
          </w:rPr>
          <w:fldChar w:fldCharType="begin"/>
        </w:r>
        <w:r w:rsidR="00FA3170">
          <w:rPr>
            <w:webHidden/>
            <w:rtl/>
          </w:rPr>
          <w:instrText xml:space="preserve"> </w:instrText>
        </w:r>
        <w:r w:rsidR="00FA3170">
          <w:rPr>
            <w:webHidden/>
          </w:rPr>
          <w:instrText>PAGEREF</w:instrText>
        </w:r>
        <w:r w:rsidR="00FA3170">
          <w:rPr>
            <w:webHidden/>
            <w:rtl/>
          </w:rPr>
          <w:instrText xml:space="preserve"> _</w:instrText>
        </w:r>
        <w:r w:rsidR="00FA3170">
          <w:rPr>
            <w:webHidden/>
          </w:rPr>
          <w:instrText>Toc34553934 \h</w:instrText>
        </w:r>
        <w:r w:rsidR="00FA3170">
          <w:rPr>
            <w:webHidden/>
            <w:rtl/>
          </w:rPr>
          <w:instrText xml:space="preserve"> </w:instrText>
        </w:r>
        <w:r w:rsidR="00FA3170">
          <w:rPr>
            <w:webHidden/>
            <w:rtl/>
          </w:rPr>
        </w:r>
        <w:r w:rsidR="00FA3170">
          <w:rPr>
            <w:webHidden/>
            <w:rtl/>
          </w:rPr>
          <w:fldChar w:fldCharType="separate"/>
        </w:r>
        <w:r w:rsidR="00FA3170">
          <w:rPr>
            <w:webHidden/>
            <w:rtl/>
          </w:rPr>
          <w:t>2</w:t>
        </w:r>
        <w:r w:rsidR="00FA3170">
          <w:rPr>
            <w:webHidden/>
            <w:rtl/>
          </w:rPr>
          <w:fldChar w:fldCharType="end"/>
        </w:r>
      </w:hyperlink>
    </w:p>
    <w:p w:rsidR="00FA3170" w:rsidRDefault="003C07A9" w:rsidP="00FA3170">
      <w:pPr>
        <w:pStyle w:val="TOC4"/>
        <w:rPr>
          <w:rFonts w:cstheme="minorBidi"/>
          <w:rtl/>
        </w:rPr>
      </w:pPr>
      <w:hyperlink w:anchor="_Toc34553935" w:history="1">
        <w:r w:rsidR="00FA3170" w:rsidRPr="00841738">
          <w:rPr>
            <w:rStyle w:val="Hyperlink"/>
            <w:rFonts w:hint="eastAsia"/>
            <w:rtl/>
          </w:rPr>
          <w:t>ב</w:t>
        </w:r>
        <w:r w:rsidR="00FA3170" w:rsidRPr="00841738">
          <w:rPr>
            <w:rStyle w:val="Hyperlink"/>
            <w:rtl/>
          </w:rPr>
          <w:t xml:space="preserve">. </w:t>
        </w:r>
        <w:r w:rsidR="00FA3170" w:rsidRPr="00841738">
          <w:rPr>
            <w:rStyle w:val="Hyperlink"/>
            <w:rFonts w:hint="eastAsia"/>
            <w:rtl/>
          </w:rPr>
          <w:t>מטרת</w:t>
        </w:r>
        <w:r w:rsidR="00FA3170" w:rsidRPr="00841738">
          <w:rPr>
            <w:rStyle w:val="Hyperlink"/>
            <w:rtl/>
          </w:rPr>
          <w:t xml:space="preserve"> </w:t>
        </w:r>
        <w:r w:rsidR="00FA3170" w:rsidRPr="00841738">
          <w:rPr>
            <w:rStyle w:val="Hyperlink"/>
            <w:rFonts w:hint="eastAsia"/>
            <w:rtl/>
          </w:rPr>
          <w:t>התקנות</w:t>
        </w:r>
        <w:r w:rsidR="00FA3170" w:rsidRPr="00841738">
          <w:rPr>
            <w:rStyle w:val="Hyperlink"/>
            <w:rtl/>
          </w:rPr>
          <w:t xml:space="preserve"> </w:t>
        </w:r>
        <w:r w:rsidR="00FA3170" w:rsidRPr="00841738">
          <w:rPr>
            <w:rStyle w:val="Hyperlink"/>
            <w:rFonts w:hint="eastAsia"/>
            <w:rtl/>
          </w:rPr>
          <w:t>המוצעות</w:t>
        </w:r>
        <w:r w:rsidR="00FA3170" w:rsidRPr="00841738">
          <w:rPr>
            <w:rStyle w:val="Hyperlink"/>
            <w:rtl/>
          </w:rPr>
          <w:t xml:space="preserve"> </w:t>
        </w:r>
        <w:r w:rsidR="00FA3170" w:rsidRPr="00841738">
          <w:rPr>
            <w:rStyle w:val="Hyperlink"/>
            <w:rFonts w:hint="eastAsia"/>
            <w:rtl/>
          </w:rPr>
          <w:t>והצורך</w:t>
        </w:r>
        <w:r w:rsidR="00FA3170" w:rsidRPr="00841738">
          <w:rPr>
            <w:rStyle w:val="Hyperlink"/>
            <w:rtl/>
          </w:rPr>
          <w:t xml:space="preserve"> </w:t>
        </w:r>
        <w:r w:rsidR="00FA3170" w:rsidRPr="00841738">
          <w:rPr>
            <w:rStyle w:val="Hyperlink"/>
            <w:rFonts w:hint="eastAsia"/>
            <w:rtl/>
          </w:rPr>
          <w:t>בהן</w:t>
        </w:r>
        <w:r w:rsidR="00FA3170">
          <w:rPr>
            <w:webHidden/>
            <w:rtl/>
          </w:rPr>
          <w:tab/>
        </w:r>
        <w:r w:rsidR="00FA3170">
          <w:rPr>
            <w:webHidden/>
            <w:rtl/>
          </w:rPr>
          <w:fldChar w:fldCharType="begin"/>
        </w:r>
        <w:r w:rsidR="00FA3170">
          <w:rPr>
            <w:webHidden/>
            <w:rtl/>
          </w:rPr>
          <w:instrText xml:space="preserve"> </w:instrText>
        </w:r>
        <w:r w:rsidR="00FA3170">
          <w:rPr>
            <w:webHidden/>
          </w:rPr>
          <w:instrText>PAGEREF</w:instrText>
        </w:r>
        <w:r w:rsidR="00FA3170">
          <w:rPr>
            <w:webHidden/>
            <w:rtl/>
          </w:rPr>
          <w:instrText xml:space="preserve"> _</w:instrText>
        </w:r>
        <w:r w:rsidR="00FA3170">
          <w:rPr>
            <w:webHidden/>
          </w:rPr>
          <w:instrText>Toc34553935 \h</w:instrText>
        </w:r>
        <w:r w:rsidR="00FA3170">
          <w:rPr>
            <w:webHidden/>
            <w:rtl/>
          </w:rPr>
          <w:instrText xml:space="preserve"> </w:instrText>
        </w:r>
        <w:r w:rsidR="00FA3170">
          <w:rPr>
            <w:webHidden/>
            <w:rtl/>
          </w:rPr>
        </w:r>
        <w:r w:rsidR="00FA3170">
          <w:rPr>
            <w:webHidden/>
            <w:rtl/>
          </w:rPr>
          <w:fldChar w:fldCharType="separate"/>
        </w:r>
        <w:r w:rsidR="00FA3170">
          <w:rPr>
            <w:webHidden/>
            <w:rtl/>
          </w:rPr>
          <w:t>2</w:t>
        </w:r>
        <w:r w:rsidR="00FA3170">
          <w:rPr>
            <w:webHidden/>
            <w:rtl/>
          </w:rPr>
          <w:fldChar w:fldCharType="end"/>
        </w:r>
      </w:hyperlink>
    </w:p>
    <w:p w:rsidR="00FA3170" w:rsidRDefault="003C07A9" w:rsidP="00FA3170">
      <w:pPr>
        <w:pStyle w:val="TOC4"/>
        <w:rPr>
          <w:rFonts w:cstheme="minorBidi"/>
          <w:rtl/>
        </w:rPr>
      </w:pPr>
      <w:hyperlink w:anchor="_Toc34553936" w:history="1">
        <w:r w:rsidR="00FA3170" w:rsidRPr="00841738">
          <w:rPr>
            <w:rStyle w:val="Hyperlink"/>
            <w:rFonts w:hint="eastAsia"/>
            <w:rtl/>
          </w:rPr>
          <w:t>ג</w:t>
        </w:r>
        <w:r w:rsidR="00FA3170" w:rsidRPr="00841738">
          <w:rPr>
            <w:rStyle w:val="Hyperlink"/>
            <w:rtl/>
          </w:rPr>
          <w:t xml:space="preserve">. </w:t>
        </w:r>
        <w:r w:rsidR="00FA3170" w:rsidRPr="00841738">
          <w:rPr>
            <w:rStyle w:val="Hyperlink"/>
            <w:rFonts w:hint="eastAsia"/>
            <w:rtl/>
          </w:rPr>
          <w:t>להלן</w:t>
        </w:r>
        <w:r w:rsidR="00FA3170" w:rsidRPr="00841738">
          <w:rPr>
            <w:rStyle w:val="Hyperlink"/>
            <w:rtl/>
          </w:rPr>
          <w:t xml:space="preserve"> </w:t>
        </w:r>
        <w:r w:rsidR="00FA3170" w:rsidRPr="00841738">
          <w:rPr>
            <w:rStyle w:val="Hyperlink"/>
            <w:rFonts w:hint="eastAsia"/>
            <w:rtl/>
          </w:rPr>
          <w:t>נוסח</w:t>
        </w:r>
        <w:r w:rsidR="00FA3170" w:rsidRPr="00841738">
          <w:rPr>
            <w:rStyle w:val="Hyperlink"/>
            <w:rtl/>
          </w:rPr>
          <w:t xml:space="preserve"> </w:t>
        </w:r>
        <w:r w:rsidR="00FA3170" w:rsidRPr="00841738">
          <w:rPr>
            <w:rStyle w:val="Hyperlink"/>
            <w:rFonts w:hint="eastAsia"/>
            <w:rtl/>
          </w:rPr>
          <w:t>טיוטת</w:t>
        </w:r>
        <w:r w:rsidR="00FA3170" w:rsidRPr="00841738">
          <w:rPr>
            <w:rStyle w:val="Hyperlink"/>
            <w:rtl/>
          </w:rPr>
          <w:t xml:space="preserve"> </w:t>
        </w:r>
        <w:r w:rsidR="00FA3170" w:rsidRPr="00841738">
          <w:rPr>
            <w:rStyle w:val="Hyperlink"/>
            <w:rFonts w:hint="eastAsia"/>
            <w:rtl/>
          </w:rPr>
          <w:t>התקנות</w:t>
        </w:r>
        <w:r w:rsidR="00FA3170" w:rsidRPr="00841738">
          <w:rPr>
            <w:rStyle w:val="Hyperlink"/>
            <w:rtl/>
          </w:rPr>
          <w:t xml:space="preserve"> </w:t>
        </w:r>
        <w:r w:rsidR="00FA3170" w:rsidRPr="00841738">
          <w:rPr>
            <w:rStyle w:val="Hyperlink"/>
            <w:rFonts w:hint="eastAsia"/>
            <w:rtl/>
          </w:rPr>
          <w:t>המוצעות</w:t>
        </w:r>
        <w:r w:rsidR="00FA3170" w:rsidRPr="00841738">
          <w:rPr>
            <w:rStyle w:val="Hyperlink"/>
            <w:rtl/>
          </w:rPr>
          <w:t>:</w:t>
        </w:r>
        <w:r w:rsidR="00FA3170">
          <w:rPr>
            <w:webHidden/>
            <w:rtl/>
          </w:rPr>
          <w:tab/>
        </w:r>
        <w:r w:rsidR="00FA3170">
          <w:rPr>
            <w:webHidden/>
            <w:rtl/>
          </w:rPr>
          <w:fldChar w:fldCharType="begin"/>
        </w:r>
        <w:r w:rsidR="00FA3170">
          <w:rPr>
            <w:webHidden/>
            <w:rtl/>
          </w:rPr>
          <w:instrText xml:space="preserve"> </w:instrText>
        </w:r>
        <w:r w:rsidR="00FA3170">
          <w:rPr>
            <w:webHidden/>
          </w:rPr>
          <w:instrText>PAGEREF</w:instrText>
        </w:r>
        <w:r w:rsidR="00FA3170">
          <w:rPr>
            <w:webHidden/>
            <w:rtl/>
          </w:rPr>
          <w:instrText xml:space="preserve"> _</w:instrText>
        </w:r>
        <w:r w:rsidR="00FA3170">
          <w:rPr>
            <w:webHidden/>
          </w:rPr>
          <w:instrText>Toc34553936 \h</w:instrText>
        </w:r>
        <w:r w:rsidR="00FA3170">
          <w:rPr>
            <w:webHidden/>
            <w:rtl/>
          </w:rPr>
          <w:instrText xml:space="preserve"> </w:instrText>
        </w:r>
        <w:r w:rsidR="00FA3170">
          <w:rPr>
            <w:webHidden/>
            <w:rtl/>
          </w:rPr>
        </w:r>
        <w:r w:rsidR="00FA3170">
          <w:rPr>
            <w:webHidden/>
            <w:rtl/>
          </w:rPr>
          <w:fldChar w:fldCharType="separate"/>
        </w:r>
        <w:r w:rsidR="00FA3170">
          <w:rPr>
            <w:webHidden/>
            <w:rtl/>
          </w:rPr>
          <w:t>2</w:t>
        </w:r>
        <w:r w:rsidR="00FA3170">
          <w:rPr>
            <w:webHidden/>
            <w:rtl/>
          </w:rPr>
          <w:fldChar w:fldCharType="end"/>
        </w:r>
      </w:hyperlink>
    </w:p>
    <w:p w:rsidR="00FA3170" w:rsidRDefault="003C07A9" w:rsidP="00FA3170">
      <w:pPr>
        <w:pStyle w:val="TOC1"/>
        <w:rPr>
          <w:rFonts w:asciiTheme="minorHAnsi" w:eastAsiaTheme="minorEastAsia" w:hAnsiTheme="minorHAnsi" w:cstheme="minorBidi"/>
          <w:bCs w:val="0"/>
          <w:noProof/>
          <w:sz w:val="22"/>
          <w:rtl/>
        </w:rPr>
      </w:pPr>
      <w:hyperlink w:anchor="_Toc34553937" w:history="1">
        <w:r w:rsidR="00FA3170" w:rsidRPr="00841738">
          <w:rPr>
            <w:rStyle w:val="Hyperlink"/>
            <w:rFonts w:hint="eastAsia"/>
            <w:noProof/>
            <w:rtl/>
          </w:rPr>
          <w:t>טיוטת</w:t>
        </w:r>
        <w:r w:rsidR="00FA3170" w:rsidRPr="00841738">
          <w:rPr>
            <w:rStyle w:val="Hyperlink"/>
            <w:noProof/>
            <w:rtl/>
          </w:rPr>
          <w:t xml:space="preserve"> </w:t>
        </w:r>
        <w:r w:rsidR="00FA3170" w:rsidRPr="00841738">
          <w:rPr>
            <w:rStyle w:val="Hyperlink"/>
            <w:rFonts w:hint="eastAsia"/>
            <w:noProof/>
            <w:rtl/>
          </w:rPr>
          <w:t>תקנות</w:t>
        </w:r>
        <w:r w:rsidR="00FA3170" w:rsidRPr="00841738">
          <w:rPr>
            <w:rStyle w:val="Hyperlink"/>
            <w:noProof/>
            <w:rtl/>
          </w:rPr>
          <w:t xml:space="preserve"> </w:t>
        </w:r>
        <w:r w:rsidR="00FA3170" w:rsidRPr="00841738">
          <w:rPr>
            <w:rStyle w:val="Hyperlink"/>
            <w:rFonts w:hint="eastAsia"/>
            <w:noProof/>
            <w:rtl/>
          </w:rPr>
          <w:t>המכס</w:t>
        </w:r>
        <w:r w:rsidR="00FA3170" w:rsidRPr="00841738">
          <w:rPr>
            <w:rStyle w:val="Hyperlink"/>
            <w:noProof/>
            <w:rtl/>
          </w:rPr>
          <w:t xml:space="preserve"> (</w:t>
        </w:r>
        <w:r w:rsidR="00FA3170" w:rsidRPr="00841738">
          <w:rPr>
            <w:rStyle w:val="Hyperlink"/>
            <w:rFonts w:hint="eastAsia"/>
            <w:noProof/>
            <w:rtl/>
          </w:rPr>
          <w:t>הפחתה</w:t>
        </w:r>
        <w:r w:rsidR="00FA3170" w:rsidRPr="00841738">
          <w:rPr>
            <w:rStyle w:val="Hyperlink"/>
            <w:noProof/>
            <w:rtl/>
          </w:rPr>
          <w:t xml:space="preserve"> </w:t>
        </w:r>
        <w:r w:rsidR="00FA3170" w:rsidRPr="00841738">
          <w:rPr>
            <w:rStyle w:val="Hyperlink"/>
            <w:rFonts w:hint="eastAsia"/>
            <w:noProof/>
            <w:rtl/>
          </w:rPr>
          <w:t>של</w:t>
        </w:r>
        <w:r w:rsidR="00FA3170" w:rsidRPr="00841738">
          <w:rPr>
            <w:rStyle w:val="Hyperlink"/>
            <w:noProof/>
            <w:rtl/>
          </w:rPr>
          <w:t xml:space="preserve"> </w:t>
        </w:r>
        <w:r w:rsidR="00FA3170" w:rsidRPr="00841738">
          <w:rPr>
            <w:rStyle w:val="Hyperlink"/>
            <w:rFonts w:hint="eastAsia"/>
            <w:noProof/>
            <w:rtl/>
          </w:rPr>
          <w:t>סכומי</w:t>
        </w:r>
        <w:r w:rsidR="00FA3170" w:rsidRPr="00841738">
          <w:rPr>
            <w:rStyle w:val="Hyperlink"/>
            <w:noProof/>
            <w:rtl/>
          </w:rPr>
          <w:t xml:space="preserve"> </w:t>
        </w:r>
        <w:r w:rsidR="00FA3170" w:rsidRPr="00841738">
          <w:rPr>
            <w:rStyle w:val="Hyperlink"/>
            <w:rFonts w:hint="eastAsia"/>
            <w:noProof/>
            <w:rtl/>
          </w:rPr>
          <w:t>עיצום</w:t>
        </w:r>
        <w:r w:rsidR="00FA3170" w:rsidRPr="00841738">
          <w:rPr>
            <w:rStyle w:val="Hyperlink"/>
            <w:noProof/>
            <w:rtl/>
          </w:rPr>
          <w:t xml:space="preserve"> </w:t>
        </w:r>
        <w:r w:rsidR="00FA3170" w:rsidRPr="00841738">
          <w:rPr>
            <w:rStyle w:val="Hyperlink"/>
            <w:rFonts w:hint="eastAsia"/>
            <w:noProof/>
            <w:rtl/>
          </w:rPr>
          <w:t>כספי</w:t>
        </w:r>
        <w:r w:rsidR="00FA3170" w:rsidRPr="00841738">
          <w:rPr>
            <w:rStyle w:val="Hyperlink"/>
            <w:noProof/>
            <w:rtl/>
          </w:rPr>
          <w:t xml:space="preserve">), </w:t>
        </w:r>
        <w:r w:rsidR="00FA3170" w:rsidRPr="00841738">
          <w:rPr>
            <w:rStyle w:val="Hyperlink"/>
            <w:rFonts w:hint="eastAsia"/>
            <w:noProof/>
            <w:rtl/>
          </w:rPr>
          <w:t>התש</w:t>
        </w:r>
        <w:r w:rsidR="00FA3170" w:rsidRPr="00841738">
          <w:rPr>
            <w:rStyle w:val="Hyperlink"/>
            <w:noProof/>
            <w:rtl/>
          </w:rPr>
          <w:t>"</w:t>
        </w:r>
        <w:r w:rsidR="00FA3170" w:rsidRPr="00841738">
          <w:rPr>
            <w:rStyle w:val="Hyperlink"/>
            <w:rFonts w:hint="eastAsia"/>
            <w:noProof/>
            <w:rtl/>
          </w:rPr>
          <w:t>ף</w:t>
        </w:r>
        <w:r w:rsidR="00FA3170" w:rsidRPr="00841738">
          <w:rPr>
            <w:rStyle w:val="Hyperlink"/>
            <w:noProof/>
            <w:rtl/>
          </w:rPr>
          <w:t xml:space="preserve"> -2020</w:t>
        </w:r>
        <w:r w:rsidR="00FA3170">
          <w:rPr>
            <w:noProof/>
            <w:webHidden/>
            <w:rtl/>
          </w:rPr>
          <w:tab/>
        </w:r>
        <w:r w:rsidR="00FA3170">
          <w:rPr>
            <w:noProof/>
            <w:webHidden/>
            <w:rtl/>
          </w:rPr>
          <w:fldChar w:fldCharType="begin"/>
        </w:r>
        <w:r w:rsidR="00FA3170">
          <w:rPr>
            <w:noProof/>
            <w:webHidden/>
            <w:rtl/>
          </w:rPr>
          <w:instrText xml:space="preserve"> </w:instrText>
        </w:r>
        <w:r w:rsidR="00FA3170">
          <w:rPr>
            <w:noProof/>
            <w:webHidden/>
          </w:rPr>
          <w:instrText>PAGEREF</w:instrText>
        </w:r>
        <w:r w:rsidR="00FA3170">
          <w:rPr>
            <w:noProof/>
            <w:webHidden/>
            <w:rtl/>
          </w:rPr>
          <w:instrText xml:space="preserve"> _</w:instrText>
        </w:r>
        <w:r w:rsidR="00FA3170">
          <w:rPr>
            <w:noProof/>
            <w:webHidden/>
          </w:rPr>
          <w:instrText>Toc34553937 \h</w:instrText>
        </w:r>
        <w:r w:rsidR="00FA3170">
          <w:rPr>
            <w:noProof/>
            <w:webHidden/>
            <w:rtl/>
          </w:rPr>
          <w:instrText xml:space="preserve"> </w:instrText>
        </w:r>
        <w:r w:rsidR="00FA3170">
          <w:rPr>
            <w:noProof/>
            <w:webHidden/>
            <w:rtl/>
          </w:rPr>
        </w:r>
        <w:r w:rsidR="00FA3170">
          <w:rPr>
            <w:noProof/>
            <w:webHidden/>
            <w:rtl/>
          </w:rPr>
          <w:fldChar w:fldCharType="separate"/>
        </w:r>
        <w:r w:rsidR="00FA3170">
          <w:rPr>
            <w:noProof/>
            <w:webHidden/>
            <w:rtl/>
          </w:rPr>
          <w:t>3</w:t>
        </w:r>
        <w:r w:rsidR="00FA3170">
          <w:rPr>
            <w:noProof/>
            <w:webHidden/>
            <w:rtl/>
          </w:rPr>
          <w:fldChar w:fldCharType="end"/>
        </w:r>
      </w:hyperlink>
    </w:p>
    <w:p w:rsidR="00FA3170" w:rsidRDefault="003C07A9" w:rsidP="00FA3170">
      <w:pPr>
        <w:pStyle w:val="TOC3"/>
        <w:rPr>
          <w:rFonts w:asciiTheme="minorHAnsi" w:eastAsiaTheme="minorEastAsia" w:hAnsiTheme="minorHAnsi" w:cstheme="minorBidi"/>
          <w:noProof/>
          <w:sz w:val="22"/>
          <w:rtl/>
        </w:rPr>
      </w:pPr>
      <w:hyperlink w:anchor="_Toc34553938" w:history="1">
        <w:r w:rsidR="00FA3170" w:rsidRPr="00841738">
          <w:rPr>
            <w:rStyle w:val="Hyperlink"/>
            <w:rFonts w:hint="eastAsia"/>
            <w:noProof/>
            <w:rtl/>
          </w:rPr>
          <w:t>הפחתה</w:t>
        </w:r>
        <w:r w:rsidR="00FA3170" w:rsidRPr="00841738">
          <w:rPr>
            <w:rStyle w:val="Hyperlink"/>
            <w:noProof/>
            <w:rtl/>
          </w:rPr>
          <w:t xml:space="preserve"> </w:t>
        </w:r>
        <w:r w:rsidR="00FA3170" w:rsidRPr="00841738">
          <w:rPr>
            <w:rStyle w:val="Hyperlink"/>
            <w:rFonts w:hint="eastAsia"/>
            <w:noProof/>
            <w:rtl/>
          </w:rPr>
          <w:t>בשל</w:t>
        </w:r>
        <w:r w:rsidR="00FA3170" w:rsidRPr="00841738">
          <w:rPr>
            <w:rStyle w:val="Hyperlink"/>
            <w:noProof/>
            <w:rtl/>
          </w:rPr>
          <w:t xml:space="preserve"> </w:t>
        </w:r>
        <w:r w:rsidR="00FA3170" w:rsidRPr="00841738">
          <w:rPr>
            <w:rStyle w:val="Hyperlink"/>
            <w:rFonts w:hint="eastAsia"/>
            <w:noProof/>
            <w:rtl/>
          </w:rPr>
          <w:t>התנהגות</w:t>
        </w:r>
        <w:r w:rsidR="00FA3170" w:rsidRPr="00841738">
          <w:rPr>
            <w:rStyle w:val="Hyperlink"/>
            <w:noProof/>
            <w:rtl/>
          </w:rPr>
          <w:t xml:space="preserve"> </w:t>
        </w:r>
        <w:r w:rsidR="00FA3170" w:rsidRPr="00841738">
          <w:rPr>
            <w:rStyle w:val="Hyperlink"/>
            <w:rFonts w:hint="eastAsia"/>
            <w:noProof/>
            <w:rtl/>
          </w:rPr>
          <w:t>המפר</w:t>
        </w:r>
        <w:r w:rsidR="00FA3170">
          <w:rPr>
            <w:noProof/>
            <w:webHidden/>
            <w:rtl/>
          </w:rPr>
          <w:tab/>
        </w:r>
        <w:r w:rsidR="00FA3170">
          <w:rPr>
            <w:noProof/>
            <w:webHidden/>
            <w:rtl/>
          </w:rPr>
          <w:fldChar w:fldCharType="begin"/>
        </w:r>
        <w:r w:rsidR="00FA3170">
          <w:rPr>
            <w:noProof/>
            <w:webHidden/>
            <w:rtl/>
          </w:rPr>
          <w:instrText xml:space="preserve"> </w:instrText>
        </w:r>
        <w:r w:rsidR="00FA3170">
          <w:rPr>
            <w:noProof/>
            <w:webHidden/>
          </w:rPr>
          <w:instrText>PAGEREF</w:instrText>
        </w:r>
        <w:r w:rsidR="00FA3170">
          <w:rPr>
            <w:noProof/>
            <w:webHidden/>
            <w:rtl/>
          </w:rPr>
          <w:instrText xml:space="preserve"> _</w:instrText>
        </w:r>
        <w:r w:rsidR="00FA3170">
          <w:rPr>
            <w:noProof/>
            <w:webHidden/>
          </w:rPr>
          <w:instrText>Toc34553938 \h</w:instrText>
        </w:r>
        <w:r w:rsidR="00FA3170">
          <w:rPr>
            <w:noProof/>
            <w:webHidden/>
            <w:rtl/>
          </w:rPr>
          <w:instrText xml:space="preserve"> </w:instrText>
        </w:r>
        <w:r w:rsidR="00FA3170">
          <w:rPr>
            <w:noProof/>
            <w:webHidden/>
            <w:rtl/>
          </w:rPr>
        </w:r>
        <w:r w:rsidR="00FA3170">
          <w:rPr>
            <w:noProof/>
            <w:webHidden/>
            <w:rtl/>
          </w:rPr>
          <w:fldChar w:fldCharType="separate"/>
        </w:r>
        <w:r w:rsidR="00FA3170">
          <w:rPr>
            <w:noProof/>
            <w:webHidden/>
            <w:rtl/>
          </w:rPr>
          <w:t>3</w:t>
        </w:r>
        <w:r w:rsidR="00FA3170">
          <w:rPr>
            <w:noProof/>
            <w:webHidden/>
            <w:rtl/>
          </w:rPr>
          <w:fldChar w:fldCharType="end"/>
        </w:r>
      </w:hyperlink>
    </w:p>
    <w:p w:rsidR="00FA3170" w:rsidRDefault="003C07A9" w:rsidP="00FA3170">
      <w:pPr>
        <w:pStyle w:val="TOC3"/>
        <w:rPr>
          <w:rFonts w:asciiTheme="minorHAnsi" w:eastAsiaTheme="minorEastAsia" w:hAnsiTheme="minorHAnsi" w:cstheme="minorBidi"/>
          <w:noProof/>
          <w:sz w:val="22"/>
          <w:rtl/>
        </w:rPr>
      </w:pPr>
      <w:hyperlink w:anchor="_Toc34553939" w:history="1">
        <w:r w:rsidR="00FA3170" w:rsidRPr="00841738">
          <w:rPr>
            <w:rStyle w:val="Hyperlink"/>
            <w:rFonts w:hint="eastAsia"/>
            <w:noProof/>
            <w:rtl/>
          </w:rPr>
          <w:t>הפחתה</w:t>
        </w:r>
        <w:r w:rsidR="00FA3170" w:rsidRPr="00841738">
          <w:rPr>
            <w:rStyle w:val="Hyperlink"/>
            <w:noProof/>
            <w:rtl/>
          </w:rPr>
          <w:t xml:space="preserve"> </w:t>
        </w:r>
        <w:r w:rsidR="00FA3170" w:rsidRPr="00841738">
          <w:rPr>
            <w:rStyle w:val="Hyperlink"/>
            <w:rFonts w:hint="eastAsia"/>
            <w:noProof/>
            <w:rtl/>
          </w:rPr>
          <w:t>בשל</w:t>
        </w:r>
        <w:r w:rsidR="00FA3170" w:rsidRPr="00841738">
          <w:rPr>
            <w:rStyle w:val="Hyperlink"/>
            <w:noProof/>
            <w:rtl/>
          </w:rPr>
          <w:t xml:space="preserve"> </w:t>
        </w:r>
        <w:r w:rsidR="00FA3170" w:rsidRPr="00841738">
          <w:rPr>
            <w:rStyle w:val="Hyperlink"/>
            <w:rFonts w:hint="eastAsia"/>
            <w:noProof/>
            <w:rtl/>
          </w:rPr>
          <w:t>נסיבות</w:t>
        </w:r>
        <w:r w:rsidR="00FA3170" w:rsidRPr="00841738">
          <w:rPr>
            <w:rStyle w:val="Hyperlink"/>
            <w:noProof/>
            <w:rtl/>
          </w:rPr>
          <w:t xml:space="preserve"> </w:t>
        </w:r>
        <w:r w:rsidR="00FA3170" w:rsidRPr="00841738">
          <w:rPr>
            <w:rStyle w:val="Hyperlink"/>
            <w:rFonts w:hint="eastAsia"/>
            <w:noProof/>
            <w:rtl/>
          </w:rPr>
          <w:t>אישיות</w:t>
        </w:r>
        <w:r w:rsidR="00FA3170">
          <w:rPr>
            <w:noProof/>
            <w:webHidden/>
            <w:rtl/>
          </w:rPr>
          <w:tab/>
        </w:r>
        <w:r w:rsidR="00FA3170">
          <w:rPr>
            <w:noProof/>
            <w:webHidden/>
            <w:rtl/>
          </w:rPr>
          <w:fldChar w:fldCharType="begin"/>
        </w:r>
        <w:r w:rsidR="00FA3170">
          <w:rPr>
            <w:noProof/>
            <w:webHidden/>
            <w:rtl/>
          </w:rPr>
          <w:instrText xml:space="preserve"> </w:instrText>
        </w:r>
        <w:r w:rsidR="00FA3170">
          <w:rPr>
            <w:noProof/>
            <w:webHidden/>
          </w:rPr>
          <w:instrText>PAGEREF</w:instrText>
        </w:r>
        <w:r w:rsidR="00FA3170">
          <w:rPr>
            <w:noProof/>
            <w:webHidden/>
            <w:rtl/>
          </w:rPr>
          <w:instrText xml:space="preserve"> _</w:instrText>
        </w:r>
        <w:r w:rsidR="00FA3170">
          <w:rPr>
            <w:noProof/>
            <w:webHidden/>
          </w:rPr>
          <w:instrText>Toc34553939 \h</w:instrText>
        </w:r>
        <w:r w:rsidR="00FA3170">
          <w:rPr>
            <w:noProof/>
            <w:webHidden/>
            <w:rtl/>
          </w:rPr>
          <w:instrText xml:space="preserve"> </w:instrText>
        </w:r>
        <w:r w:rsidR="00FA3170">
          <w:rPr>
            <w:noProof/>
            <w:webHidden/>
            <w:rtl/>
          </w:rPr>
        </w:r>
        <w:r w:rsidR="00FA3170">
          <w:rPr>
            <w:noProof/>
            <w:webHidden/>
            <w:rtl/>
          </w:rPr>
          <w:fldChar w:fldCharType="separate"/>
        </w:r>
        <w:r w:rsidR="00FA3170">
          <w:rPr>
            <w:noProof/>
            <w:webHidden/>
            <w:rtl/>
          </w:rPr>
          <w:t>4</w:t>
        </w:r>
        <w:r w:rsidR="00FA3170">
          <w:rPr>
            <w:noProof/>
            <w:webHidden/>
            <w:rtl/>
          </w:rPr>
          <w:fldChar w:fldCharType="end"/>
        </w:r>
      </w:hyperlink>
    </w:p>
    <w:p w:rsidR="00FA3170" w:rsidRDefault="003C07A9" w:rsidP="00FA3170">
      <w:pPr>
        <w:pStyle w:val="TOC3"/>
        <w:rPr>
          <w:rFonts w:asciiTheme="minorHAnsi" w:eastAsiaTheme="minorEastAsia" w:hAnsiTheme="minorHAnsi" w:cstheme="minorBidi"/>
          <w:noProof/>
          <w:sz w:val="22"/>
          <w:rtl/>
        </w:rPr>
      </w:pPr>
      <w:hyperlink w:anchor="_Toc34553940" w:history="1">
        <w:r w:rsidR="00FA3170" w:rsidRPr="00841738">
          <w:rPr>
            <w:rStyle w:val="Hyperlink"/>
            <w:rFonts w:hint="eastAsia"/>
            <w:noProof/>
            <w:rtl/>
          </w:rPr>
          <w:t>הפחתה</w:t>
        </w:r>
        <w:r w:rsidR="00FA3170" w:rsidRPr="00841738">
          <w:rPr>
            <w:rStyle w:val="Hyperlink"/>
            <w:noProof/>
            <w:rtl/>
          </w:rPr>
          <w:t xml:space="preserve"> </w:t>
        </w:r>
        <w:r w:rsidR="00FA3170" w:rsidRPr="00841738">
          <w:rPr>
            <w:rStyle w:val="Hyperlink"/>
            <w:rFonts w:hint="eastAsia"/>
            <w:noProof/>
            <w:rtl/>
          </w:rPr>
          <w:t>בשל</w:t>
        </w:r>
        <w:r w:rsidR="00FA3170" w:rsidRPr="00841738">
          <w:rPr>
            <w:rStyle w:val="Hyperlink"/>
            <w:noProof/>
            <w:rtl/>
          </w:rPr>
          <w:t xml:space="preserve"> </w:t>
        </w:r>
        <w:r w:rsidR="00FA3170" w:rsidRPr="00841738">
          <w:rPr>
            <w:rStyle w:val="Hyperlink"/>
            <w:rFonts w:hint="eastAsia"/>
            <w:noProof/>
            <w:rtl/>
          </w:rPr>
          <w:t>כמה</w:t>
        </w:r>
        <w:r w:rsidR="00FA3170" w:rsidRPr="00841738">
          <w:rPr>
            <w:rStyle w:val="Hyperlink"/>
            <w:noProof/>
            <w:rtl/>
          </w:rPr>
          <w:t xml:space="preserve"> </w:t>
        </w:r>
        <w:r w:rsidR="00FA3170" w:rsidRPr="00841738">
          <w:rPr>
            <w:rStyle w:val="Hyperlink"/>
            <w:rFonts w:hint="eastAsia"/>
            <w:noProof/>
            <w:rtl/>
          </w:rPr>
          <w:t>נסיבות</w:t>
        </w:r>
        <w:r w:rsidR="00FA3170">
          <w:rPr>
            <w:noProof/>
            <w:webHidden/>
            <w:rtl/>
          </w:rPr>
          <w:tab/>
        </w:r>
        <w:r w:rsidR="00FA3170">
          <w:rPr>
            <w:noProof/>
            <w:webHidden/>
            <w:rtl/>
          </w:rPr>
          <w:fldChar w:fldCharType="begin"/>
        </w:r>
        <w:r w:rsidR="00FA3170">
          <w:rPr>
            <w:noProof/>
            <w:webHidden/>
            <w:rtl/>
          </w:rPr>
          <w:instrText xml:space="preserve"> </w:instrText>
        </w:r>
        <w:r w:rsidR="00FA3170">
          <w:rPr>
            <w:noProof/>
            <w:webHidden/>
          </w:rPr>
          <w:instrText>PAGEREF</w:instrText>
        </w:r>
        <w:r w:rsidR="00FA3170">
          <w:rPr>
            <w:noProof/>
            <w:webHidden/>
            <w:rtl/>
          </w:rPr>
          <w:instrText xml:space="preserve"> _</w:instrText>
        </w:r>
        <w:r w:rsidR="00FA3170">
          <w:rPr>
            <w:noProof/>
            <w:webHidden/>
          </w:rPr>
          <w:instrText>Toc34553940 \h</w:instrText>
        </w:r>
        <w:r w:rsidR="00FA3170">
          <w:rPr>
            <w:noProof/>
            <w:webHidden/>
            <w:rtl/>
          </w:rPr>
          <w:instrText xml:space="preserve"> </w:instrText>
        </w:r>
        <w:r w:rsidR="00FA3170">
          <w:rPr>
            <w:noProof/>
            <w:webHidden/>
            <w:rtl/>
          </w:rPr>
        </w:r>
        <w:r w:rsidR="00FA3170">
          <w:rPr>
            <w:noProof/>
            <w:webHidden/>
            <w:rtl/>
          </w:rPr>
          <w:fldChar w:fldCharType="separate"/>
        </w:r>
        <w:r w:rsidR="00FA3170">
          <w:rPr>
            <w:noProof/>
            <w:webHidden/>
            <w:rtl/>
          </w:rPr>
          <w:t>4</w:t>
        </w:r>
        <w:r w:rsidR="00FA3170">
          <w:rPr>
            <w:noProof/>
            <w:webHidden/>
            <w:rtl/>
          </w:rPr>
          <w:fldChar w:fldCharType="end"/>
        </w:r>
      </w:hyperlink>
    </w:p>
    <w:p w:rsidR="00FA3170" w:rsidRDefault="003C07A9" w:rsidP="00FA3170">
      <w:pPr>
        <w:pStyle w:val="TOC3"/>
        <w:rPr>
          <w:rFonts w:asciiTheme="minorHAnsi" w:eastAsiaTheme="minorEastAsia" w:hAnsiTheme="minorHAnsi" w:cstheme="minorBidi"/>
          <w:noProof/>
          <w:sz w:val="22"/>
          <w:rtl/>
        </w:rPr>
      </w:pPr>
      <w:hyperlink w:anchor="_Toc34553941" w:history="1">
        <w:r w:rsidR="00FA3170" w:rsidRPr="00841738">
          <w:rPr>
            <w:rStyle w:val="Hyperlink"/>
            <w:rFonts w:hint="eastAsia"/>
            <w:noProof/>
            <w:rtl/>
          </w:rPr>
          <w:t>הפחתה</w:t>
        </w:r>
        <w:r w:rsidR="00FA3170" w:rsidRPr="00841738">
          <w:rPr>
            <w:rStyle w:val="Hyperlink"/>
            <w:noProof/>
            <w:rtl/>
          </w:rPr>
          <w:t xml:space="preserve"> </w:t>
        </w:r>
        <w:r w:rsidR="00FA3170" w:rsidRPr="00841738">
          <w:rPr>
            <w:rStyle w:val="Hyperlink"/>
            <w:rFonts w:hint="eastAsia"/>
            <w:noProof/>
            <w:rtl/>
          </w:rPr>
          <w:t>בשל</w:t>
        </w:r>
        <w:r w:rsidR="00FA3170" w:rsidRPr="00841738">
          <w:rPr>
            <w:rStyle w:val="Hyperlink"/>
            <w:noProof/>
            <w:rtl/>
          </w:rPr>
          <w:t xml:space="preserve"> </w:t>
        </w:r>
        <w:r w:rsidR="00FA3170" w:rsidRPr="00841738">
          <w:rPr>
            <w:rStyle w:val="Hyperlink"/>
            <w:rFonts w:hint="eastAsia"/>
            <w:noProof/>
            <w:rtl/>
          </w:rPr>
          <w:t>בדיקת</w:t>
        </w:r>
        <w:r w:rsidR="00FA3170" w:rsidRPr="00841738">
          <w:rPr>
            <w:rStyle w:val="Hyperlink"/>
            <w:noProof/>
            <w:rtl/>
          </w:rPr>
          <w:t xml:space="preserve"> </w:t>
        </w:r>
        <w:r w:rsidR="00FA3170" w:rsidRPr="00841738">
          <w:rPr>
            <w:rStyle w:val="Hyperlink"/>
            <w:rFonts w:hint="eastAsia"/>
            <w:noProof/>
            <w:rtl/>
          </w:rPr>
          <w:t>הצהרות</w:t>
        </w:r>
        <w:r w:rsidR="00FA3170" w:rsidRPr="00841738">
          <w:rPr>
            <w:rStyle w:val="Hyperlink"/>
            <w:noProof/>
            <w:rtl/>
          </w:rPr>
          <w:t xml:space="preserve"> </w:t>
        </w:r>
        <w:r w:rsidR="00FA3170" w:rsidRPr="00841738">
          <w:rPr>
            <w:rStyle w:val="Hyperlink"/>
            <w:rFonts w:hint="eastAsia"/>
            <w:noProof/>
            <w:rtl/>
          </w:rPr>
          <w:t>יבוא</w:t>
        </w:r>
        <w:r w:rsidR="00FA3170" w:rsidRPr="00841738">
          <w:rPr>
            <w:rStyle w:val="Hyperlink"/>
            <w:noProof/>
            <w:rtl/>
          </w:rPr>
          <w:t xml:space="preserve"> </w:t>
        </w:r>
        <w:r w:rsidR="00FA3170" w:rsidRPr="00841738">
          <w:rPr>
            <w:rStyle w:val="Hyperlink"/>
            <w:rFonts w:hint="eastAsia"/>
            <w:noProof/>
            <w:rtl/>
          </w:rPr>
          <w:t>לאחר</w:t>
        </w:r>
        <w:r w:rsidR="00FA3170" w:rsidRPr="00841738">
          <w:rPr>
            <w:rStyle w:val="Hyperlink"/>
            <w:noProof/>
            <w:rtl/>
          </w:rPr>
          <w:t xml:space="preserve"> </w:t>
        </w:r>
        <w:r w:rsidR="00FA3170" w:rsidRPr="00841738">
          <w:rPr>
            <w:rStyle w:val="Hyperlink"/>
            <w:rFonts w:hint="eastAsia"/>
            <w:noProof/>
            <w:rtl/>
          </w:rPr>
          <w:t>התרתן</w:t>
        </w:r>
        <w:r w:rsidR="00FA3170">
          <w:rPr>
            <w:noProof/>
            <w:webHidden/>
            <w:rtl/>
          </w:rPr>
          <w:tab/>
        </w:r>
        <w:r w:rsidR="00FA3170">
          <w:rPr>
            <w:noProof/>
            <w:webHidden/>
            <w:rtl/>
          </w:rPr>
          <w:fldChar w:fldCharType="begin"/>
        </w:r>
        <w:r w:rsidR="00FA3170">
          <w:rPr>
            <w:noProof/>
            <w:webHidden/>
            <w:rtl/>
          </w:rPr>
          <w:instrText xml:space="preserve"> </w:instrText>
        </w:r>
        <w:r w:rsidR="00FA3170">
          <w:rPr>
            <w:noProof/>
            <w:webHidden/>
          </w:rPr>
          <w:instrText>PAGEREF</w:instrText>
        </w:r>
        <w:r w:rsidR="00FA3170">
          <w:rPr>
            <w:noProof/>
            <w:webHidden/>
            <w:rtl/>
          </w:rPr>
          <w:instrText xml:space="preserve"> _</w:instrText>
        </w:r>
        <w:r w:rsidR="00FA3170">
          <w:rPr>
            <w:noProof/>
            <w:webHidden/>
          </w:rPr>
          <w:instrText>Toc34553941 \h</w:instrText>
        </w:r>
        <w:r w:rsidR="00FA3170">
          <w:rPr>
            <w:noProof/>
            <w:webHidden/>
            <w:rtl/>
          </w:rPr>
          <w:instrText xml:space="preserve"> </w:instrText>
        </w:r>
        <w:r w:rsidR="00FA3170">
          <w:rPr>
            <w:noProof/>
            <w:webHidden/>
            <w:rtl/>
          </w:rPr>
        </w:r>
        <w:r w:rsidR="00FA3170">
          <w:rPr>
            <w:noProof/>
            <w:webHidden/>
            <w:rtl/>
          </w:rPr>
          <w:fldChar w:fldCharType="separate"/>
        </w:r>
        <w:r w:rsidR="00FA3170">
          <w:rPr>
            <w:noProof/>
            <w:webHidden/>
            <w:rtl/>
          </w:rPr>
          <w:t>4</w:t>
        </w:r>
        <w:r w:rsidR="00FA3170">
          <w:rPr>
            <w:noProof/>
            <w:webHidden/>
            <w:rtl/>
          </w:rPr>
          <w:fldChar w:fldCharType="end"/>
        </w:r>
      </w:hyperlink>
    </w:p>
    <w:p w:rsidR="00FA3170" w:rsidRDefault="003C07A9" w:rsidP="00FA3170">
      <w:pPr>
        <w:pStyle w:val="TOC3"/>
        <w:rPr>
          <w:rFonts w:asciiTheme="minorHAnsi" w:eastAsiaTheme="minorEastAsia" w:hAnsiTheme="minorHAnsi" w:cstheme="minorBidi"/>
          <w:noProof/>
          <w:sz w:val="22"/>
          <w:rtl/>
        </w:rPr>
      </w:pPr>
      <w:hyperlink w:anchor="_Toc34553942" w:history="1">
        <w:r w:rsidR="00FA3170" w:rsidRPr="00841738">
          <w:rPr>
            <w:rStyle w:val="Hyperlink"/>
            <w:rFonts w:hint="eastAsia"/>
            <w:noProof/>
            <w:rtl/>
          </w:rPr>
          <w:t>הפחתה</w:t>
        </w:r>
        <w:r w:rsidR="00FA3170" w:rsidRPr="00841738">
          <w:rPr>
            <w:rStyle w:val="Hyperlink"/>
            <w:noProof/>
            <w:rtl/>
          </w:rPr>
          <w:t xml:space="preserve"> </w:t>
        </w:r>
        <w:r w:rsidR="00FA3170" w:rsidRPr="00841738">
          <w:rPr>
            <w:rStyle w:val="Hyperlink"/>
            <w:rFonts w:hint="eastAsia"/>
            <w:noProof/>
            <w:rtl/>
          </w:rPr>
          <w:t>בשל</w:t>
        </w:r>
        <w:r w:rsidR="00FA3170" w:rsidRPr="00841738">
          <w:rPr>
            <w:rStyle w:val="Hyperlink"/>
            <w:noProof/>
            <w:rtl/>
          </w:rPr>
          <w:t xml:space="preserve"> </w:t>
        </w:r>
        <w:r w:rsidR="00FA3170" w:rsidRPr="00841738">
          <w:rPr>
            <w:rStyle w:val="Hyperlink"/>
            <w:rFonts w:hint="eastAsia"/>
            <w:noProof/>
            <w:rtl/>
          </w:rPr>
          <w:t>התחשבות</w:t>
        </w:r>
        <w:r w:rsidR="00FA3170" w:rsidRPr="00841738">
          <w:rPr>
            <w:rStyle w:val="Hyperlink"/>
            <w:noProof/>
            <w:rtl/>
          </w:rPr>
          <w:t xml:space="preserve"> </w:t>
        </w:r>
        <w:r w:rsidR="00FA3170" w:rsidRPr="00841738">
          <w:rPr>
            <w:rStyle w:val="Hyperlink"/>
            <w:rFonts w:hint="eastAsia"/>
            <w:noProof/>
            <w:rtl/>
          </w:rPr>
          <w:t>במחזור</w:t>
        </w:r>
        <w:r w:rsidR="00FA3170" w:rsidRPr="00841738">
          <w:rPr>
            <w:rStyle w:val="Hyperlink"/>
            <w:noProof/>
            <w:rtl/>
          </w:rPr>
          <w:t xml:space="preserve"> </w:t>
        </w:r>
        <w:r w:rsidR="00FA3170" w:rsidRPr="00841738">
          <w:rPr>
            <w:rStyle w:val="Hyperlink"/>
            <w:rFonts w:hint="eastAsia"/>
            <w:noProof/>
            <w:rtl/>
          </w:rPr>
          <w:t>עסקאות</w:t>
        </w:r>
        <w:r w:rsidR="00FA3170">
          <w:rPr>
            <w:noProof/>
            <w:webHidden/>
            <w:rtl/>
          </w:rPr>
          <w:tab/>
        </w:r>
        <w:r w:rsidR="00FA3170">
          <w:rPr>
            <w:noProof/>
            <w:webHidden/>
            <w:rtl/>
          </w:rPr>
          <w:fldChar w:fldCharType="begin"/>
        </w:r>
        <w:r w:rsidR="00FA3170">
          <w:rPr>
            <w:noProof/>
            <w:webHidden/>
            <w:rtl/>
          </w:rPr>
          <w:instrText xml:space="preserve"> </w:instrText>
        </w:r>
        <w:r w:rsidR="00FA3170">
          <w:rPr>
            <w:noProof/>
            <w:webHidden/>
          </w:rPr>
          <w:instrText>PAGEREF</w:instrText>
        </w:r>
        <w:r w:rsidR="00FA3170">
          <w:rPr>
            <w:noProof/>
            <w:webHidden/>
            <w:rtl/>
          </w:rPr>
          <w:instrText xml:space="preserve"> _</w:instrText>
        </w:r>
        <w:r w:rsidR="00FA3170">
          <w:rPr>
            <w:noProof/>
            <w:webHidden/>
          </w:rPr>
          <w:instrText>Toc34553942 \h</w:instrText>
        </w:r>
        <w:r w:rsidR="00FA3170">
          <w:rPr>
            <w:noProof/>
            <w:webHidden/>
            <w:rtl/>
          </w:rPr>
          <w:instrText xml:space="preserve"> </w:instrText>
        </w:r>
        <w:r w:rsidR="00FA3170">
          <w:rPr>
            <w:noProof/>
            <w:webHidden/>
            <w:rtl/>
          </w:rPr>
        </w:r>
        <w:r w:rsidR="00FA3170">
          <w:rPr>
            <w:noProof/>
            <w:webHidden/>
            <w:rtl/>
          </w:rPr>
          <w:fldChar w:fldCharType="separate"/>
        </w:r>
        <w:r w:rsidR="00FA3170">
          <w:rPr>
            <w:noProof/>
            <w:webHidden/>
            <w:rtl/>
          </w:rPr>
          <w:t>4</w:t>
        </w:r>
        <w:r w:rsidR="00FA3170">
          <w:rPr>
            <w:noProof/>
            <w:webHidden/>
            <w:rtl/>
          </w:rPr>
          <w:fldChar w:fldCharType="end"/>
        </w:r>
      </w:hyperlink>
    </w:p>
    <w:p w:rsidR="00FA3170" w:rsidRDefault="003C07A9" w:rsidP="00FA3170">
      <w:pPr>
        <w:pStyle w:val="TOC3"/>
        <w:rPr>
          <w:rFonts w:asciiTheme="minorHAnsi" w:eastAsiaTheme="minorEastAsia" w:hAnsiTheme="minorHAnsi" w:cstheme="minorBidi"/>
          <w:noProof/>
          <w:sz w:val="22"/>
          <w:rtl/>
        </w:rPr>
      </w:pPr>
      <w:hyperlink w:anchor="_Toc34553943" w:history="1">
        <w:r w:rsidR="00FA3170" w:rsidRPr="00841738">
          <w:rPr>
            <w:rStyle w:val="Hyperlink"/>
            <w:rFonts w:hint="eastAsia"/>
            <w:noProof/>
            <w:rtl/>
          </w:rPr>
          <w:t>עדכון</w:t>
        </w:r>
        <w:r w:rsidR="00FA3170" w:rsidRPr="00841738">
          <w:rPr>
            <w:rStyle w:val="Hyperlink"/>
            <w:noProof/>
            <w:rtl/>
          </w:rPr>
          <w:t xml:space="preserve"> </w:t>
        </w:r>
        <w:r w:rsidR="00FA3170" w:rsidRPr="00841738">
          <w:rPr>
            <w:rStyle w:val="Hyperlink"/>
            <w:rFonts w:hint="eastAsia"/>
            <w:noProof/>
            <w:rtl/>
          </w:rPr>
          <w:t>סכומים</w:t>
        </w:r>
        <w:r w:rsidR="00FA3170">
          <w:rPr>
            <w:noProof/>
            <w:webHidden/>
            <w:rtl/>
          </w:rPr>
          <w:tab/>
        </w:r>
        <w:r w:rsidR="00FA3170">
          <w:rPr>
            <w:noProof/>
            <w:webHidden/>
            <w:rtl/>
          </w:rPr>
          <w:fldChar w:fldCharType="begin"/>
        </w:r>
        <w:r w:rsidR="00FA3170">
          <w:rPr>
            <w:noProof/>
            <w:webHidden/>
            <w:rtl/>
          </w:rPr>
          <w:instrText xml:space="preserve"> </w:instrText>
        </w:r>
        <w:r w:rsidR="00FA3170">
          <w:rPr>
            <w:noProof/>
            <w:webHidden/>
          </w:rPr>
          <w:instrText>PAGEREF</w:instrText>
        </w:r>
        <w:r w:rsidR="00FA3170">
          <w:rPr>
            <w:noProof/>
            <w:webHidden/>
            <w:rtl/>
          </w:rPr>
          <w:instrText xml:space="preserve"> _</w:instrText>
        </w:r>
        <w:r w:rsidR="00FA3170">
          <w:rPr>
            <w:noProof/>
            <w:webHidden/>
          </w:rPr>
          <w:instrText>Toc34553943 \h</w:instrText>
        </w:r>
        <w:r w:rsidR="00FA3170">
          <w:rPr>
            <w:noProof/>
            <w:webHidden/>
            <w:rtl/>
          </w:rPr>
          <w:instrText xml:space="preserve"> </w:instrText>
        </w:r>
        <w:r w:rsidR="00FA3170">
          <w:rPr>
            <w:noProof/>
            <w:webHidden/>
            <w:rtl/>
          </w:rPr>
        </w:r>
        <w:r w:rsidR="00FA3170">
          <w:rPr>
            <w:noProof/>
            <w:webHidden/>
            <w:rtl/>
          </w:rPr>
          <w:fldChar w:fldCharType="separate"/>
        </w:r>
        <w:r w:rsidR="00FA3170">
          <w:rPr>
            <w:noProof/>
            <w:webHidden/>
            <w:rtl/>
          </w:rPr>
          <w:t>5</w:t>
        </w:r>
        <w:r w:rsidR="00FA3170">
          <w:rPr>
            <w:noProof/>
            <w:webHidden/>
            <w:rtl/>
          </w:rPr>
          <w:fldChar w:fldCharType="end"/>
        </w:r>
      </w:hyperlink>
    </w:p>
    <w:p w:rsidR="00FA3170" w:rsidRDefault="003C07A9" w:rsidP="00FA3170">
      <w:pPr>
        <w:pStyle w:val="TOC3"/>
        <w:rPr>
          <w:rFonts w:asciiTheme="minorHAnsi" w:eastAsiaTheme="minorEastAsia" w:hAnsiTheme="minorHAnsi" w:cstheme="minorBidi"/>
          <w:noProof/>
          <w:sz w:val="22"/>
          <w:rtl/>
        </w:rPr>
      </w:pPr>
      <w:hyperlink w:anchor="_Toc34553944" w:history="1">
        <w:r w:rsidR="00FA3170" w:rsidRPr="00841738">
          <w:rPr>
            <w:rStyle w:val="Hyperlink"/>
            <w:rFonts w:hint="eastAsia"/>
            <w:noProof/>
            <w:rtl/>
          </w:rPr>
          <w:t>תחילה</w:t>
        </w:r>
        <w:r w:rsidR="00FA3170">
          <w:rPr>
            <w:noProof/>
            <w:webHidden/>
            <w:rtl/>
          </w:rPr>
          <w:tab/>
        </w:r>
        <w:r w:rsidR="00FA3170">
          <w:rPr>
            <w:noProof/>
            <w:webHidden/>
            <w:rtl/>
          </w:rPr>
          <w:fldChar w:fldCharType="begin"/>
        </w:r>
        <w:r w:rsidR="00FA3170">
          <w:rPr>
            <w:noProof/>
            <w:webHidden/>
            <w:rtl/>
          </w:rPr>
          <w:instrText xml:space="preserve"> </w:instrText>
        </w:r>
        <w:r w:rsidR="00FA3170">
          <w:rPr>
            <w:noProof/>
            <w:webHidden/>
          </w:rPr>
          <w:instrText>PAGEREF</w:instrText>
        </w:r>
        <w:r w:rsidR="00FA3170">
          <w:rPr>
            <w:noProof/>
            <w:webHidden/>
            <w:rtl/>
          </w:rPr>
          <w:instrText xml:space="preserve"> _</w:instrText>
        </w:r>
        <w:r w:rsidR="00FA3170">
          <w:rPr>
            <w:noProof/>
            <w:webHidden/>
          </w:rPr>
          <w:instrText>Toc34553944 \h</w:instrText>
        </w:r>
        <w:r w:rsidR="00FA3170">
          <w:rPr>
            <w:noProof/>
            <w:webHidden/>
            <w:rtl/>
          </w:rPr>
          <w:instrText xml:space="preserve"> </w:instrText>
        </w:r>
        <w:r w:rsidR="00FA3170">
          <w:rPr>
            <w:noProof/>
            <w:webHidden/>
            <w:rtl/>
          </w:rPr>
        </w:r>
        <w:r w:rsidR="00FA3170">
          <w:rPr>
            <w:noProof/>
            <w:webHidden/>
            <w:rtl/>
          </w:rPr>
          <w:fldChar w:fldCharType="separate"/>
        </w:r>
        <w:r w:rsidR="00FA3170">
          <w:rPr>
            <w:noProof/>
            <w:webHidden/>
            <w:rtl/>
          </w:rPr>
          <w:t>5</w:t>
        </w:r>
        <w:r w:rsidR="00FA3170">
          <w:rPr>
            <w:noProof/>
            <w:webHidden/>
            <w:rtl/>
          </w:rPr>
          <w:fldChar w:fldCharType="end"/>
        </w:r>
      </w:hyperlink>
    </w:p>
    <w:p w:rsidR="00FA3170" w:rsidRDefault="003C07A9" w:rsidP="00FA3170">
      <w:pPr>
        <w:pStyle w:val="TOC2"/>
        <w:rPr>
          <w:rFonts w:asciiTheme="minorHAnsi" w:eastAsiaTheme="minorEastAsia" w:hAnsiTheme="minorHAnsi" w:cstheme="minorBidi"/>
          <w:noProof/>
          <w:sz w:val="22"/>
          <w:rtl/>
        </w:rPr>
      </w:pPr>
      <w:hyperlink w:anchor="_Toc34553945" w:history="1">
        <w:r w:rsidR="00FA3170" w:rsidRPr="00841738">
          <w:rPr>
            <w:rStyle w:val="Hyperlink"/>
            <w:rFonts w:hint="eastAsia"/>
            <w:noProof/>
            <w:rtl/>
          </w:rPr>
          <w:t>דברי</w:t>
        </w:r>
        <w:r w:rsidR="00FA3170" w:rsidRPr="00841738">
          <w:rPr>
            <w:rStyle w:val="Hyperlink"/>
            <w:noProof/>
            <w:rtl/>
          </w:rPr>
          <w:t xml:space="preserve"> </w:t>
        </w:r>
        <w:r w:rsidR="00FA3170" w:rsidRPr="00841738">
          <w:rPr>
            <w:rStyle w:val="Hyperlink"/>
            <w:rFonts w:hint="eastAsia"/>
            <w:noProof/>
            <w:rtl/>
          </w:rPr>
          <w:t>הסבר</w:t>
        </w:r>
        <w:r w:rsidR="00FA3170">
          <w:rPr>
            <w:noProof/>
            <w:webHidden/>
            <w:rtl/>
          </w:rPr>
          <w:tab/>
        </w:r>
        <w:r w:rsidR="00FA3170">
          <w:rPr>
            <w:noProof/>
            <w:webHidden/>
            <w:rtl/>
          </w:rPr>
          <w:fldChar w:fldCharType="begin"/>
        </w:r>
        <w:r w:rsidR="00FA3170">
          <w:rPr>
            <w:noProof/>
            <w:webHidden/>
            <w:rtl/>
          </w:rPr>
          <w:instrText xml:space="preserve"> </w:instrText>
        </w:r>
        <w:r w:rsidR="00FA3170">
          <w:rPr>
            <w:noProof/>
            <w:webHidden/>
          </w:rPr>
          <w:instrText>PAGEREF</w:instrText>
        </w:r>
        <w:r w:rsidR="00FA3170">
          <w:rPr>
            <w:noProof/>
            <w:webHidden/>
            <w:rtl/>
          </w:rPr>
          <w:instrText xml:space="preserve"> _</w:instrText>
        </w:r>
        <w:r w:rsidR="00FA3170">
          <w:rPr>
            <w:noProof/>
            <w:webHidden/>
          </w:rPr>
          <w:instrText>Toc34553945 \h</w:instrText>
        </w:r>
        <w:r w:rsidR="00FA3170">
          <w:rPr>
            <w:noProof/>
            <w:webHidden/>
            <w:rtl/>
          </w:rPr>
          <w:instrText xml:space="preserve"> </w:instrText>
        </w:r>
        <w:r w:rsidR="00FA3170">
          <w:rPr>
            <w:noProof/>
            <w:webHidden/>
            <w:rtl/>
          </w:rPr>
        </w:r>
        <w:r w:rsidR="00FA3170">
          <w:rPr>
            <w:noProof/>
            <w:webHidden/>
            <w:rtl/>
          </w:rPr>
          <w:fldChar w:fldCharType="separate"/>
        </w:r>
        <w:r w:rsidR="00FA3170">
          <w:rPr>
            <w:noProof/>
            <w:webHidden/>
            <w:rtl/>
          </w:rPr>
          <w:t>6</w:t>
        </w:r>
        <w:r w:rsidR="00FA3170">
          <w:rPr>
            <w:noProof/>
            <w:webHidden/>
            <w:rtl/>
          </w:rPr>
          <w:fldChar w:fldCharType="end"/>
        </w:r>
      </w:hyperlink>
    </w:p>
    <w:p w:rsidR="00C75ACE" w:rsidRDefault="00FA3170" w:rsidP="00FA3170">
      <w:pPr>
        <w:rPr>
          <w:snapToGrid w:val="0"/>
          <w:rtl/>
        </w:rPr>
      </w:pPr>
      <w:r>
        <w:rPr>
          <w:rtl/>
        </w:rPr>
        <w:fldChar w:fldCharType="end"/>
      </w:r>
      <w:r w:rsidR="00C75ACE">
        <w:rPr>
          <w:rtl/>
        </w:rPr>
        <w:br w:type="page"/>
      </w:r>
    </w:p>
    <w:p w:rsidR="00DA2CCE" w:rsidRPr="00672784" w:rsidRDefault="00DA2CCE" w:rsidP="00722C14">
      <w:pPr>
        <w:pStyle w:val="1"/>
        <w:keepNext w:val="0"/>
        <w:keepLines w:val="0"/>
      </w:pPr>
      <w:bookmarkStart w:id="1" w:name="_Toc13751990"/>
      <w:bookmarkStart w:id="2" w:name="_Toc13752013"/>
      <w:bookmarkStart w:id="3" w:name="_Toc34553933"/>
      <w:r w:rsidRPr="00672784">
        <w:rPr>
          <w:rtl/>
        </w:rPr>
        <w:lastRenderedPageBreak/>
        <w:t>טיוטת תקנות</w:t>
      </w:r>
      <w:bookmarkEnd w:id="1"/>
      <w:bookmarkEnd w:id="2"/>
      <w:bookmarkEnd w:id="3"/>
    </w:p>
    <w:p w:rsidR="00DA2CCE" w:rsidRPr="00672784" w:rsidRDefault="00DA2CCE" w:rsidP="00722C14">
      <w:pPr>
        <w:rPr>
          <w:rtl/>
        </w:rPr>
      </w:pPr>
    </w:p>
    <w:p w:rsidR="00DA2CCE" w:rsidRPr="00672784" w:rsidRDefault="00DA2CCE" w:rsidP="00F24A78">
      <w:pPr>
        <w:pStyle w:val="4"/>
        <w:rPr>
          <w:rtl/>
        </w:rPr>
      </w:pPr>
      <w:bookmarkStart w:id="4" w:name="_Toc13752014"/>
      <w:bookmarkStart w:id="5" w:name="_Toc34553934"/>
      <w:r w:rsidRPr="00672784">
        <w:rPr>
          <w:rFonts w:hint="cs"/>
          <w:rtl/>
        </w:rPr>
        <w:t>שם התקנות המוצעות</w:t>
      </w:r>
      <w:bookmarkEnd w:id="4"/>
      <w:bookmarkEnd w:id="5"/>
    </w:p>
    <w:p w:rsidR="00DA2CCE" w:rsidRPr="00672784" w:rsidRDefault="006A7C65" w:rsidP="00FA3170">
      <w:r w:rsidRPr="00672784">
        <w:rPr>
          <w:rFonts w:hint="cs"/>
          <w:rtl/>
        </w:rPr>
        <w:t>תקנות ה</w:t>
      </w:r>
      <w:r w:rsidRPr="00672784">
        <w:rPr>
          <w:rtl/>
        </w:rPr>
        <w:t>מכס (הפחתה של סכומי עיצום כספי), התש</w:t>
      </w:r>
      <w:r w:rsidR="00FA3170">
        <w:rPr>
          <w:rFonts w:hint="cs"/>
          <w:rtl/>
        </w:rPr>
        <w:t>"ף-2020</w:t>
      </w:r>
    </w:p>
    <w:p w:rsidR="00DA2CCE" w:rsidRPr="00672784" w:rsidRDefault="00DA2CCE" w:rsidP="00722C14">
      <w:pPr>
        <w:rPr>
          <w:rtl/>
        </w:rPr>
      </w:pPr>
    </w:p>
    <w:p w:rsidR="00DA2CCE" w:rsidRPr="00672784" w:rsidRDefault="00DA2CCE" w:rsidP="00722C14">
      <w:pPr>
        <w:rPr>
          <w:rtl/>
        </w:rPr>
      </w:pPr>
    </w:p>
    <w:p w:rsidR="00DA2CCE" w:rsidRPr="00672784" w:rsidRDefault="00DA2CCE" w:rsidP="00672784">
      <w:pPr>
        <w:pStyle w:val="4"/>
        <w:rPr>
          <w:rtl/>
        </w:rPr>
      </w:pPr>
      <w:bookmarkStart w:id="6" w:name="_Toc13752015"/>
      <w:bookmarkStart w:id="7" w:name="_Toc34553935"/>
      <w:r w:rsidRPr="00672784">
        <w:rPr>
          <w:rFonts w:hint="cs"/>
          <w:rtl/>
        </w:rPr>
        <w:t>מטרת התקנות המוצעות והצורך בהן</w:t>
      </w:r>
      <w:bookmarkEnd w:id="6"/>
      <w:bookmarkEnd w:id="7"/>
      <w:r w:rsidRPr="00672784">
        <w:rPr>
          <w:rFonts w:hint="cs"/>
          <w:rtl/>
        </w:rPr>
        <w:t xml:space="preserve"> </w:t>
      </w:r>
    </w:p>
    <w:p w:rsidR="00DA2CCE" w:rsidRPr="00672784" w:rsidRDefault="00A632C2" w:rsidP="00A632C2">
      <w:pPr>
        <w:rPr>
          <w:rtl/>
        </w:rPr>
      </w:pPr>
      <w:r>
        <w:rPr>
          <w:rFonts w:hint="cs"/>
          <w:rtl/>
        </w:rPr>
        <w:t xml:space="preserve">פרק שלושה עשר א' לפקודת המכס </w:t>
      </w:r>
      <w:r w:rsidR="008864D2" w:rsidRPr="00672784">
        <w:rPr>
          <w:rFonts w:hint="cs"/>
          <w:rtl/>
        </w:rPr>
        <w:t xml:space="preserve">קבע כי ניתן להטיל עיצומים כספיים בגין ביצוע הפרות שונות של פקודת המכס. מטרת תקנות אלו היא לקבוע </w:t>
      </w:r>
      <w:r>
        <w:rPr>
          <w:rFonts w:hint="cs"/>
          <w:rtl/>
        </w:rPr>
        <w:t xml:space="preserve">מקרים, </w:t>
      </w:r>
      <w:r w:rsidR="008864D2" w:rsidRPr="00672784">
        <w:rPr>
          <w:rFonts w:hint="cs"/>
          <w:rtl/>
        </w:rPr>
        <w:t>נסיבות</w:t>
      </w:r>
      <w:r>
        <w:rPr>
          <w:rFonts w:hint="cs"/>
          <w:rtl/>
        </w:rPr>
        <w:t xml:space="preserve"> ושיקולים שבשלהם ניתן יהיה </w:t>
      </w:r>
      <w:r w:rsidR="008864D2" w:rsidRPr="00672784">
        <w:rPr>
          <w:rFonts w:hint="cs"/>
          <w:rtl/>
        </w:rPr>
        <w:t>להפחית את סכומים העיצומים הכספיים</w:t>
      </w:r>
      <w:r>
        <w:rPr>
          <w:rFonts w:hint="cs"/>
          <w:rtl/>
        </w:rPr>
        <w:t>,</w:t>
      </w:r>
      <w:r w:rsidR="008864D2" w:rsidRPr="00672784">
        <w:rPr>
          <w:rFonts w:hint="cs"/>
          <w:rtl/>
        </w:rPr>
        <w:t xml:space="preserve"> ואת שיעורי ההפחתות.  </w:t>
      </w:r>
    </w:p>
    <w:p w:rsidR="00DA2CCE" w:rsidRPr="00672784" w:rsidRDefault="00DA2CCE" w:rsidP="00722C14">
      <w:pPr>
        <w:rPr>
          <w:rtl/>
        </w:rPr>
      </w:pPr>
    </w:p>
    <w:p w:rsidR="00DA2CCE" w:rsidRPr="00672784" w:rsidRDefault="00DA2CCE" w:rsidP="00F24A78">
      <w:pPr>
        <w:pStyle w:val="4"/>
      </w:pPr>
      <w:bookmarkStart w:id="8" w:name="_Toc13752016"/>
      <w:bookmarkStart w:id="9" w:name="_Toc34553936"/>
      <w:r w:rsidRPr="00672784">
        <w:rPr>
          <w:rFonts w:hint="cs"/>
          <w:rtl/>
        </w:rPr>
        <w:t>להלן נוסח טיוטת התקנות המוצעות:</w:t>
      </w:r>
      <w:bookmarkEnd w:id="8"/>
      <w:bookmarkEnd w:id="9"/>
      <w:r w:rsidRPr="00672784">
        <w:rPr>
          <w:rFonts w:hint="cs"/>
          <w:rtl/>
        </w:rPr>
        <w:t xml:space="preserve"> </w:t>
      </w:r>
    </w:p>
    <w:p w:rsidR="00DA2CCE" w:rsidRPr="00B35EDB" w:rsidRDefault="00DA2CCE" w:rsidP="00722C14">
      <w:pPr>
        <w:bidi w:val="0"/>
        <w:rPr>
          <w:rFonts w:asciiTheme="minorHAnsi" w:hAnsiTheme="minorHAnsi"/>
        </w:rPr>
      </w:pPr>
      <w:r w:rsidRPr="00672784">
        <w:rPr>
          <w:rtl/>
        </w:rPr>
        <w:br w:type="page"/>
      </w:r>
    </w:p>
    <w:p w:rsidR="00DA2CCE" w:rsidRPr="00672784" w:rsidRDefault="00DA2CCE" w:rsidP="006A7C65">
      <w:pPr>
        <w:pStyle w:val="HeadMitparsemetBaze"/>
        <w:keepNext w:val="0"/>
        <w:keepLines w:val="0"/>
        <w:pageBreakBefore w:val="0"/>
        <w:rPr>
          <w:rtl/>
        </w:rPr>
      </w:pPr>
      <w:r w:rsidRPr="00672784">
        <w:rPr>
          <w:rtl/>
        </w:rPr>
        <w:lastRenderedPageBreak/>
        <w:t>טיוטת תקנות מטעם משרד</w:t>
      </w:r>
      <w:r w:rsidR="006A7C65" w:rsidRPr="00672784">
        <w:rPr>
          <w:rFonts w:hint="cs"/>
          <w:rtl/>
        </w:rPr>
        <w:t xml:space="preserve"> האוצר</w:t>
      </w:r>
      <w:r w:rsidRPr="00672784">
        <w:rPr>
          <w:rtl/>
        </w:rPr>
        <w:t xml:space="preserve">: </w:t>
      </w:r>
    </w:p>
    <w:p w:rsidR="00DA2CCE" w:rsidRPr="00672784" w:rsidRDefault="00DA2CCE" w:rsidP="00136877">
      <w:pPr>
        <w:pStyle w:val="HeadHatzaotHok"/>
        <w:keepNext w:val="0"/>
        <w:keepLines w:val="0"/>
        <w:rPr>
          <w:rtl/>
        </w:rPr>
      </w:pPr>
      <w:bookmarkStart w:id="10" w:name="_Toc13751991"/>
      <w:bookmarkStart w:id="11" w:name="_Toc13752017"/>
      <w:bookmarkStart w:id="12" w:name="_Toc34553937"/>
      <w:r w:rsidRPr="00672784">
        <w:rPr>
          <w:rtl/>
        </w:rPr>
        <w:t xml:space="preserve">טיוטת תקנות </w:t>
      </w:r>
      <w:r w:rsidR="006A7C65" w:rsidRPr="00672784">
        <w:rPr>
          <w:rFonts w:hint="cs"/>
          <w:sz w:val="28"/>
          <w:szCs w:val="28"/>
          <w:rtl/>
        </w:rPr>
        <w:t xml:space="preserve">המכס (הפחתה של סכומי עיצום כספי), </w:t>
      </w:r>
      <w:proofErr w:type="spellStart"/>
      <w:r w:rsidR="006A7C65" w:rsidRPr="00672784">
        <w:rPr>
          <w:rFonts w:hint="cs"/>
          <w:sz w:val="28"/>
          <w:szCs w:val="28"/>
          <w:rtl/>
        </w:rPr>
        <w:t>התש</w:t>
      </w:r>
      <w:r w:rsidR="00DB7498">
        <w:rPr>
          <w:rFonts w:hint="cs"/>
          <w:sz w:val="28"/>
          <w:szCs w:val="28"/>
          <w:rtl/>
        </w:rPr>
        <w:t>"ף</w:t>
      </w:r>
      <w:proofErr w:type="spellEnd"/>
      <w:r w:rsidR="00DB7498" w:rsidRPr="00672784" w:rsidDel="00DB7498">
        <w:rPr>
          <w:rFonts w:hint="cs"/>
          <w:sz w:val="28"/>
          <w:szCs w:val="28"/>
          <w:rtl/>
        </w:rPr>
        <w:t xml:space="preserve"> </w:t>
      </w:r>
      <w:r w:rsidR="006A7C65" w:rsidRPr="00672784">
        <w:rPr>
          <w:rFonts w:hint="cs"/>
          <w:sz w:val="28"/>
          <w:szCs w:val="28"/>
          <w:rtl/>
        </w:rPr>
        <w:t>-</w:t>
      </w:r>
      <w:r w:rsidR="00C91857" w:rsidRPr="00672784">
        <w:rPr>
          <w:rFonts w:hint="cs"/>
          <w:sz w:val="28"/>
          <w:szCs w:val="28"/>
          <w:rtl/>
        </w:rPr>
        <w:t>20</w:t>
      </w:r>
      <w:bookmarkEnd w:id="10"/>
      <w:bookmarkEnd w:id="11"/>
      <w:r w:rsidR="00136877">
        <w:rPr>
          <w:rFonts w:hint="cs"/>
          <w:sz w:val="28"/>
          <w:szCs w:val="28"/>
          <w:rtl/>
        </w:rPr>
        <w:t>20</w:t>
      </w:r>
      <w:bookmarkEnd w:id="12"/>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DA2CCE" w:rsidRPr="00672784" w:rsidTr="004C5347">
        <w:trPr>
          <w:cantSplit/>
          <w:trHeight w:val="60"/>
        </w:trPr>
        <w:tc>
          <w:tcPr>
            <w:tcW w:w="1871" w:type="dxa"/>
          </w:tcPr>
          <w:p w:rsidR="00DA2CCE" w:rsidRPr="00672784" w:rsidRDefault="00DA2CCE">
            <w:pPr>
              <w:pStyle w:val="TableSideHeading"/>
              <w:rPr>
                <w:rtl/>
              </w:rPr>
            </w:pPr>
          </w:p>
        </w:tc>
        <w:tc>
          <w:tcPr>
            <w:tcW w:w="624" w:type="dxa"/>
          </w:tcPr>
          <w:p w:rsidR="00DA2CCE" w:rsidRPr="00672784" w:rsidRDefault="00DA2CCE">
            <w:pPr>
              <w:pStyle w:val="TableText"/>
            </w:pPr>
          </w:p>
        </w:tc>
        <w:tc>
          <w:tcPr>
            <w:tcW w:w="7146" w:type="dxa"/>
            <w:gridSpan w:val="3"/>
            <w:hideMark/>
          </w:tcPr>
          <w:p w:rsidR="00DA2CCE" w:rsidRPr="00672784" w:rsidRDefault="00DA2CCE" w:rsidP="00F5507E">
            <w:pPr>
              <w:pStyle w:val="TableBlock"/>
            </w:pPr>
            <w:r w:rsidRPr="00672784">
              <w:rPr>
                <w:rtl/>
              </w:rPr>
              <w:t>בתוקף סמכותי לפי סעיף</w:t>
            </w:r>
            <w:r w:rsidR="006A7C65" w:rsidRPr="00672784">
              <w:rPr>
                <w:rFonts w:hint="cs"/>
                <w:rtl/>
              </w:rPr>
              <w:t xml:space="preserve"> </w:t>
            </w:r>
            <w:r w:rsidR="006A7C65" w:rsidRPr="00672784">
              <w:rPr>
                <w:rtl/>
              </w:rPr>
              <w:t>223ז(ב) לפקודת המכס</w:t>
            </w:r>
            <w:r w:rsidR="006A7C65" w:rsidRPr="00672784">
              <w:rPr>
                <w:rStyle w:val="a7"/>
                <w:rtl/>
              </w:rPr>
              <w:footnoteReference w:id="1"/>
            </w:r>
            <w:r w:rsidR="006A7C65" w:rsidRPr="00672784">
              <w:rPr>
                <w:rFonts w:hint="cs"/>
                <w:rtl/>
              </w:rPr>
              <w:t xml:space="preserve"> (להלן- הפקודה)</w:t>
            </w:r>
            <w:r w:rsidRPr="00672784">
              <w:rPr>
                <w:rtl/>
              </w:rPr>
              <w:t xml:space="preserve">, </w:t>
            </w:r>
            <w:r w:rsidR="00C91857" w:rsidRPr="00672784">
              <w:rPr>
                <w:rtl/>
              </w:rPr>
              <w:t>ובה</w:t>
            </w:r>
            <w:r w:rsidR="00C91857">
              <w:rPr>
                <w:rFonts w:hint="cs"/>
                <w:rtl/>
              </w:rPr>
              <w:t>תייעצות</w:t>
            </w:r>
            <w:r w:rsidR="00C91857" w:rsidRPr="00672784">
              <w:rPr>
                <w:rFonts w:hint="cs"/>
                <w:rtl/>
              </w:rPr>
              <w:t xml:space="preserve"> </w:t>
            </w:r>
            <w:r w:rsidR="00A06BCA">
              <w:rPr>
                <w:rFonts w:hint="cs"/>
                <w:rtl/>
              </w:rPr>
              <w:t xml:space="preserve">עם </w:t>
            </w:r>
            <w:r w:rsidR="006A7C65" w:rsidRPr="00672784">
              <w:rPr>
                <w:rFonts w:hint="cs"/>
                <w:rtl/>
              </w:rPr>
              <w:t>שר המשפטים</w:t>
            </w:r>
            <w:r w:rsidRPr="00672784">
              <w:rPr>
                <w:rtl/>
              </w:rPr>
              <w:t>, אני מתקין תקנות אלה:</w:t>
            </w:r>
          </w:p>
        </w:tc>
      </w:tr>
      <w:tr w:rsidR="00DA2CCE" w:rsidRPr="00672784" w:rsidTr="004C5347">
        <w:trPr>
          <w:cantSplit/>
          <w:trHeight w:val="60"/>
        </w:trPr>
        <w:tc>
          <w:tcPr>
            <w:tcW w:w="1871" w:type="dxa"/>
          </w:tcPr>
          <w:p w:rsidR="00DA2CCE" w:rsidRPr="00672784" w:rsidRDefault="00DA2CCE">
            <w:pPr>
              <w:pStyle w:val="TableSideHeading"/>
            </w:pPr>
          </w:p>
        </w:tc>
        <w:tc>
          <w:tcPr>
            <w:tcW w:w="624" w:type="dxa"/>
          </w:tcPr>
          <w:p w:rsidR="00DA2CCE" w:rsidRPr="00672784" w:rsidRDefault="00DA2CCE">
            <w:pPr>
              <w:pStyle w:val="TableText"/>
            </w:pPr>
          </w:p>
        </w:tc>
        <w:tc>
          <w:tcPr>
            <w:tcW w:w="7146" w:type="dxa"/>
            <w:gridSpan w:val="3"/>
          </w:tcPr>
          <w:p w:rsidR="00DA2CCE" w:rsidRPr="00672784" w:rsidRDefault="00DA2CCE">
            <w:pPr>
              <w:pStyle w:val="TableHead"/>
            </w:pPr>
          </w:p>
        </w:tc>
      </w:tr>
      <w:tr w:rsidR="004C5347" w:rsidRPr="00672784">
        <w:trPr>
          <w:cantSplit/>
          <w:trHeight w:val="60"/>
        </w:trPr>
        <w:tc>
          <w:tcPr>
            <w:tcW w:w="1871" w:type="dxa"/>
          </w:tcPr>
          <w:p w:rsidR="004C5347" w:rsidRPr="00672784" w:rsidRDefault="004C5347" w:rsidP="007E751D">
            <w:pPr>
              <w:pStyle w:val="TableSideHeading"/>
              <w:keepLines w:val="0"/>
            </w:pPr>
            <w:bookmarkStart w:id="13" w:name="_Toc13751992"/>
            <w:bookmarkStart w:id="14" w:name="_Toc13752018"/>
            <w:bookmarkStart w:id="15" w:name="_Toc34553938"/>
            <w:r w:rsidRPr="00672784">
              <w:rPr>
                <w:rFonts w:hint="cs"/>
                <w:rtl/>
              </w:rPr>
              <w:t>הפחת</w:t>
            </w:r>
            <w:r w:rsidR="00316F66" w:rsidRPr="00672784">
              <w:rPr>
                <w:rFonts w:hint="cs"/>
                <w:rtl/>
              </w:rPr>
              <w:t>ה</w:t>
            </w:r>
            <w:r w:rsidRPr="00672784">
              <w:rPr>
                <w:rFonts w:hint="cs"/>
                <w:rtl/>
              </w:rPr>
              <w:t xml:space="preserve"> בשל התנהגות המפר</w:t>
            </w:r>
            <w:bookmarkEnd w:id="13"/>
            <w:bookmarkEnd w:id="14"/>
            <w:bookmarkEnd w:id="15"/>
          </w:p>
        </w:tc>
        <w:tc>
          <w:tcPr>
            <w:tcW w:w="624" w:type="dxa"/>
          </w:tcPr>
          <w:p w:rsidR="004C5347" w:rsidRPr="00672784" w:rsidRDefault="004C5347" w:rsidP="004C5347">
            <w:pPr>
              <w:pStyle w:val="TableText"/>
              <w:keepLines w:val="0"/>
              <w:numPr>
                <w:ilvl w:val="0"/>
                <w:numId w:val="4"/>
              </w:numPr>
            </w:pPr>
          </w:p>
        </w:tc>
        <w:tc>
          <w:tcPr>
            <w:tcW w:w="7146" w:type="dxa"/>
            <w:gridSpan w:val="3"/>
          </w:tcPr>
          <w:p w:rsidR="004C5347" w:rsidRPr="00672784" w:rsidRDefault="004C5347" w:rsidP="003C2A16">
            <w:pPr>
              <w:pStyle w:val="TableBlock"/>
              <w:numPr>
                <w:ilvl w:val="2"/>
                <w:numId w:val="4"/>
              </w:numPr>
            </w:pPr>
            <w:r w:rsidRPr="00672784">
              <w:rPr>
                <w:rtl/>
              </w:rPr>
              <w:t xml:space="preserve">המנהל רשאי להפחית למפר את סכום העיצום הכספי, </w:t>
            </w:r>
            <w:r w:rsidR="00316F66" w:rsidRPr="00672784">
              <w:rPr>
                <w:rFonts w:hint="cs"/>
                <w:rtl/>
              </w:rPr>
              <w:t>בהתקיים נסיבה מהנסיבות כמפורט בפסקאות להלן ובשיעור כמפורט לצידה:</w:t>
            </w:r>
          </w:p>
        </w:tc>
      </w:tr>
      <w:tr w:rsidR="004C5347" w:rsidRPr="00672784">
        <w:trPr>
          <w:cantSplit/>
          <w:trHeight w:val="60"/>
        </w:trPr>
        <w:tc>
          <w:tcPr>
            <w:tcW w:w="1871" w:type="dxa"/>
          </w:tcPr>
          <w:p w:rsidR="004C5347" w:rsidRPr="00672784" w:rsidRDefault="004C5347">
            <w:pPr>
              <w:pStyle w:val="TableSideHeading"/>
            </w:pPr>
          </w:p>
        </w:tc>
        <w:tc>
          <w:tcPr>
            <w:tcW w:w="624" w:type="dxa"/>
          </w:tcPr>
          <w:p w:rsidR="004C5347" w:rsidRPr="00672784" w:rsidRDefault="004C5347" w:rsidP="004C5347">
            <w:pPr>
              <w:pStyle w:val="TableText"/>
            </w:pPr>
          </w:p>
        </w:tc>
        <w:tc>
          <w:tcPr>
            <w:tcW w:w="624" w:type="dxa"/>
          </w:tcPr>
          <w:p w:rsidR="004C5347" w:rsidRPr="00672784" w:rsidRDefault="004C5347">
            <w:pPr>
              <w:pStyle w:val="TableText"/>
            </w:pPr>
          </w:p>
        </w:tc>
        <w:tc>
          <w:tcPr>
            <w:tcW w:w="6522" w:type="dxa"/>
            <w:gridSpan w:val="2"/>
          </w:tcPr>
          <w:p w:rsidR="004C5347" w:rsidRPr="00672784" w:rsidRDefault="004C5347" w:rsidP="004C5347">
            <w:pPr>
              <w:pStyle w:val="TableBlock"/>
              <w:numPr>
                <w:ilvl w:val="0"/>
                <w:numId w:val="23"/>
              </w:numPr>
              <w:rPr>
                <w:rtl/>
              </w:rPr>
            </w:pPr>
            <w:r w:rsidRPr="00672784">
              <w:rPr>
                <w:rtl/>
              </w:rPr>
              <w:t>בהפרה לפי סעיף 223ב(ז)(1) לפקודה</w:t>
            </w:r>
            <w:r w:rsidR="00FE659B" w:rsidRPr="00672784">
              <w:rPr>
                <w:rFonts w:hint="cs"/>
                <w:rtl/>
              </w:rPr>
              <w:t xml:space="preserve"> </w:t>
            </w:r>
            <w:r w:rsidRPr="00672784">
              <w:rPr>
                <w:rtl/>
              </w:rPr>
              <w:t>ש</w:t>
            </w:r>
            <w:r w:rsidR="00FE659B" w:rsidRPr="00672784">
              <w:rPr>
                <w:rFonts w:hint="cs"/>
                <w:rtl/>
              </w:rPr>
              <w:t xml:space="preserve">לא </w:t>
            </w:r>
            <w:r w:rsidRPr="00672784">
              <w:rPr>
                <w:rtl/>
              </w:rPr>
              <w:t xml:space="preserve">בוצעה בידי משלח בין- לאומי, </w:t>
            </w:r>
            <w:r w:rsidR="002F097D" w:rsidRPr="00672784">
              <w:rPr>
                <w:rFonts w:hint="cs"/>
                <w:rtl/>
              </w:rPr>
              <w:t xml:space="preserve">שבה </w:t>
            </w:r>
            <w:r w:rsidRPr="00672784">
              <w:rPr>
                <w:rtl/>
              </w:rPr>
              <w:t xml:space="preserve">הוגש מצהר באיחור של עד 6 שעות מהמועד שנקבע בסעיף 53 לפקודה או עד שעתיים לפני מועד הגעת הטובין לישראל, או עד מחצית הזמן שממועד יציאת הטובין לישראל ועד למועד הגעתם של הטובין לישראל, לפי המוקדם </w:t>
            </w:r>
            <w:proofErr w:type="spellStart"/>
            <w:r w:rsidRPr="00672784">
              <w:rPr>
                <w:rtl/>
              </w:rPr>
              <w:t>מביניהם</w:t>
            </w:r>
            <w:proofErr w:type="spellEnd"/>
            <w:r w:rsidRPr="00672784">
              <w:rPr>
                <w:rtl/>
              </w:rPr>
              <w:t>- 75 אחוזים</w:t>
            </w:r>
            <w:r w:rsidRPr="00672784">
              <w:rPr>
                <w:rFonts w:hint="cs"/>
                <w:rtl/>
              </w:rPr>
              <w:t>;</w:t>
            </w:r>
          </w:p>
        </w:tc>
      </w:tr>
      <w:tr w:rsidR="004C5347" w:rsidRPr="00672784">
        <w:trPr>
          <w:cantSplit/>
          <w:trHeight w:val="60"/>
        </w:trPr>
        <w:tc>
          <w:tcPr>
            <w:tcW w:w="1871" w:type="dxa"/>
          </w:tcPr>
          <w:p w:rsidR="004C5347" w:rsidRPr="00672784" w:rsidRDefault="004C5347">
            <w:pPr>
              <w:pStyle w:val="TableSideHeading"/>
            </w:pPr>
          </w:p>
        </w:tc>
        <w:tc>
          <w:tcPr>
            <w:tcW w:w="624" w:type="dxa"/>
          </w:tcPr>
          <w:p w:rsidR="004C5347" w:rsidRPr="00672784" w:rsidRDefault="004C5347" w:rsidP="004C5347">
            <w:pPr>
              <w:pStyle w:val="TableText"/>
            </w:pPr>
          </w:p>
        </w:tc>
        <w:tc>
          <w:tcPr>
            <w:tcW w:w="624" w:type="dxa"/>
          </w:tcPr>
          <w:p w:rsidR="004C5347" w:rsidRPr="00672784" w:rsidRDefault="004C5347">
            <w:pPr>
              <w:pStyle w:val="TableText"/>
            </w:pPr>
          </w:p>
        </w:tc>
        <w:tc>
          <w:tcPr>
            <w:tcW w:w="6522" w:type="dxa"/>
            <w:gridSpan w:val="2"/>
          </w:tcPr>
          <w:p w:rsidR="004C5347" w:rsidRPr="00672784" w:rsidRDefault="004C5347" w:rsidP="00316F66">
            <w:pPr>
              <w:pStyle w:val="TableBlock"/>
              <w:numPr>
                <w:ilvl w:val="0"/>
                <w:numId w:val="23"/>
              </w:numPr>
              <w:rPr>
                <w:rtl/>
              </w:rPr>
            </w:pPr>
            <w:r w:rsidRPr="00672784">
              <w:rPr>
                <w:rtl/>
              </w:rPr>
              <w:t>לא הפר את אותה הוראה שבשלה מוטל העיצום הכספי בשלוש השנים שקדמו להפרה –</w:t>
            </w:r>
            <w:r w:rsidRPr="00672784">
              <w:rPr>
                <w:rFonts w:hint="cs"/>
                <w:rtl/>
              </w:rPr>
              <w:t xml:space="preserve"> </w:t>
            </w:r>
            <w:r w:rsidRPr="00672784">
              <w:rPr>
                <w:rtl/>
              </w:rPr>
              <w:t>10 אחוזים</w:t>
            </w:r>
            <w:r w:rsidR="00316F66" w:rsidRPr="00672784">
              <w:rPr>
                <w:rFonts w:hint="cs"/>
                <w:rtl/>
              </w:rPr>
              <w:t xml:space="preserve">, ואם לא הפר, בארבע השנים שקדמו להפרה, כל הוראה מהוראות דיני המכס </w:t>
            </w:r>
            <w:r w:rsidR="00316F66" w:rsidRPr="00672784">
              <w:rPr>
                <w:rtl/>
              </w:rPr>
              <w:t>–</w:t>
            </w:r>
            <w:r w:rsidR="00316F66" w:rsidRPr="00672784">
              <w:rPr>
                <w:rFonts w:hint="cs"/>
                <w:rtl/>
              </w:rPr>
              <w:t xml:space="preserve"> 20 אחוזים</w:t>
            </w:r>
            <w:r w:rsidRPr="00672784">
              <w:rPr>
                <w:rtl/>
              </w:rPr>
              <w:t>;</w:t>
            </w:r>
            <w:r w:rsidR="00316F66" w:rsidRPr="00672784">
              <w:rPr>
                <w:rFonts w:hint="cs"/>
                <w:rtl/>
              </w:rPr>
              <w:t xml:space="preserve"> לעניין זה, "דין מכס" </w:t>
            </w:r>
            <w:r w:rsidR="00316F66" w:rsidRPr="00672784">
              <w:rPr>
                <w:rtl/>
              </w:rPr>
              <w:t>–</w:t>
            </w:r>
            <w:r w:rsidR="00316F66" w:rsidRPr="00672784">
              <w:rPr>
                <w:rFonts w:hint="cs"/>
                <w:rtl/>
              </w:rPr>
              <w:t xml:space="preserve"> דין המסדיר ייבוא או ייצוא של טובין;</w:t>
            </w:r>
          </w:p>
        </w:tc>
      </w:tr>
      <w:tr w:rsidR="0030080A" w:rsidRPr="00672784">
        <w:trPr>
          <w:cantSplit/>
          <w:trHeight w:val="60"/>
        </w:trPr>
        <w:tc>
          <w:tcPr>
            <w:tcW w:w="1871" w:type="dxa"/>
          </w:tcPr>
          <w:p w:rsidR="0030080A" w:rsidRPr="00672784" w:rsidRDefault="0030080A">
            <w:pPr>
              <w:pStyle w:val="TableSideHeading"/>
            </w:pPr>
          </w:p>
        </w:tc>
        <w:tc>
          <w:tcPr>
            <w:tcW w:w="624" w:type="dxa"/>
          </w:tcPr>
          <w:p w:rsidR="0030080A" w:rsidRPr="00672784" w:rsidRDefault="0030080A" w:rsidP="0030080A">
            <w:pPr>
              <w:pStyle w:val="TableText"/>
            </w:pPr>
          </w:p>
        </w:tc>
        <w:tc>
          <w:tcPr>
            <w:tcW w:w="624" w:type="dxa"/>
          </w:tcPr>
          <w:p w:rsidR="0030080A" w:rsidRPr="00672784" w:rsidRDefault="0030080A">
            <w:pPr>
              <w:pStyle w:val="TableText"/>
            </w:pPr>
          </w:p>
        </w:tc>
        <w:tc>
          <w:tcPr>
            <w:tcW w:w="6522" w:type="dxa"/>
            <w:gridSpan w:val="2"/>
          </w:tcPr>
          <w:p w:rsidR="0030080A" w:rsidRPr="00672784" w:rsidRDefault="004A2ACC" w:rsidP="00AE6FC8">
            <w:pPr>
              <w:pStyle w:val="TableBlock"/>
              <w:numPr>
                <w:ilvl w:val="0"/>
                <w:numId w:val="23"/>
              </w:numPr>
              <w:rPr>
                <w:rtl/>
              </w:rPr>
            </w:pPr>
            <w:r>
              <w:rPr>
                <w:rFonts w:hint="cs"/>
                <w:rtl/>
              </w:rPr>
              <w:t xml:space="preserve">בהפרה לפי סעיף 223ב(ב)(1) ו223ב(ג)(1)- המפר </w:t>
            </w:r>
            <w:r w:rsidR="0030080A">
              <w:rPr>
                <w:rFonts w:hint="cs"/>
                <w:rtl/>
              </w:rPr>
              <w:t>לא הפר בעבר את אותה הוראה שבשלה מוטל העיצום הכספי, ובגין ההפרה לא נוצר הפרש מסי יבוא העולה על 2,500 שקלים חדשים- 50 אחוזים;</w:t>
            </w:r>
            <w:r w:rsidR="00AE6FC8">
              <w:rPr>
                <w:rFonts w:hint="cs"/>
                <w:rtl/>
              </w:rPr>
              <w:t xml:space="preserve"> במקרים בהם מתקיימות הנסיבות האמורות בפסקה זו, ל</w:t>
            </w:r>
            <w:r w:rsidR="00FA3170">
              <w:rPr>
                <w:rFonts w:hint="cs"/>
                <w:rtl/>
              </w:rPr>
              <w:t>א תחול  ההפחתה הקבועה בפסקה (2);</w:t>
            </w:r>
          </w:p>
        </w:tc>
      </w:tr>
      <w:tr w:rsidR="004C5347" w:rsidRPr="00672784">
        <w:trPr>
          <w:cantSplit/>
          <w:trHeight w:val="60"/>
        </w:trPr>
        <w:tc>
          <w:tcPr>
            <w:tcW w:w="1871" w:type="dxa"/>
          </w:tcPr>
          <w:p w:rsidR="004C5347" w:rsidRPr="00672784" w:rsidRDefault="004C5347">
            <w:pPr>
              <w:pStyle w:val="TableSideHeading"/>
            </w:pPr>
          </w:p>
        </w:tc>
        <w:tc>
          <w:tcPr>
            <w:tcW w:w="624" w:type="dxa"/>
          </w:tcPr>
          <w:p w:rsidR="004C5347" w:rsidRPr="00672784" w:rsidRDefault="004C5347" w:rsidP="004C5347">
            <w:pPr>
              <w:pStyle w:val="TableText"/>
            </w:pPr>
          </w:p>
        </w:tc>
        <w:tc>
          <w:tcPr>
            <w:tcW w:w="624" w:type="dxa"/>
          </w:tcPr>
          <w:p w:rsidR="004C5347" w:rsidRPr="00672784" w:rsidRDefault="004C5347">
            <w:pPr>
              <w:pStyle w:val="TableText"/>
            </w:pPr>
          </w:p>
        </w:tc>
        <w:tc>
          <w:tcPr>
            <w:tcW w:w="6522" w:type="dxa"/>
            <w:gridSpan w:val="2"/>
          </w:tcPr>
          <w:p w:rsidR="004C5347" w:rsidRPr="00672784" w:rsidRDefault="004C5347" w:rsidP="004C5347">
            <w:pPr>
              <w:pStyle w:val="TableBlock"/>
              <w:numPr>
                <w:ilvl w:val="0"/>
                <w:numId w:val="23"/>
              </w:numPr>
              <w:rPr>
                <w:rtl/>
              </w:rPr>
            </w:pPr>
            <w:r w:rsidRPr="00672784">
              <w:rPr>
                <w:rtl/>
              </w:rPr>
              <w:t>המפר נקט פעולות למניעת הישנות ההפרה ולהקטנת הנזק, להנחת דעתו של המנהל – 40 אחוזים</w:t>
            </w:r>
            <w:r w:rsidRPr="00672784">
              <w:rPr>
                <w:rFonts w:hint="cs"/>
                <w:rtl/>
              </w:rPr>
              <w:t>.</w:t>
            </w:r>
          </w:p>
        </w:tc>
      </w:tr>
      <w:tr w:rsidR="004C5347" w:rsidRPr="00672784">
        <w:trPr>
          <w:cantSplit/>
          <w:trHeight w:val="60"/>
        </w:trPr>
        <w:tc>
          <w:tcPr>
            <w:tcW w:w="1871" w:type="dxa"/>
          </w:tcPr>
          <w:p w:rsidR="004C5347" w:rsidRPr="00672784" w:rsidRDefault="004C5347" w:rsidP="007E751D">
            <w:pPr>
              <w:pStyle w:val="TableSideHeading"/>
              <w:keepLines w:val="0"/>
            </w:pPr>
          </w:p>
        </w:tc>
        <w:tc>
          <w:tcPr>
            <w:tcW w:w="624" w:type="dxa"/>
          </w:tcPr>
          <w:p w:rsidR="004C5347" w:rsidRPr="00672784" w:rsidRDefault="004C5347" w:rsidP="004C5347">
            <w:pPr>
              <w:pStyle w:val="TableText"/>
              <w:keepLines w:val="0"/>
            </w:pPr>
          </w:p>
        </w:tc>
        <w:tc>
          <w:tcPr>
            <w:tcW w:w="7146" w:type="dxa"/>
            <w:gridSpan w:val="3"/>
          </w:tcPr>
          <w:p w:rsidR="004C5347" w:rsidRPr="00672784" w:rsidRDefault="009522DC" w:rsidP="00AE6FC8">
            <w:pPr>
              <w:pStyle w:val="TableBlock"/>
              <w:keepLines w:val="0"/>
              <w:numPr>
                <w:ilvl w:val="2"/>
                <w:numId w:val="4"/>
              </w:numPr>
            </w:pPr>
            <w:r w:rsidRPr="00672784">
              <w:rPr>
                <w:rtl/>
              </w:rPr>
              <w:t>בהפרה לפי סעיף 223ב(ז)(1) לפקודה שבוצעה בידי משלח בין- לאומי</w:t>
            </w:r>
            <w:r w:rsidRPr="00672784">
              <w:rPr>
                <w:rFonts w:hint="cs"/>
                <w:rtl/>
              </w:rPr>
              <w:t xml:space="preserve">, רשאי המנהל להפחית למפר את </w:t>
            </w:r>
            <w:r w:rsidRPr="00672784">
              <w:rPr>
                <w:rtl/>
              </w:rPr>
              <w:t>סכום העיצום הכספי ל</w:t>
            </w:r>
            <w:r w:rsidR="00FA3170">
              <w:rPr>
                <w:rtl/>
              </w:rPr>
              <w:t>- 1000 שקלים חדשים בגין כל מצהר</w:t>
            </w:r>
            <w:r w:rsidR="00FA3170">
              <w:rPr>
                <w:rFonts w:hint="cs"/>
                <w:rtl/>
              </w:rPr>
              <w:t>.</w:t>
            </w:r>
            <w:r w:rsidRPr="00672784">
              <w:rPr>
                <w:rtl/>
              </w:rPr>
              <w:t xml:space="preserve"> </w:t>
            </w:r>
          </w:p>
        </w:tc>
      </w:tr>
      <w:tr w:rsidR="003E2862" w:rsidRPr="00672784">
        <w:trPr>
          <w:cantSplit/>
          <w:trHeight w:val="60"/>
        </w:trPr>
        <w:tc>
          <w:tcPr>
            <w:tcW w:w="1871" w:type="dxa"/>
          </w:tcPr>
          <w:p w:rsidR="003E2862" w:rsidRPr="00672784" w:rsidRDefault="003E2862" w:rsidP="007E751D">
            <w:pPr>
              <w:pStyle w:val="TableSideHeading"/>
              <w:keepLines w:val="0"/>
            </w:pPr>
            <w:bookmarkStart w:id="16" w:name="_Toc13751993"/>
            <w:bookmarkStart w:id="17" w:name="_Toc13752019"/>
            <w:bookmarkStart w:id="18" w:name="_Toc34553939"/>
            <w:r w:rsidRPr="00672784">
              <w:rPr>
                <w:rtl/>
              </w:rPr>
              <w:t>הפחתה בשל נסיבות אישיות</w:t>
            </w:r>
            <w:bookmarkEnd w:id="16"/>
            <w:bookmarkEnd w:id="17"/>
            <w:bookmarkEnd w:id="18"/>
          </w:p>
        </w:tc>
        <w:tc>
          <w:tcPr>
            <w:tcW w:w="624" w:type="dxa"/>
          </w:tcPr>
          <w:p w:rsidR="003E2862" w:rsidRPr="00672784" w:rsidRDefault="003E2862" w:rsidP="003E2862">
            <w:pPr>
              <w:pStyle w:val="TableText"/>
              <w:keepLines w:val="0"/>
              <w:numPr>
                <w:ilvl w:val="0"/>
                <w:numId w:val="4"/>
              </w:numPr>
            </w:pPr>
          </w:p>
        </w:tc>
        <w:tc>
          <w:tcPr>
            <w:tcW w:w="7146" w:type="dxa"/>
            <w:gridSpan w:val="3"/>
          </w:tcPr>
          <w:p w:rsidR="003E2862" w:rsidRPr="00672784" w:rsidRDefault="003E2862" w:rsidP="00EC5D25">
            <w:pPr>
              <w:pStyle w:val="TableBlock"/>
              <w:keepLines w:val="0"/>
            </w:pPr>
            <w:r w:rsidRPr="00672784">
              <w:rPr>
                <w:rFonts w:hint="cs"/>
                <w:rtl/>
              </w:rPr>
              <w:t xml:space="preserve">ראה </w:t>
            </w:r>
            <w:r w:rsidRPr="00672784">
              <w:rPr>
                <w:rtl/>
              </w:rPr>
              <w:t>המנהל, לגבי מפר שהוא יחיד, שההפרה נגרמה בשל נסיבות אישיות המצדיקות הפחתה של העיצום הכספי או ש</w:t>
            </w:r>
            <w:r w:rsidR="0044408F" w:rsidRPr="00672784">
              <w:rPr>
                <w:rFonts w:hint="cs"/>
                <w:rtl/>
              </w:rPr>
              <w:t>ה</w:t>
            </w:r>
            <w:r w:rsidRPr="00672784">
              <w:rPr>
                <w:rtl/>
              </w:rPr>
              <w:t>תקיימו בו נסיבות אישיות קשות המצדיקות שלא למצות את הדין עם המפר</w:t>
            </w:r>
            <w:r w:rsidRPr="00672784">
              <w:rPr>
                <w:rFonts w:hint="cs"/>
                <w:rtl/>
              </w:rPr>
              <w:t>, רשאי</w:t>
            </w:r>
            <w:r w:rsidRPr="00672784">
              <w:rPr>
                <w:rtl/>
              </w:rPr>
              <w:t xml:space="preserve"> </w:t>
            </w:r>
            <w:r w:rsidRPr="00672784">
              <w:rPr>
                <w:rFonts w:hint="cs"/>
                <w:rtl/>
              </w:rPr>
              <w:t>הוא</w:t>
            </w:r>
            <w:r w:rsidRPr="00672784">
              <w:rPr>
                <w:rtl/>
              </w:rPr>
              <w:t xml:space="preserve"> </w:t>
            </w:r>
            <w:r w:rsidRPr="00672784">
              <w:rPr>
                <w:rFonts w:hint="cs"/>
                <w:rtl/>
              </w:rPr>
              <w:t>להפחית</w:t>
            </w:r>
            <w:r w:rsidRPr="00672784">
              <w:rPr>
                <w:rtl/>
              </w:rPr>
              <w:t xml:space="preserve"> </w:t>
            </w:r>
            <w:r w:rsidRPr="00672784">
              <w:rPr>
                <w:rFonts w:hint="cs"/>
                <w:rtl/>
              </w:rPr>
              <w:t>למפר</w:t>
            </w:r>
            <w:r w:rsidRPr="00672784">
              <w:rPr>
                <w:rtl/>
              </w:rPr>
              <w:t xml:space="preserve"> </w:t>
            </w:r>
            <w:r w:rsidRPr="00672784">
              <w:rPr>
                <w:rFonts w:hint="cs"/>
                <w:rtl/>
              </w:rPr>
              <w:t>את</w:t>
            </w:r>
            <w:r w:rsidRPr="00672784">
              <w:rPr>
                <w:rtl/>
              </w:rPr>
              <w:t xml:space="preserve"> </w:t>
            </w:r>
            <w:r w:rsidRPr="00672784">
              <w:rPr>
                <w:rFonts w:hint="cs"/>
                <w:rtl/>
              </w:rPr>
              <w:t>סכום</w:t>
            </w:r>
            <w:r w:rsidRPr="00672784">
              <w:rPr>
                <w:rtl/>
              </w:rPr>
              <w:t xml:space="preserve"> </w:t>
            </w:r>
            <w:r w:rsidRPr="00672784">
              <w:rPr>
                <w:rFonts w:hint="cs"/>
                <w:rtl/>
              </w:rPr>
              <w:t>העיצום</w:t>
            </w:r>
            <w:r w:rsidRPr="00672784">
              <w:rPr>
                <w:rtl/>
              </w:rPr>
              <w:t xml:space="preserve"> </w:t>
            </w:r>
            <w:r w:rsidRPr="00672784">
              <w:rPr>
                <w:rFonts w:hint="cs"/>
                <w:rtl/>
              </w:rPr>
              <w:t>הכספי</w:t>
            </w:r>
            <w:r w:rsidRPr="00672784">
              <w:rPr>
                <w:rtl/>
              </w:rPr>
              <w:t xml:space="preserve"> </w:t>
            </w:r>
            <w:r w:rsidRPr="00672784">
              <w:rPr>
                <w:rFonts w:hint="cs"/>
                <w:rtl/>
              </w:rPr>
              <w:t>בשיעור</w:t>
            </w:r>
            <w:r w:rsidRPr="00672784">
              <w:rPr>
                <w:rtl/>
              </w:rPr>
              <w:t xml:space="preserve"> </w:t>
            </w:r>
            <w:r w:rsidRPr="00672784">
              <w:rPr>
                <w:rFonts w:hint="cs"/>
                <w:rtl/>
              </w:rPr>
              <w:t>של</w:t>
            </w:r>
            <w:r w:rsidRPr="00672784">
              <w:rPr>
                <w:rtl/>
              </w:rPr>
              <w:t xml:space="preserve"> 50 </w:t>
            </w:r>
            <w:r w:rsidRPr="00672784">
              <w:rPr>
                <w:rFonts w:hint="cs"/>
                <w:rtl/>
              </w:rPr>
              <w:t>אחוזים.</w:t>
            </w:r>
          </w:p>
        </w:tc>
      </w:tr>
      <w:tr w:rsidR="003E2862" w:rsidRPr="00672784">
        <w:trPr>
          <w:cantSplit/>
          <w:trHeight w:val="60"/>
        </w:trPr>
        <w:tc>
          <w:tcPr>
            <w:tcW w:w="1871" w:type="dxa"/>
          </w:tcPr>
          <w:p w:rsidR="003E2862" w:rsidRPr="00672784" w:rsidRDefault="003E2862" w:rsidP="007E751D">
            <w:pPr>
              <w:pStyle w:val="TableSideHeading"/>
              <w:keepLines w:val="0"/>
            </w:pPr>
            <w:bookmarkStart w:id="19" w:name="_Toc13751994"/>
            <w:bookmarkStart w:id="20" w:name="_Toc13752020"/>
            <w:bookmarkStart w:id="21" w:name="_Toc34553940"/>
            <w:r w:rsidRPr="00672784">
              <w:rPr>
                <w:rFonts w:hint="cs"/>
                <w:rtl/>
              </w:rPr>
              <w:lastRenderedPageBreak/>
              <w:t>הפחתה בשל כמה נסיבות</w:t>
            </w:r>
            <w:bookmarkEnd w:id="19"/>
            <w:bookmarkEnd w:id="20"/>
            <w:bookmarkEnd w:id="21"/>
          </w:p>
        </w:tc>
        <w:tc>
          <w:tcPr>
            <w:tcW w:w="624" w:type="dxa"/>
          </w:tcPr>
          <w:p w:rsidR="003E2862" w:rsidRPr="00672784" w:rsidRDefault="003E2862" w:rsidP="003E2862">
            <w:pPr>
              <w:pStyle w:val="TableText"/>
              <w:keepLines w:val="0"/>
              <w:numPr>
                <w:ilvl w:val="0"/>
                <w:numId w:val="4"/>
              </w:numPr>
            </w:pPr>
          </w:p>
        </w:tc>
        <w:tc>
          <w:tcPr>
            <w:tcW w:w="7146" w:type="dxa"/>
            <w:gridSpan w:val="3"/>
          </w:tcPr>
          <w:p w:rsidR="003E2862" w:rsidRPr="00672784" w:rsidRDefault="003E2862" w:rsidP="0044408F">
            <w:pPr>
              <w:pStyle w:val="TableBlock"/>
              <w:keepLines w:val="0"/>
            </w:pPr>
            <w:r w:rsidRPr="00672784">
              <w:rPr>
                <w:rFonts w:hint="cs"/>
                <w:rtl/>
              </w:rPr>
              <w:t xml:space="preserve">התקיימו </w:t>
            </w:r>
            <w:r w:rsidRPr="00672784">
              <w:rPr>
                <w:rtl/>
              </w:rPr>
              <w:t>לגבי מפר כמה נסיבות כאמור בתקנ</w:t>
            </w:r>
            <w:r w:rsidRPr="00672784">
              <w:rPr>
                <w:rFonts w:hint="cs"/>
                <w:rtl/>
              </w:rPr>
              <w:t>ות</w:t>
            </w:r>
            <w:r w:rsidRPr="00672784">
              <w:rPr>
                <w:rtl/>
              </w:rPr>
              <w:t xml:space="preserve"> </w:t>
            </w:r>
            <w:r w:rsidR="0044408F" w:rsidRPr="00672784">
              <w:rPr>
                <w:rFonts w:hint="cs"/>
                <w:rtl/>
              </w:rPr>
              <w:t xml:space="preserve">1 </w:t>
            </w:r>
            <w:r w:rsidRPr="00672784">
              <w:rPr>
                <w:rFonts w:hint="cs"/>
                <w:rtl/>
              </w:rPr>
              <w:t>ו-</w:t>
            </w:r>
            <w:r w:rsidR="0044408F" w:rsidRPr="00672784">
              <w:rPr>
                <w:rFonts w:hint="cs"/>
                <w:rtl/>
              </w:rPr>
              <w:t>2</w:t>
            </w:r>
            <w:r w:rsidRPr="00672784">
              <w:rPr>
                <w:rtl/>
              </w:rPr>
              <w:t>, רשאי המנהל להפחית למפר מסכום העיצום הכספי את השיעורים המנויים לצד אותן נסיבות במצטבר, ובלבד ששיעור ההפחתה</w:t>
            </w:r>
            <w:r w:rsidRPr="00672784">
              <w:rPr>
                <w:rFonts w:hint="cs"/>
                <w:rtl/>
              </w:rPr>
              <w:t xml:space="preserve"> המצטבר</w:t>
            </w:r>
            <w:r w:rsidRPr="00672784">
              <w:rPr>
                <w:rtl/>
              </w:rPr>
              <w:t xml:space="preserve"> לא יעלה על 75</w:t>
            </w:r>
            <w:r w:rsidRPr="00672784">
              <w:rPr>
                <w:rFonts w:hint="cs"/>
                <w:rtl/>
              </w:rPr>
              <w:t xml:space="preserve"> אחוזים </w:t>
            </w:r>
            <w:r w:rsidRPr="00672784">
              <w:rPr>
                <w:rtl/>
              </w:rPr>
              <w:t>מסכום העיצום הכספי.</w:t>
            </w:r>
          </w:p>
        </w:tc>
      </w:tr>
      <w:tr w:rsidR="0030080A">
        <w:trPr>
          <w:cantSplit/>
          <w:trHeight w:val="60"/>
        </w:trPr>
        <w:tc>
          <w:tcPr>
            <w:tcW w:w="1871" w:type="dxa"/>
          </w:tcPr>
          <w:p w:rsidR="0030080A" w:rsidRDefault="0030080A" w:rsidP="007E751D">
            <w:pPr>
              <w:pStyle w:val="TableSideHeading"/>
              <w:keepLines w:val="0"/>
            </w:pPr>
            <w:bookmarkStart w:id="22" w:name="_Toc13751995"/>
            <w:bookmarkStart w:id="23" w:name="_Toc13752021"/>
            <w:bookmarkStart w:id="24" w:name="_Toc34553941"/>
            <w:r>
              <w:rPr>
                <w:rFonts w:hint="cs"/>
                <w:rtl/>
              </w:rPr>
              <w:t>הפחתה בשל בדיקת הצהרות יבוא לאחר התרתן</w:t>
            </w:r>
            <w:bookmarkEnd w:id="22"/>
            <w:bookmarkEnd w:id="23"/>
            <w:bookmarkEnd w:id="24"/>
          </w:p>
        </w:tc>
        <w:tc>
          <w:tcPr>
            <w:tcW w:w="624" w:type="dxa"/>
          </w:tcPr>
          <w:p w:rsidR="0030080A" w:rsidRDefault="0030080A" w:rsidP="0030080A">
            <w:pPr>
              <w:pStyle w:val="TableText"/>
              <w:keepLines w:val="0"/>
              <w:numPr>
                <w:ilvl w:val="0"/>
                <w:numId w:val="4"/>
              </w:numPr>
            </w:pPr>
          </w:p>
        </w:tc>
        <w:tc>
          <w:tcPr>
            <w:tcW w:w="7146" w:type="dxa"/>
            <w:gridSpan w:val="3"/>
          </w:tcPr>
          <w:p w:rsidR="0030080A" w:rsidRPr="00C34DE2" w:rsidRDefault="00B35EDB" w:rsidP="00B35EDB">
            <w:pPr>
              <w:pStyle w:val="TableBlock"/>
              <w:keepLines w:val="0"/>
            </w:pPr>
            <w:r>
              <w:rPr>
                <w:rFonts w:hint="cs"/>
                <w:rtl/>
              </w:rPr>
              <w:t xml:space="preserve">נוסף על האמור בתקנה 3, </w:t>
            </w:r>
            <w:r w:rsidR="0030080A">
              <w:rPr>
                <w:rFonts w:hint="cs"/>
                <w:rtl/>
              </w:rPr>
              <w:t>בהפרה לפי סעיף 223ב(ג), מצא המנהל כי בוצעה הפרה זהה במספר הצהרות יבוא שהוגשו על ידי אותו מפר ונבדקו לאחר התרתן, ועלה סכום העיצום</w:t>
            </w:r>
            <w:r>
              <w:rPr>
                <w:rFonts w:hint="cs"/>
                <w:rtl/>
              </w:rPr>
              <w:t xml:space="preserve"> הכספי</w:t>
            </w:r>
            <w:r w:rsidR="0030080A">
              <w:rPr>
                <w:rFonts w:hint="cs"/>
                <w:rtl/>
              </w:rPr>
              <w:t xml:space="preserve"> על 15,000 שקלים חדשים,  רשאי </w:t>
            </w:r>
            <w:r>
              <w:rPr>
                <w:rFonts w:hint="cs"/>
                <w:rtl/>
              </w:rPr>
              <w:t xml:space="preserve">המנהל </w:t>
            </w:r>
            <w:r w:rsidR="0030080A">
              <w:rPr>
                <w:rFonts w:hint="cs"/>
                <w:rtl/>
              </w:rPr>
              <w:t>להפחית את הסכום לסכום של 15,000 שקלים חדשים.</w:t>
            </w:r>
          </w:p>
        </w:tc>
      </w:tr>
      <w:tr w:rsidR="0044408F" w:rsidRPr="00672784">
        <w:trPr>
          <w:cantSplit/>
          <w:trHeight w:val="60"/>
        </w:trPr>
        <w:tc>
          <w:tcPr>
            <w:tcW w:w="1871" w:type="dxa"/>
          </w:tcPr>
          <w:p w:rsidR="0044408F" w:rsidRPr="00672784" w:rsidRDefault="0044408F" w:rsidP="007E751D">
            <w:pPr>
              <w:pStyle w:val="TableSideHeading"/>
              <w:keepLines w:val="0"/>
              <w:rPr>
                <w:rtl/>
              </w:rPr>
            </w:pPr>
            <w:bookmarkStart w:id="25" w:name="_Toc13751996"/>
            <w:bookmarkStart w:id="26" w:name="_Toc13752022"/>
            <w:bookmarkStart w:id="27" w:name="_Toc34553942"/>
            <w:r w:rsidRPr="00672784">
              <w:rPr>
                <w:rFonts w:hint="cs"/>
                <w:rtl/>
              </w:rPr>
              <w:t>הפחתה בשל התחשבות במחזור עסקאות</w:t>
            </w:r>
            <w:bookmarkEnd w:id="25"/>
            <w:bookmarkEnd w:id="26"/>
            <w:bookmarkEnd w:id="27"/>
          </w:p>
        </w:tc>
        <w:tc>
          <w:tcPr>
            <w:tcW w:w="624" w:type="dxa"/>
          </w:tcPr>
          <w:p w:rsidR="0044408F" w:rsidRPr="00672784" w:rsidRDefault="0044408F" w:rsidP="003E2862">
            <w:pPr>
              <w:pStyle w:val="TableText"/>
              <w:keepLines w:val="0"/>
              <w:numPr>
                <w:ilvl w:val="0"/>
                <w:numId w:val="4"/>
              </w:numPr>
            </w:pPr>
          </w:p>
        </w:tc>
        <w:tc>
          <w:tcPr>
            <w:tcW w:w="7146" w:type="dxa"/>
            <w:gridSpan w:val="3"/>
          </w:tcPr>
          <w:p w:rsidR="0044408F" w:rsidRPr="00672784" w:rsidRDefault="0044408F" w:rsidP="0030080A">
            <w:pPr>
              <w:pStyle w:val="TableBlock"/>
              <w:numPr>
                <w:ilvl w:val="0"/>
                <w:numId w:val="26"/>
              </w:numPr>
              <w:tabs>
                <w:tab w:val="left" w:pos="624"/>
              </w:tabs>
              <w:rPr>
                <w:rtl/>
              </w:rPr>
            </w:pPr>
            <w:r w:rsidRPr="00672784">
              <w:rPr>
                <w:rFonts w:hint="cs"/>
                <w:rtl/>
              </w:rPr>
              <w:t>בסעיף זה -</w:t>
            </w:r>
          </w:p>
        </w:tc>
      </w:tr>
      <w:tr w:rsidR="0044408F" w:rsidRPr="00672784">
        <w:trPr>
          <w:cantSplit/>
          <w:trHeight w:val="60"/>
        </w:trPr>
        <w:tc>
          <w:tcPr>
            <w:tcW w:w="1871" w:type="dxa"/>
          </w:tcPr>
          <w:p w:rsidR="0044408F" w:rsidRPr="00672784" w:rsidRDefault="0044408F">
            <w:pPr>
              <w:pStyle w:val="TableSideHeading"/>
            </w:pPr>
          </w:p>
        </w:tc>
        <w:tc>
          <w:tcPr>
            <w:tcW w:w="624" w:type="dxa"/>
          </w:tcPr>
          <w:p w:rsidR="0044408F" w:rsidRPr="00672784" w:rsidRDefault="0044408F">
            <w:pPr>
              <w:pStyle w:val="TableText"/>
            </w:pPr>
          </w:p>
        </w:tc>
        <w:tc>
          <w:tcPr>
            <w:tcW w:w="624" w:type="dxa"/>
          </w:tcPr>
          <w:p w:rsidR="0044408F" w:rsidRPr="00672784" w:rsidRDefault="0044408F">
            <w:pPr>
              <w:pStyle w:val="TableText"/>
            </w:pPr>
          </w:p>
        </w:tc>
        <w:tc>
          <w:tcPr>
            <w:tcW w:w="6522" w:type="dxa"/>
            <w:gridSpan w:val="2"/>
          </w:tcPr>
          <w:p w:rsidR="0044408F" w:rsidRPr="00672784" w:rsidRDefault="0044408F">
            <w:pPr>
              <w:pStyle w:val="TableBlock"/>
            </w:pPr>
            <w:r w:rsidRPr="00672784">
              <w:rPr>
                <w:rFonts w:hint="cs"/>
                <w:rtl/>
              </w:rPr>
              <w:t xml:space="preserve">"אישור לעניין גובה מחזור העסקאות" </w:t>
            </w:r>
            <w:r w:rsidRPr="00672784">
              <w:rPr>
                <w:rtl/>
              </w:rPr>
              <w:t>–</w:t>
            </w:r>
            <w:r w:rsidRPr="00672784">
              <w:rPr>
                <w:rFonts w:hint="cs"/>
                <w:rtl/>
              </w:rPr>
              <w:t xml:space="preserve"> כמפורט להלן, לפי העניין:</w:t>
            </w:r>
          </w:p>
        </w:tc>
      </w:tr>
      <w:tr w:rsidR="0044408F" w:rsidRPr="00672784">
        <w:trPr>
          <w:cantSplit/>
          <w:trHeight w:val="60"/>
        </w:trPr>
        <w:tc>
          <w:tcPr>
            <w:tcW w:w="1871" w:type="dxa"/>
          </w:tcPr>
          <w:p w:rsidR="0044408F" w:rsidRPr="00672784" w:rsidRDefault="0044408F">
            <w:pPr>
              <w:pStyle w:val="TableSideHeading"/>
            </w:pPr>
          </w:p>
        </w:tc>
        <w:tc>
          <w:tcPr>
            <w:tcW w:w="624" w:type="dxa"/>
          </w:tcPr>
          <w:p w:rsidR="0044408F" w:rsidRPr="00672784" w:rsidRDefault="0044408F">
            <w:pPr>
              <w:pStyle w:val="TableText"/>
            </w:pPr>
          </w:p>
        </w:tc>
        <w:tc>
          <w:tcPr>
            <w:tcW w:w="624" w:type="dxa"/>
          </w:tcPr>
          <w:p w:rsidR="0044408F" w:rsidRPr="00672784" w:rsidRDefault="0044408F">
            <w:pPr>
              <w:pStyle w:val="TableText"/>
            </w:pPr>
          </w:p>
        </w:tc>
        <w:tc>
          <w:tcPr>
            <w:tcW w:w="624" w:type="dxa"/>
          </w:tcPr>
          <w:p w:rsidR="0044408F" w:rsidRPr="00672784" w:rsidRDefault="0044408F">
            <w:pPr>
              <w:pStyle w:val="TableText"/>
            </w:pPr>
          </w:p>
        </w:tc>
        <w:tc>
          <w:tcPr>
            <w:tcW w:w="5898" w:type="dxa"/>
          </w:tcPr>
          <w:p w:rsidR="0044408F" w:rsidRPr="00672784" w:rsidRDefault="0044408F" w:rsidP="00DA2CDB">
            <w:pPr>
              <w:pStyle w:val="TableBlock"/>
            </w:pPr>
            <w:r w:rsidRPr="00672784">
              <w:rPr>
                <w:rtl/>
              </w:rPr>
              <w:t>(1)</w:t>
            </w:r>
            <w:r w:rsidRPr="00672784">
              <w:rPr>
                <w:rtl/>
              </w:rPr>
              <w:tab/>
            </w:r>
            <w:r w:rsidRPr="00672784">
              <w:rPr>
                <w:rFonts w:hint="cs"/>
                <w:rtl/>
              </w:rPr>
              <w:t>לעניין מפר החייב לפי דין במינוי רואה חשבון מבקר כהגדרתו בחוק החברות, התשנ"ט-1999</w:t>
            </w:r>
            <w:r w:rsidRPr="00672784">
              <w:rPr>
                <w:rStyle w:val="a7"/>
                <w:rtl/>
              </w:rPr>
              <w:footnoteReference w:id="2"/>
            </w:r>
            <w:r w:rsidR="00DA2CDB" w:rsidRPr="00672784">
              <w:rPr>
                <w:rFonts w:hint="cs"/>
                <w:rtl/>
              </w:rPr>
              <w:t xml:space="preserve"> </w:t>
            </w:r>
            <w:r w:rsidR="00DA2CDB" w:rsidRPr="00672784">
              <w:rPr>
                <w:rFonts w:hint="eastAsia"/>
                <w:rtl/>
              </w:rPr>
              <w:t>–</w:t>
            </w:r>
            <w:r w:rsidR="005D6501" w:rsidRPr="00672784">
              <w:rPr>
                <w:rFonts w:hint="cs"/>
                <w:rtl/>
              </w:rPr>
              <w:t xml:space="preserve"> אישור </w:t>
            </w:r>
            <w:r w:rsidR="005D6501" w:rsidRPr="00672784">
              <w:rPr>
                <w:rtl/>
              </w:rPr>
              <w:t>שנתן רואה החשבון המבקר</w:t>
            </w:r>
            <w:r w:rsidR="00637261" w:rsidRPr="00672784">
              <w:rPr>
                <w:rFonts w:hint="cs"/>
                <w:rtl/>
              </w:rPr>
              <w:t>;</w:t>
            </w:r>
          </w:p>
        </w:tc>
      </w:tr>
      <w:tr w:rsidR="00637261" w:rsidRPr="00672784">
        <w:trPr>
          <w:cantSplit/>
          <w:trHeight w:val="60"/>
        </w:trPr>
        <w:tc>
          <w:tcPr>
            <w:tcW w:w="1871" w:type="dxa"/>
          </w:tcPr>
          <w:p w:rsidR="00637261" w:rsidRPr="00672784" w:rsidRDefault="00637261">
            <w:pPr>
              <w:pStyle w:val="TableSideHeading"/>
            </w:pPr>
          </w:p>
        </w:tc>
        <w:tc>
          <w:tcPr>
            <w:tcW w:w="624" w:type="dxa"/>
          </w:tcPr>
          <w:p w:rsidR="00637261" w:rsidRPr="00672784" w:rsidRDefault="00637261" w:rsidP="00637261">
            <w:pPr>
              <w:pStyle w:val="TableText"/>
            </w:pPr>
          </w:p>
        </w:tc>
        <w:tc>
          <w:tcPr>
            <w:tcW w:w="624" w:type="dxa"/>
          </w:tcPr>
          <w:p w:rsidR="00637261" w:rsidRPr="00672784" w:rsidRDefault="00637261">
            <w:pPr>
              <w:pStyle w:val="TableText"/>
            </w:pPr>
          </w:p>
        </w:tc>
        <w:tc>
          <w:tcPr>
            <w:tcW w:w="624" w:type="dxa"/>
          </w:tcPr>
          <w:p w:rsidR="00637261" w:rsidRPr="00672784" w:rsidRDefault="00637261">
            <w:pPr>
              <w:pStyle w:val="TableText"/>
            </w:pPr>
          </w:p>
        </w:tc>
        <w:tc>
          <w:tcPr>
            <w:tcW w:w="5898" w:type="dxa"/>
          </w:tcPr>
          <w:p w:rsidR="00637261" w:rsidRPr="00672784" w:rsidRDefault="00637261" w:rsidP="003C2A16">
            <w:pPr>
              <w:pStyle w:val="TableBlock"/>
              <w:numPr>
                <w:ilvl w:val="1"/>
                <w:numId w:val="4"/>
              </w:numPr>
              <w:rPr>
                <w:rtl/>
              </w:rPr>
            </w:pPr>
            <w:r w:rsidRPr="00672784">
              <w:rPr>
                <w:rFonts w:hint="cs"/>
                <w:rtl/>
              </w:rPr>
              <w:t xml:space="preserve">לעניין מפר שהוא אגודה שיתופית </w:t>
            </w:r>
            <w:r w:rsidRPr="00672784">
              <w:rPr>
                <w:rtl/>
              </w:rPr>
              <w:t>–</w:t>
            </w:r>
            <w:r w:rsidRPr="00672784">
              <w:rPr>
                <w:rFonts w:hint="cs"/>
                <w:rtl/>
              </w:rPr>
              <w:t xml:space="preserve"> אישור של מי שביקר את חשבונותיה של האגודה השיתופית לפי סעיף 20 לפקודת האגודות השיתופיות</w:t>
            </w:r>
            <w:r w:rsidRPr="00672784">
              <w:rPr>
                <w:rStyle w:val="a7"/>
                <w:rtl/>
              </w:rPr>
              <w:footnoteReference w:id="3"/>
            </w:r>
            <w:r w:rsidRPr="00672784">
              <w:rPr>
                <w:rFonts w:hint="cs"/>
                <w:rtl/>
              </w:rPr>
              <w:t>;</w:t>
            </w:r>
          </w:p>
        </w:tc>
      </w:tr>
      <w:tr w:rsidR="00637261" w:rsidRPr="00AE6FC8">
        <w:trPr>
          <w:cantSplit/>
          <w:trHeight w:val="60"/>
        </w:trPr>
        <w:tc>
          <w:tcPr>
            <w:tcW w:w="1871" w:type="dxa"/>
          </w:tcPr>
          <w:p w:rsidR="00637261" w:rsidRPr="00672784" w:rsidRDefault="00637261">
            <w:pPr>
              <w:pStyle w:val="TableSideHeading"/>
            </w:pPr>
          </w:p>
        </w:tc>
        <w:tc>
          <w:tcPr>
            <w:tcW w:w="624" w:type="dxa"/>
          </w:tcPr>
          <w:p w:rsidR="00637261" w:rsidRPr="00672784" w:rsidRDefault="00637261" w:rsidP="00637261">
            <w:pPr>
              <w:pStyle w:val="TableText"/>
            </w:pPr>
          </w:p>
        </w:tc>
        <w:tc>
          <w:tcPr>
            <w:tcW w:w="624" w:type="dxa"/>
          </w:tcPr>
          <w:p w:rsidR="00637261" w:rsidRPr="00672784" w:rsidRDefault="00637261">
            <w:pPr>
              <w:pStyle w:val="TableText"/>
            </w:pPr>
          </w:p>
        </w:tc>
        <w:tc>
          <w:tcPr>
            <w:tcW w:w="624" w:type="dxa"/>
          </w:tcPr>
          <w:p w:rsidR="00637261" w:rsidRPr="00672784" w:rsidRDefault="00637261">
            <w:pPr>
              <w:pStyle w:val="TableText"/>
            </w:pPr>
          </w:p>
        </w:tc>
        <w:tc>
          <w:tcPr>
            <w:tcW w:w="5898" w:type="dxa"/>
          </w:tcPr>
          <w:p w:rsidR="00637261" w:rsidRPr="00672784" w:rsidRDefault="00637261" w:rsidP="00637261">
            <w:pPr>
              <w:pStyle w:val="TableBlock"/>
              <w:numPr>
                <w:ilvl w:val="1"/>
                <w:numId w:val="4"/>
              </w:numPr>
              <w:rPr>
                <w:rtl/>
              </w:rPr>
            </w:pPr>
            <w:r w:rsidRPr="00672784">
              <w:rPr>
                <w:rFonts w:hint="cs"/>
                <w:rtl/>
              </w:rPr>
              <w:t xml:space="preserve">לעניין מפר אחר </w:t>
            </w:r>
            <w:r w:rsidRPr="00672784">
              <w:rPr>
                <w:rtl/>
              </w:rPr>
              <w:t>–</w:t>
            </w:r>
            <w:r w:rsidRPr="00672784">
              <w:rPr>
                <w:rFonts w:hint="cs"/>
                <w:rtl/>
              </w:rPr>
              <w:t xml:space="preserve"> אישור שנתן רואה חשבון או אישור שנתן יועץ מס מייצג כהגדרתו בחוק הסדרת העיסוק בייצוג על ידי יועצי מס, התשס"ה-2005</w:t>
            </w:r>
            <w:r w:rsidRPr="00672784">
              <w:rPr>
                <w:rStyle w:val="a7"/>
                <w:rtl/>
              </w:rPr>
              <w:footnoteReference w:id="4"/>
            </w:r>
            <w:r w:rsidR="00ED5967" w:rsidRPr="00672784">
              <w:rPr>
                <w:rFonts w:hint="cs"/>
                <w:rtl/>
              </w:rPr>
              <w:t>, כי גובה מחזור העסקאות שהציג המפר תואם לאמור במסמך שהוגש לרשות המסים בישראל או למוסד לביטוח לאומי לפי דין</w:t>
            </w:r>
            <w:r w:rsidRPr="00672784">
              <w:rPr>
                <w:rFonts w:hint="cs"/>
                <w:rtl/>
              </w:rPr>
              <w:t>;</w:t>
            </w:r>
          </w:p>
        </w:tc>
      </w:tr>
      <w:tr w:rsidR="00637261" w:rsidRPr="00672784">
        <w:trPr>
          <w:cantSplit/>
          <w:trHeight w:val="60"/>
        </w:trPr>
        <w:tc>
          <w:tcPr>
            <w:tcW w:w="1871" w:type="dxa"/>
          </w:tcPr>
          <w:p w:rsidR="00637261" w:rsidRPr="00672784" w:rsidRDefault="00637261">
            <w:pPr>
              <w:pStyle w:val="TableSideHeading"/>
            </w:pPr>
          </w:p>
        </w:tc>
        <w:tc>
          <w:tcPr>
            <w:tcW w:w="624" w:type="dxa"/>
          </w:tcPr>
          <w:p w:rsidR="00637261" w:rsidRPr="00672784" w:rsidRDefault="00637261">
            <w:pPr>
              <w:pStyle w:val="TableText"/>
            </w:pPr>
          </w:p>
        </w:tc>
        <w:tc>
          <w:tcPr>
            <w:tcW w:w="624" w:type="dxa"/>
          </w:tcPr>
          <w:p w:rsidR="00637261" w:rsidRPr="00672784" w:rsidRDefault="00637261">
            <w:pPr>
              <w:pStyle w:val="TableText"/>
            </w:pPr>
          </w:p>
        </w:tc>
        <w:tc>
          <w:tcPr>
            <w:tcW w:w="6522" w:type="dxa"/>
            <w:gridSpan w:val="2"/>
          </w:tcPr>
          <w:p w:rsidR="00637261" w:rsidRPr="00672784" w:rsidRDefault="00637261" w:rsidP="00ED5967">
            <w:pPr>
              <w:pStyle w:val="TableBlock"/>
            </w:pPr>
            <w:r w:rsidRPr="00672784">
              <w:rPr>
                <w:rFonts w:hint="cs"/>
                <w:rtl/>
              </w:rPr>
              <w:t xml:space="preserve">"מחזור עסקאות" </w:t>
            </w:r>
            <w:r w:rsidRPr="00672784">
              <w:rPr>
                <w:rtl/>
              </w:rPr>
              <w:t>–</w:t>
            </w:r>
            <w:r w:rsidRPr="00672784">
              <w:rPr>
                <w:rFonts w:hint="cs"/>
                <w:rtl/>
              </w:rPr>
              <w:t xml:space="preserve"> מחזור עסקאות של עוסק כהגדרתו בחוק מס ערך מוסף, התשל"ו-1975</w:t>
            </w:r>
            <w:r w:rsidRPr="00672784">
              <w:rPr>
                <w:rStyle w:val="a7"/>
                <w:rtl/>
              </w:rPr>
              <w:footnoteReference w:id="5"/>
            </w:r>
            <w:r w:rsidR="00ED5967" w:rsidRPr="00672784">
              <w:rPr>
                <w:rFonts w:hint="cs"/>
                <w:rtl/>
              </w:rPr>
              <w:t xml:space="preserve">, ולעניין מלכ"ר כהגדרתו בחוק האמור </w:t>
            </w:r>
            <w:r w:rsidR="00ED5967" w:rsidRPr="00672784">
              <w:rPr>
                <w:rtl/>
              </w:rPr>
              <w:t>–</w:t>
            </w:r>
            <w:r w:rsidR="00ED5967" w:rsidRPr="00672784">
              <w:rPr>
                <w:rFonts w:hint="cs"/>
                <w:rtl/>
              </w:rPr>
              <w:t xml:space="preserve"> מחזור כהגדרתו בתוספת השנייה לחוק העמותות, התש"ם-1980</w:t>
            </w:r>
            <w:r w:rsidR="00ED5967" w:rsidRPr="00672784">
              <w:rPr>
                <w:rStyle w:val="a7"/>
              </w:rPr>
              <w:footnoteReference w:id="6"/>
            </w:r>
            <w:r w:rsidR="00ED5967" w:rsidRPr="00672784">
              <w:rPr>
                <w:rFonts w:hint="cs"/>
                <w:rtl/>
              </w:rPr>
              <w:t>.</w:t>
            </w:r>
          </w:p>
        </w:tc>
      </w:tr>
      <w:tr w:rsidR="00ED5967" w:rsidRPr="00672784">
        <w:trPr>
          <w:cantSplit/>
          <w:trHeight w:val="60"/>
        </w:trPr>
        <w:tc>
          <w:tcPr>
            <w:tcW w:w="1871" w:type="dxa"/>
          </w:tcPr>
          <w:p w:rsidR="00ED5967" w:rsidRPr="00672784" w:rsidRDefault="00ED5967">
            <w:pPr>
              <w:pStyle w:val="TableSideHeading"/>
            </w:pPr>
          </w:p>
        </w:tc>
        <w:tc>
          <w:tcPr>
            <w:tcW w:w="624" w:type="dxa"/>
          </w:tcPr>
          <w:p w:rsidR="00ED5967" w:rsidRPr="00672784" w:rsidRDefault="00ED5967">
            <w:pPr>
              <w:pStyle w:val="TableText"/>
            </w:pPr>
          </w:p>
        </w:tc>
        <w:tc>
          <w:tcPr>
            <w:tcW w:w="7146" w:type="dxa"/>
            <w:gridSpan w:val="3"/>
          </w:tcPr>
          <w:p w:rsidR="00ED5967" w:rsidRPr="00672784" w:rsidRDefault="00ED5967" w:rsidP="0030080A">
            <w:pPr>
              <w:pStyle w:val="TableBlock"/>
              <w:numPr>
                <w:ilvl w:val="0"/>
                <w:numId w:val="26"/>
              </w:numPr>
              <w:tabs>
                <w:tab w:val="left" w:pos="624"/>
              </w:tabs>
              <w:rPr>
                <w:rtl/>
              </w:rPr>
            </w:pPr>
            <w:r w:rsidRPr="00672784">
              <w:rPr>
                <w:rtl/>
              </w:rPr>
              <w:t>מצא המנהל שסכום העיצום הכספי עולה על 5 אחוזים ממחזור עסקאותיו של המפר, רשאי הוא להפחית את הסכום ל-5 אחוזים ממחזור העסקאות שלו.</w:t>
            </w:r>
          </w:p>
        </w:tc>
      </w:tr>
      <w:tr w:rsidR="0030080A" w:rsidRPr="00672784">
        <w:trPr>
          <w:cantSplit/>
          <w:trHeight w:val="60"/>
        </w:trPr>
        <w:tc>
          <w:tcPr>
            <w:tcW w:w="1871" w:type="dxa"/>
          </w:tcPr>
          <w:p w:rsidR="0030080A" w:rsidRPr="00672784" w:rsidRDefault="0030080A">
            <w:pPr>
              <w:pStyle w:val="TableSideHeading"/>
            </w:pPr>
          </w:p>
        </w:tc>
        <w:tc>
          <w:tcPr>
            <w:tcW w:w="624" w:type="dxa"/>
          </w:tcPr>
          <w:p w:rsidR="0030080A" w:rsidRPr="00672784" w:rsidRDefault="0030080A" w:rsidP="0030080A">
            <w:pPr>
              <w:pStyle w:val="TableText"/>
            </w:pPr>
          </w:p>
        </w:tc>
        <w:tc>
          <w:tcPr>
            <w:tcW w:w="7146" w:type="dxa"/>
            <w:gridSpan w:val="3"/>
          </w:tcPr>
          <w:p w:rsidR="0030080A" w:rsidRPr="00672784" w:rsidRDefault="0030080A" w:rsidP="00C91857">
            <w:pPr>
              <w:pStyle w:val="TableBlock"/>
              <w:numPr>
                <w:ilvl w:val="0"/>
                <w:numId w:val="26"/>
              </w:numPr>
              <w:tabs>
                <w:tab w:val="left" w:pos="624"/>
              </w:tabs>
              <w:rPr>
                <w:rtl/>
              </w:rPr>
            </w:pPr>
            <w:r>
              <w:rPr>
                <w:rFonts w:hint="cs"/>
                <w:rtl/>
              </w:rPr>
              <w:t xml:space="preserve">מצא המנהל כי </w:t>
            </w:r>
            <w:r w:rsidR="006C2960">
              <w:rPr>
                <w:rFonts w:hint="cs"/>
                <w:rtl/>
              </w:rPr>
              <w:t>קיים</w:t>
            </w:r>
            <w:r>
              <w:rPr>
                <w:rFonts w:hint="cs"/>
                <w:rtl/>
              </w:rPr>
              <w:t xml:space="preserve"> הפרש מסי יבוא בשל הפרה זהה </w:t>
            </w:r>
            <w:proofErr w:type="spellStart"/>
            <w:r>
              <w:rPr>
                <w:rFonts w:hint="cs"/>
                <w:rtl/>
              </w:rPr>
              <w:t>בלמעלה</w:t>
            </w:r>
            <w:proofErr w:type="spellEnd"/>
            <w:r>
              <w:rPr>
                <w:rFonts w:hint="cs"/>
                <w:rtl/>
              </w:rPr>
              <w:t xml:space="preserve"> מ- 20 הצהרות יבוא שהוגשו מטעם אותו יבואן מפר ונבדקו לאחר התרתן, ועלה סכום </w:t>
            </w:r>
            <w:r w:rsidR="00B35EDB">
              <w:rPr>
                <w:rFonts w:hint="cs"/>
                <w:rtl/>
              </w:rPr>
              <w:t>ה</w:t>
            </w:r>
            <w:r>
              <w:rPr>
                <w:rFonts w:hint="cs"/>
                <w:rtl/>
              </w:rPr>
              <w:t>עיצום</w:t>
            </w:r>
            <w:r w:rsidR="00B35EDB">
              <w:rPr>
                <w:rFonts w:hint="cs"/>
                <w:rtl/>
              </w:rPr>
              <w:t xml:space="preserve"> הכספי</w:t>
            </w:r>
            <w:r>
              <w:rPr>
                <w:rFonts w:hint="cs"/>
                <w:rtl/>
              </w:rPr>
              <w:t xml:space="preserve"> על 2 אחוזים ממחזור עסקאותיו של היבואן המפר, רשאי ה</w:t>
            </w:r>
            <w:r w:rsidR="00C91857">
              <w:rPr>
                <w:rFonts w:hint="cs"/>
                <w:rtl/>
              </w:rPr>
              <w:t>מנהל</w:t>
            </w:r>
            <w:r>
              <w:rPr>
                <w:rFonts w:hint="cs"/>
                <w:rtl/>
              </w:rPr>
              <w:t xml:space="preserve"> להפחית את הסכום ל- 2 אחוזים ממחזור העסקאות שלו.</w:t>
            </w:r>
          </w:p>
        </w:tc>
      </w:tr>
      <w:tr w:rsidR="00ED5967" w:rsidRPr="00672784">
        <w:trPr>
          <w:cantSplit/>
          <w:trHeight w:val="60"/>
        </w:trPr>
        <w:tc>
          <w:tcPr>
            <w:tcW w:w="1871" w:type="dxa"/>
          </w:tcPr>
          <w:p w:rsidR="00ED5967" w:rsidRPr="00672784" w:rsidRDefault="00ED5967">
            <w:pPr>
              <w:pStyle w:val="TableSideHeading"/>
            </w:pPr>
          </w:p>
        </w:tc>
        <w:tc>
          <w:tcPr>
            <w:tcW w:w="624" w:type="dxa"/>
          </w:tcPr>
          <w:p w:rsidR="00ED5967" w:rsidRPr="00672784" w:rsidRDefault="00ED5967" w:rsidP="00ED5967">
            <w:pPr>
              <w:pStyle w:val="TableText"/>
            </w:pPr>
          </w:p>
        </w:tc>
        <w:tc>
          <w:tcPr>
            <w:tcW w:w="7146" w:type="dxa"/>
            <w:gridSpan w:val="3"/>
          </w:tcPr>
          <w:p w:rsidR="00ED5967" w:rsidRPr="00672784" w:rsidRDefault="00ED5967" w:rsidP="0030080A">
            <w:pPr>
              <w:pStyle w:val="TableBlock"/>
              <w:numPr>
                <w:ilvl w:val="0"/>
                <w:numId w:val="26"/>
              </w:numPr>
              <w:tabs>
                <w:tab w:val="left" w:pos="624"/>
              </w:tabs>
              <w:rPr>
                <w:rtl/>
              </w:rPr>
            </w:pPr>
            <w:r w:rsidRPr="00672784">
              <w:rPr>
                <w:rtl/>
              </w:rPr>
              <w:t>תקנ</w:t>
            </w:r>
            <w:r w:rsidR="0030080A">
              <w:rPr>
                <w:rFonts w:hint="cs"/>
                <w:rtl/>
              </w:rPr>
              <w:t>ו</w:t>
            </w:r>
            <w:r w:rsidRPr="00672784">
              <w:rPr>
                <w:rtl/>
              </w:rPr>
              <w:t>ת משנה (</w:t>
            </w:r>
            <w:r w:rsidR="00B040BF" w:rsidRPr="00672784">
              <w:rPr>
                <w:rFonts w:hint="cs"/>
                <w:rtl/>
              </w:rPr>
              <w:t>ב</w:t>
            </w:r>
            <w:r w:rsidRPr="00672784">
              <w:rPr>
                <w:rtl/>
              </w:rPr>
              <w:t>)</w:t>
            </w:r>
            <w:r w:rsidR="0030080A">
              <w:rPr>
                <w:rFonts w:hint="cs"/>
                <w:rtl/>
              </w:rPr>
              <w:t xml:space="preserve"> ו-(ג)</w:t>
            </w:r>
            <w:r w:rsidRPr="00672784">
              <w:rPr>
                <w:rtl/>
              </w:rPr>
              <w:t xml:space="preserve"> </w:t>
            </w:r>
            <w:r w:rsidR="0030080A">
              <w:rPr>
                <w:rFonts w:hint="cs"/>
                <w:rtl/>
              </w:rPr>
              <w:t>י</w:t>
            </w:r>
            <w:r w:rsidRPr="00672784">
              <w:rPr>
                <w:rtl/>
              </w:rPr>
              <w:t>חול</w:t>
            </w:r>
            <w:r w:rsidR="0030080A">
              <w:rPr>
                <w:rFonts w:hint="cs"/>
                <w:rtl/>
              </w:rPr>
              <w:t>ו</w:t>
            </w:r>
            <w:r w:rsidRPr="00672784">
              <w:rPr>
                <w:rtl/>
              </w:rPr>
              <w:t xml:space="preserve"> בין אם הופחת סכום העיצום הכספי לפי תקנה </w:t>
            </w:r>
            <w:r w:rsidRPr="00672784">
              <w:rPr>
                <w:rFonts w:hint="cs"/>
                <w:rtl/>
              </w:rPr>
              <w:t>1</w:t>
            </w:r>
            <w:r w:rsidRPr="00672784">
              <w:rPr>
                <w:rtl/>
              </w:rPr>
              <w:t xml:space="preserve"> או </w:t>
            </w:r>
            <w:r w:rsidRPr="00672784">
              <w:rPr>
                <w:rFonts w:hint="cs"/>
                <w:rtl/>
              </w:rPr>
              <w:t>2</w:t>
            </w:r>
            <w:r w:rsidRPr="00672784">
              <w:rPr>
                <w:rtl/>
              </w:rPr>
              <w:t xml:space="preserve"> ובין אם לאו.</w:t>
            </w:r>
          </w:p>
        </w:tc>
      </w:tr>
      <w:tr w:rsidR="00ED5967" w:rsidRPr="00672784">
        <w:trPr>
          <w:cantSplit/>
          <w:trHeight w:val="60"/>
        </w:trPr>
        <w:tc>
          <w:tcPr>
            <w:tcW w:w="1871" w:type="dxa"/>
          </w:tcPr>
          <w:p w:rsidR="00ED5967" w:rsidRPr="00672784" w:rsidRDefault="00ED5967">
            <w:pPr>
              <w:pStyle w:val="TableSideHeading"/>
            </w:pPr>
          </w:p>
        </w:tc>
        <w:tc>
          <w:tcPr>
            <w:tcW w:w="624" w:type="dxa"/>
          </w:tcPr>
          <w:p w:rsidR="00ED5967" w:rsidRPr="00672784" w:rsidRDefault="00ED5967" w:rsidP="00ED5967">
            <w:pPr>
              <w:pStyle w:val="TableText"/>
            </w:pPr>
          </w:p>
        </w:tc>
        <w:tc>
          <w:tcPr>
            <w:tcW w:w="7146" w:type="dxa"/>
            <w:gridSpan w:val="3"/>
          </w:tcPr>
          <w:p w:rsidR="00ED5967" w:rsidRPr="00672784" w:rsidRDefault="00ED5967" w:rsidP="0030080A">
            <w:pPr>
              <w:pStyle w:val="TableBlock"/>
              <w:numPr>
                <w:ilvl w:val="0"/>
                <w:numId w:val="26"/>
              </w:numPr>
              <w:tabs>
                <w:tab w:val="left" w:pos="624"/>
              </w:tabs>
              <w:rPr>
                <w:rtl/>
              </w:rPr>
            </w:pPr>
            <w:r w:rsidRPr="00672784">
              <w:rPr>
                <w:rtl/>
              </w:rPr>
              <w:t xml:space="preserve">מפר המבקש הפחתה של סכום העיצום הכספי לפי תקנה זו, יגיש למנהל אישור, לעניין גובה מחזור העסקאות שלו, בתוך 30 ימים ממועד מסירת ההודעה על </w:t>
            </w:r>
            <w:r w:rsidRPr="00672784">
              <w:rPr>
                <w:rFonts w:hint="cs"/>
                <w:rtl/>
              </w:rPr>
              <w:t>כוונת חיוב.</w:t>
            </w:r>
          </w:p>
        </w:tc>
      </w:tr>
      <w:tr w:rsidR="00485B0C">
        <w:trPr>
          <w:cantSplit/>
          <w:trHeight w:val="60"/>
        </w:trPr>
        <w:tc>
          <w:tcPr>
            <w:tcW w:w="1871" w:type="dxa"/>
          </w:tcPr>
          <w:p w:rsidR="00485B0C" w:rsidRDefault="00485B0C" w:rsidP="007E751D">
            <w:pPr>
              <w:pStyle w:val="TableSideHeading"/>
              <w:keepLines w:val="0"/>
            </w:pPr>
            <w:bookmarkStart w:id="28" w:name="_Toc13751997"/>
            <w:bookmarkStart w:id="29" w:name="_Toc13752023"/>
            <w:bookmarkStart w:id="30" w:name="_Toc34553943"/>
            <w:r>
              <w:rPr>
                <w:rFonts w:hint="cs"/>
                <w:rtl/>
              </w:rPr>
              <w:t>עדכון סכומים</w:t>
            </w:r>
            <w:bookmarkEnd w:id="28"/>
            <w:bookmarkEnd w:id="29"/>
            <w:bookmarkEnd w:id="30"/>
          </w:p>
        </w:tc>
        <w:tc>
          <w:tcPr>
            <w:tcW w:w="624" w:type="dxa"/>
          </w:tcPr>
          <w:p w:rsidR="00485B0C" w:rsidRDefault="00485B0C" w:rsidP="00485B0C">
            <w:pPr>
              <w:pStyle w:val="TableText"/>
              <w:keepLines w:val="0"/>
              <w:numPr>
                <w:ilvl w:val="0"/>
                <w:numId w:val="4"/>
              </w:numPr>
            </w:pPr>
          </w:p>
        </w:tc>
        <w:tc>
          <w:tcPr>
            <w:tcW w:w="7146" w:type="dxa"/>
            <w:gridSpan w:val="3"/>
          </w:tcPr>
          <w:p w:rsidR="00485B0C" w:rsidRPr="00C34DE2" w:rsidRDefault="00485B0C" w:rsidP="00AE6FC8">
            <w:pPr>
              <w:pStyle w:val="TableBlock"/>
              <w:keepLines w:val="0"/>
            </w:pPr>
            <w:r>
              <w:rPr>
                <w:rFonts w:hint="cs"/>
                <w:rtl/>
              </w:rPr>
              <w:t xml:space="preserve">הסכומים שנקבעו בתקנות אלו יתעדכנו </w:t>
            </w:r>
            <w:r w:rsidR="00AE6FC8">
              <w:rPr>
                <w:rFonts w:hint="cs"/>
                <w:rtl/>
              </w:rPr>
              <w:t>בהתאם להוראת סעיף 223ח לפקודה</w:t>
            </w:r>
            <w:r w:rsidR="00A632C2">
              <w:rPr>
                <w:rFonts w:hint="cs"/>
                <w:rtl/>
              </w:rPr>
              <w:t>.</w:t>
            </w:r>
          </w:p>
        </w:tc>
      </w:tr>
      <w:tr w:rsidR="00485B0C">
        <w:trPr>
          <w:cantSplit/>
          <w:trHeight w:val="60"/>
        </w:trPr>
        <w:tc>
          <w:tcPr>
            <w:tcW w:w="1871" w:type="dxa"/>
          </w:tcPr>
          <w:p w:rsidR="00485B0C" w:rsidRDefault="00485B0C" w:rsidP="007E751D">
            <w:pPr>
              <w:pStyle w:val="TableSideHeading"/>
              <w:keepLines w:val="0"/>
            </w:pPr>
            <w:bookmarkStart w:id="31" w:name="_Toc13751998"/>
            <w:bookmarkStart w:id="32" w:name="_Toc13752024"/>
            <w:bookmarkStart w:id="33" w:name="_Toc34553944"/>
            <w:r>
              <w:rPr>
                <w:rFonts w:hint="cs"/>
                <w:rtl/>
              </w:rPr>
              <w:t>תחילה</w:t>
            </w:r>
            <w:bookmarkEnd w:id="31"/>
            <w:bookmarkEnd w:id="32"/>
            <w:bookmarkEnd w:id="33"/>
          </w:p>
        </w:tc>
        <w:tc>
          <w:tcPr>
            <w:tcW w:w="624" w:type="dxa"/>
          </w:tcPr>
          <w:p w:rsidR="00485B0C" w:rsidRDefault="00485B0C" w:rsidP="00485B0C">
            <w:pPr>
              <w:pStyle w:val="TableText"/>
              <w:keepLines w:val="0"/>
              <w:numPr>
                <w:ilvl w:val="0"/>
                <w:numId w:val="4"/>
              </w:numPr>
            </w:pPr>
          </w:p>
        </w:tc>
        <w:tc>
          <w:tcPr>
            <w:tcW w:w="7146" w:type="dxa"/>
            <w:gridSpan w:val="3"/>
          </w:tcPr>
          <w:p w:rsidR="00485B0C" w:rsidRPr="00C34DE2" w:rsidRDefault="00485B0C" w:rsidP="007E751D">
            <w:pPr>
              <w:pStyle w:val="TableBlock"/>
              <w:keepLines w:val="0"/>
            </w:pPr>
            <w:r>
              <w:rPr>
                <w:rFonts w:hint="cs"/>
                <w:rtl/>
              </w:rPr>
              <w:t>תחילתן של תקנות אלה 30 יום מיום פרסומן.</w:t>
            </w:r>
          </w:p>
        </w:tc>
      </w:tr>
      <w:tr w:rsidR="004C5347" w:rsidRPr="00672784" w:rsidTr="004C5347">
        <w:trPr>
          <w:cantSplit/>
          <w:trHeight w:val="60"/>
        </w:trPr>
        <w:tc>
          <w:tcPr>
            <w:tcW w:w="1871" w:type="dxa"/>
          </w:tcPr>
          <w:p w:rsidR="004C5347" w:rsidRPr="00672784" w:rsidRDefault="004C5347">
            <w:pPr>
              <w:pStyle w:val="TableSideHeading"/>
              <w:rPr>
                <w:rtl/>
              </w:rPr>
            </w:pPr>
          </w:p>
        </w:tc>
        <w:tc>
          <w:tcPr>
            <w:tcW w:w="624" w:type="dxa"/>
          </w:tcPr>
          <w:p w:rsidR="004C5347" w:rsidRPr="00672784" w:rsidRDefault="004C5347" w:rsidP="004C5347">
            <w:pPr>
              <w:pStyle w:val="TableText"/>
            </w:pPr>
          </w:p>
        </w:tc>
        <w:tc>
          <w:tcPr>
            <w:tcW w:w="7146" w:type="dxa"/>
            <w:gridSpan w:val="3"/>
          </w:tcPr>
          <w:p w:rsidR="004C5347" w:rsidRPr="00672784" w:rsidRDefault="004C5347">
            <w:pPr>
              <w:pStyle w:val="TableBlock"/>
              <w:rPr>
                <w:rtl/>
              </w:rPr>
            </w:pPr>
          </w:p>
        </w:tc>
      </w:tr>
    </w:tbl>
    <w:p w:rsidR="00DA2CCE" w:rsidRPr="00672784" w:rsidRDefault="00DA2CCE" w:rsidP="00722C14"/>
    <w:p w:rsidR="00DA2CCE" w:rsidRPr="00672784" w:rsidRDefault="00DA2CCE" w:rsidP="00722C14">
      <w:pPr>
        <w:rPr>
          <w:rtl/>
        </w:rPr>
      </w:pPr>
    </w:p>
    <w:p w:rsidR="00DA2CCE" w:rsidRPr="00672784" w:rsidRDefault="00DA2CCE" w:rsidP="0096280F">
      <w:pPr>
        <w:rPr>
          <w:rFonts w:eastAsia="Calibri"/>
          <w:rtl/>
        </w:rPr>
      </w:pPr>
      <w:r w:rsidRPr="00672784">
        <w:rPr>
          <w:rFonts w:eastAsia="Calibri" w:hint="cs"/>
          <w:rtl/>
        </w:rPr>
        <w:t xml:space="preserve">___ ב________ </w:t>
      </w:r>
      <w:proofErr w:type="spellStart"/>
      <w:r w:rsidRPr="00672784">
        <w:rPr>
          <w:rFonts w:eastAsia="Calibri" w:hint="cs"/>
          <w:rtl/>
        </w:rPr>
        <w:t>התש</w:t>
      </w:r>
      <w:r w:rsidR="00DB7498">
        <w:rPr>
          <w:rFonts w:eastAsia="Calibri" w:hint="cs"/>
          <w:rtl/>
        </w:rPr>
        <w:t>"ף</w:t>
      </w:r>
      <w:proofErr w:type="spellEnd"/>
      <w:r w:rsidRPr="00672784">
        <w:rPr>
          <w:rFonts w:eastAsia="Calibri" w:hint="cs"/>
          <w:rtl/>
        </w:rPr>
        <w:t xml:space="preserve"> (___ ב________ 20</w:t>
      </w:r>
      <w:r w:rsidR="0096280F">
        <w:rPr>
          <w:rFonts w:eastAsia="Calibri" w:hint="cs"/>
          <w:rtl/>
        </w:rPr>
        <w:t>20</w:t>
      </w:r>
      <w:r w:rsidRPr="00672784">
        <w:rPr>
          <w:rFonts w:eastAsia="Calibri" w:hint="cs"/>
          <w:rtl/>
        </w:rPr>
        <w:t>)</w:t>
      </w:r>
    </w:p>
    <w:p w:rsidR="00DA2CCE" w:rsidRPr="00672784" w:rsidRDefault="003E2862" w:rsidP="00F73765">
      <w:pPr>
        <w:rPr>
          <w:rtl/>
        </w:rPr>
      </w:pPr>
      <w:r w:rsidRPr="00672784">
        <w:rPr>
          <w:rFonts w:hint="cs"/>
          <w:rtl/>
        </w:rPr>
        <w:t xml:space="preserve"> </w:t>
      </w:r>
      <w:r w:rsidR="00DA2CCE" w:rsidRPr="00672784">
        <w:rPr>
          <w:rFonts w:hint="cs"/>
          <w:rtl/>
        </w:rPr>
        <w:t>(</w:t>
      </w:r>
      <w:proofErr w:type="spellStart"/>
      <w:r w:rsidR="00DA2CCE" w:rsidRPr="00672784">
        <w:rPr>
          <w:rFonts w:hint="cs"/>
          <w:rtl/>
        </w:rPr>
        <w:t>חמ</w:t>
      </w:r>
      <w:proofErr w:type="spellEnd"/>
      <w:r w:rsidR="00DA2CCE" w:rsidRPr="00672784">
        <w:rPr>
          <w:rFonts w:hint="cs"/>
          <w:rtl/>
        </w:rPr>
        <w:t xml:space="preserve"> </w:t>
      </w:r>
      <w:r w:rsidR="00F73765" w:rsidRPr="00672784">
        <w:rPr>
          <w:rFonts w:hint="cs"/>
          <w:rtl/>
        </w:rPr>
        <w:t>3-</w:t>
      </w:r>
      <w:r w:rsidRPr="00672784">
        <w:rPr>
          <w:rFonts w:hint="cs"/>
          <w:rtl/>
        </w:rPr>
        <w:t>5664</w:t>
      </w:r>
      <w:r w:rsidR="00DA2CCE" w:rsidRPr="00672784">
        <w:rPr>
          <w:rFonts w:hint="cs"/>
          <w:rtl/>
        </w:rPr>
        <w:t>)</w:t>
      </w:r>
    </w:p>
    <w:p w:rsidR="00DA2CCE" w:rsidRPr="00672784" w:rsidRDefault="00DA2CCE" w:rsidP="00722C14">
      <w:pPr>
        <w:rPr>
          <w:rtl/>
        </w:rPr>
      </w:pPr>
    </w:p>
    <w:p w:rsidR="00DA2CCE" w:rsidRPr="00672784" w:rsidRDefault="00DA2CCE" w:rsidP="003E2862">
      <w:pPr>
        <w:ind w:left="5760"/>
        <w:jc w:val="center"/>
        <w:rPr>
          <w:rtl/>
        </w:rPr>
      </w:pPr>
      <w:r w:rsidRPr="00672784">
        <w:rPr>
          <w:rFonts w:hint="cs"/>
          <w:rtl/>
        </w:rPr>
        <w:t>__________________</w:t>
      </w:r>
    </w:p>
    <w:p w:rsidR="008923B1" w:rsidRDefault="004F39A9" w:rsidP="003E2862">
      <w:pPr>
        <w:ind w:left="5760"/>
        <w:jc w:val="center"/>
        <w:rPr>
          <w:rtl/>
        </w:rPr>
      </w:pPr>
      <w:r>
        <w:rPr>
          <w:rFonts w:hint="cs"/>
          <w:rtl/>
        </w:rPr>
        <w:t>משה כחלון</w:t>
      </w:r>
    </w:p>
    <w:p w:rsidR="00DA2CCE" w:rsidRPr="00672784" w:rsidRDefault="003E2862" w:rsidP="003E2862">
      <w:pPr>
        <w:ind w:left="5760"/>
        <w:jc w:val="center"/>
        <w:rPr>
          <w:rtl/>
        </w:rPr>
      </w:pPr>
      <w:r w:rsidRPr="00672784">
        <w:rPr>
          <w:rFonts w:hint="cs"/>
          <w:rtl/>
        </w:rPr>
        <w:t>שר האוצר</w:t>
      </w:r>
    </w:p>
    <w:p w:rsidR="00DA2CCE" w:rsidRPr="00672784" w:rsidRDefault="00DA2CCE" w:rsidP="00722C14">
      <w:pPr>
        <w:rPr>
          <w:rtl/>
        </w:rPr>
      </w:pPr>
    </w:p>
    <w:p w:rsidR="00A632C2" w:rsidRDefault="00A632C2">
      <w:pPr>
        <w:widowControl/>
        <w:bidi w:val="0"/>
        <w:spacing w:after="200" w:line="276" w:lineRule="auto"/>
        <w:ind w:left="0"/>
        <w:contextualSpacing w:val="0"/>
        <w:jc w:val="left"/>
        <w:rPr>
          <w:rFonts w:ascii="Arial" w:eastAsia="Arial Unicode MS" w:hAnsi="Arial"/>
          <w:snapToGrid w:val="0"/>
          <w:sz w:val="20"/>
          <w:szCs w:val="26"/>
        </w:rPr>
      </w:pPr>
      <w:r>
        <w:rPr>
          <w:rtl/>
        </w:rPr>
        <w:br w:type="page"/>
      </w:r>
    </w:p>
    <w:p w:rsidR="00A632C2" w:rsidRDefault="00A632C2" w:rsidP="00A632C2">
      <w:pPr>
        <w:pStyle w:val="HeadDivreiHesber"/>
        <w:rPr>
          <w:rtl/>
        </w:rPr>
      </w:pPr>
      <w:bookmarkStart w:id="34" w:name="_Toc13751999"/>
      <w:bookmarkStart w:id="35" w:name="_Toc13752025"/>
      <w:bookmarkStart w:id="36" w:name="_Toc34553945"/>
      <w:r>
        <w:rPr>
          <w:rtl/>
        </w:rPr>
        <w:lastRenderedPageBreak/>
        <w:t>דברי הסבר</w:t>
      </w:r>
      <w:bookmarkEnd w:id="34"/>
      <w:bookmarkEnd w:id="35"/>
      <w:bookmarkEnd w:id="36"/>
    </w:p>
    <w:p w:rsidR="00DA2CCE" w:rsidRDefault="00DA2CCE" w:rsidP="00722C14">
      <w:pPr>
        <w:pStyle w:val="Hesber1st"/>
        <w:tabs>
          <w:tab w:val="clear" w:pos="680"/>
        </w:tabs>
        <w:rPr>
          <w:rtl/>
        </w:rPr>
      </w:pPr>
    </w:p>
    <w:p w:rsidR="00A632C2" w:rsidRPr="00C64EDD" w:rsidRDefault="00A632C2" w:rsidP="004624D5">
      <w:pPr>
        <w:pStyle w:val="Hesber"/>
        <w:rPr>
          <w:rtl/>
        </w:rPr>
      </w:pPr>
      <w:r>
        <w:rPr>
          <w:rFonts w:hint="cs"/>
          <w:rtl/>
        </w:rPr>
        <w:t xml:space="preserve">בסימן ב' לפרק שלושה עשר א' לפקודת המכס נקבע כי המנהל רשאי להטיל עיצומים כספיים בגין הפרות שונות של פקודת המכס, וכן את גובה העיצום שיוטל. סעיף 223ז(ב) לפקודת המכס קובע כי "שר האוצר, בהתייעצות עם שר המשפטים, רשאי לקבוע מקרים, נסיבות ושיקולים שבשלהם ניתן יהיה להטיל עיצום כספי בסכום הנמוך מהסכומים הקבועים בסימן זה או בתוספת, ובשיעורים שיקבע". </w:t>
      </w:r>
      <w:r w:rsidRPr="00C64EDD">
        <w:rPr>
          <w:rFonts w:hint="cs"/>
          <w:rtl/>
        </w:rPr>
        <w:t xml:space="preserve">בתקנות אלו מוצע לאפשר למנהל הפחתה של העיצום הכספי בשל התנהגות חיובית של המפר, בשל נסיבות אישיות, בשל בדיקת הצהרות יבוא לאחר התרתן ובשל התחשבות במחזור עסקאותיו של המפר. </w:t>
      </w:r>
    </w:p>
    <w:p w:rsidR="00C64EDD" w:rsidRPr="00C64EDD" w:rsidRDefault="00C64EDD" w:rsidP="00BA6C26">
      <w:pPr>
        <w:pStyle w:val="Hesber"/>
        <w:rPr>
          <w:rtl/>
        </w:rPr>
      </w:pPr>
      <w:r w:rsidRPr="00C64EDD">
        <w:rPr>
          <w:rFonts w:hint="cs"/>
          <w:rtl/>
        </w:rPr>
        <w:t>יצוין כי התקנות המוצעות מתייחסות להפרות המבוצעות בקשר לייבוא של טובין בלבד</w:t>
      </w:r>
      <w:r w:rsidRPr="00BA6C26">
        <w:rPr>
          <w:rFonts w:hint="cs"/>
          <w:rtl/>
        </w:rPr>
        <w:t>.</w:t>
      </w:r>
    </w:p>
    <w:p w:rsidR="00C64EDD" w:rsidRPr="00C64EDD" w:rsidRDefault="00C64EDD" w:rsidP="00C64EDD">
      <w:pPr>
        <w:pStyle w:val="Hesber"/>
        <w:rPr>
          <w:rtl/>
        </w:rPr>
      </w:pPr>
      <w:r w:rsidRPr="00C64EDD">
        <w:rPr>
          <w:rFonts w:hint="cs"/>
          <w:rtl/>
        </w:rPr>
        <w:t xml:space="preserve">במקביל לפרסומה של טיוטה זו יפורסמו גם טיוטות של נוהל התראה מנהלית ושל נוהל מדיניות אכיפה, וזאת על מנת לאפשר לציבור לקבל תמונת מצב מלאה לגבי אכיפתם של העיצומים הכספיים. </w:t>
      </w:r>
    </w:p>
    <w:p w:rsidR="00C64EDD" w:rsidRDefault="00C64EDD" w:rsidP="00A632C2">
      <w:pPr>
        <w:pStyle w:val="Hesber1st"/>
        <w:tabs>
          <w:tab w:val="clear" w:pos="680"/>
        </w:tabs>
        <w:rPr>
          <w:rtl/>
        </w:rPr>
      </w:pPr>
    </w:p>
    <w:p w:rsidR="00D76BC0" w:rsidRDefault="00D76BC0"/>
    <w:sectPr w:rsidR="00D76BC0" w:rsidSect="00DA2CCE">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7A9" w:rsidRDefault="003C07A9" w:rsidP="006A7C65">
      <w:pPr>
        <w:spacing w:line="240" w:lineRule="auto"/>
      </w:pPr>
      <w:r>
        <w:separator/>
      </w:r>
    </w:p>
  </w:endnote>
  <w:endnote w:type="continuationSeparator" w:id="0">
    <w:p w:rsidR="003C07A9" w:rsidRDefault="003C07A9" w:rsidP="006A7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7A9" w:rsidRDefault="003C07A9" w:rsidP="006A7C65">
      <w:pPr>
        <w:spacing w:line="240" w:lineRule="auto"/>
      </w:pPr>
      <w:r>
        <w:separator/>
      </w:r>
    </w:p>
  </w:footnote>
  <w:footnote w:type="continuationSeparator" w:id="0">
    <w:p w:rsidR="003C07A9" w:rsidRDefault="003C07A9" w:rsidP="006A7C65">
      <w:pPr>
        <w:spacing w:line="240" w:lineRule="auto"/>
      </w:pPr>
      <w:r>
        <w:continuationSeparator/>
      </w:r>
    </w:p>
  </w:footnote>
  <w:footnote w:id="1">
    <w:p w:rsidR="006A7C65" w:rsidRDefault="006A7C65" w:rsidP="006A7C65">
      <w:pPr>
        <w:pStyle w:val="a5"/>
        <w:rPr>
          <w:rtl/>
        </w:rPr>
      </w:pPr>
      <w:r>
        <w:rPr>
          <w:rStyle w:val="a7"/>
        </w:rPr>
        <w:footnoteRef/>
      </w:r>
      <w:r>
        <w:rPr>
          <w:rtl/>
        </w:rPr>
        <w:t xml:space="preserve"> </w:t>
      </w:r>
      <w:r>
        <w:rPr>
          <w:rFonts w:hint="cs"/>
          <w:rtl/>
        </w:rPr>
        <w:t xml:space="preserve">דיני מדינת ישראל, נוסח חדש 3, עמ' 78; ס"ח </w:t>
      </w:r>
      <w:proofErr w:type="spellStart"/>
      <w:r>
        <w:rPr>
          <w:rFonts w:hint="cs"/>
          <w:rtl/>
        </w:rPr>
        <w:t>התשע"ח</w:t>
      </w:r>
      <w:proofErr w:type="spellEnd"/>
      <w:r>
        <w:rPr>
          <w:rFonts w:hint="cs"/>
          <w:rtl/>
        </w:rPr>
        <w:t>, עמ' 256.</w:t>
      </w:r>
    </w:p>
  </w:footnote>
  <w:footnote w:id="2">
    <w:p w:rsidR="0044408F" w:rsidRDefault="0044408F">
      <w:pPr>
        <w:pStyle w:val="a5"/>
      </w:pPr>
      <w:r>
        <w:rPr>
          <w:rStyle w:val="a7"/>
        </w:rPr>
        <w:footnoteRef/>
      </w:r>
      <w:r>
        <w:rPr>
          <w:rtl/>
        </w:rPr>
        <w:t xml:space="preserve"> </w:t>
      </w:r>
      <w:r w:rsidR="00637261">
        <w:rPr>
          <w:rFonts w:hint="cs"/>
          <w:rtl/>
        </w:rPr>
        <w:t xml:space="preserve">ס"ח </w:t>
      </w:r>
      <w:proofErr w:type="spellStart"/>
      <w:r w:rsidR="00637261">
        <w:rPr>
          <w:rFonts w:hint="cs"/>
          <w:rtl/>
        </w:rPr>
        <w:t>התשנ"ט</w:t>
      </w:r>
      <w:proofErr w:type="spellEnd"/>
      <w:r w:rsidR="00637261">
        <w:rPr>
          <w:rFonts w:hint="cs"/>
          <w:rtl/>
        </w:rPr>
        <w:t>, עמ' 189.</w:t>
      </w:r>
    </w:p>
  </w:footnote>
  <w:footnote w:id="3">
    <w:p w:rsidR="00637261" w:rsidRDefault="00637261">
      <w:pPr>
        <w:pStyle w:val="a5"/>
      </w:pPr>
      <w:r>
        <w:rPr>
          <w:rStyle w:val="a7"/>
        </w:rPr>
        <w:footnoteRef/>
      </w:r>
      <w:r>
        <w:rPr>
          <w:rtl/>
        </w:rPr>
        <w:t xml:space="preserve"> </w:t>
      </w:r>
      <w:r>
        <w:rPr>
          <w:rFonts w:hint="cs"/>
          <w:rtl/>
        </w:rPr>
        <w:t>חוקי א"י, כרך א', עמ' 360.</w:t>
      </w:r>
    </w:p>
  </w:footnote>
  <w:footnote w:id="4">
    <w:p w:rsidR="00637261" w:rsidRDefault="00637261">
      <w:pPr>
        <w:pStyle w:val="a5"/>
      </w:pPr>
      <w:r>
        <w:rPr>
          <w:rStyle w:val="a7"/>
        </w:rPr>
        <w:footnoteRef/>
      </w:r>
      <w:r>
        <w:rPr>
          <w:rtl/>
        </w:rPr>
        <w:t xml:space="preserve"> </w:t>
      </w:r>
      <w:r>
        <w:rPr>
          <w:rFonts w:hint="cs"/>
          <w:rtl/>
        </w:rPr>
        <w:t xml:space="preserve">ס"ח </w:t>
      </w:r>
      <w:proofErr w:type="spellStart"/>
      <w:r>
        <w:rPr>
          <w:rFonts w:hint="cs"/>
          <w:rtl/>
        </w:rPr>
        <w:t>התשס"ה</w:t>
      </w:r>
      <w:proofErr w:type="spellEnd"/>
      <w:r>
        <w:rPr>
          <w:rFonts w:hint="cs"/>
          <w:rtl/>
        </w:rPr>
        <w:t>, עמ' 114.</w:t>
      </w:r>
    </w:p>
  </w:footnote>
  <w:footnote w:id="5">
    <w:p w:rsidR="00637261" w:rsidRDefault="00637261">
      <w:pPr>
        <w:pStyle w:val="a5"/>
        <w:rPr>
          <w:rtl/>
        </w:rPr>
      </w:pPr>
      <w:r>
        <w:rPr>
          <w:rStyle w:val="a7"/>
        </w:rPr>
        <w:footnoteRef/>
      </w:r>
      <w:r>
        <w:rPr>
          <w:rtl/>
        </w:rPr>
        <w:t xml:space="preserve"> </w:t>
      </w:r>
      <w:r w:rsidR="00ED5967">
        <w:rPr>
          <w:rFonts w:hint="cs"/>
          <w:rtl/>
        </w:rPr>
        <w:t xml:space="preserve">ס"ח </w:t>
      </w:r>
      <w:proofErr w:type="spellStart"/>
      <w:r w:rsidR="00ED5967">
        <w:rPr>
          <w:rFonts w:hint="cs"/>
          <w:rtl/>
        </w:rPr>
        <w:t>התשל"ו</w:t>
      </w:r>
      <w:proofErr w:type="spellEnd"/>
      <w:r w:rsidR="00ED5967">
        <w:rPr>
          <w:rFonts w:hint="cs"/>
          <w:rtl/>
        </w:rPr>
        <w:t>, עמ' 52.</w:t>
      </w:r>
    </w:p>
  </w:footnote>
  <w:footnote w:id="6">
    <w:p w:rsidR="00ED5967" w:rsidRDefault="00ED5967">
      <w:pPr>
        <w:pStyle w:val="a5"/>
        <w:rPr>
          <w:rtl/>
        </w:rPr>
      </w:pPr>
      <w:r>
        <w:rPr>
          <w:rStyle w:val="a7"/>
        </w:rPr>
        <w:footnoteRef/>
      </w:r>
      <w:r>
        <w:rPr>
          <w:rtl/>
        </w:rPr>
        <w:t xml:space="preserve"> </w:t>
      </w:r>
      <w:r>
        <w:rPr>
          <w:rFonts w:hint="cs"/>
          <w:rtl/>
        </w:rPr>
        <w:t xml:space="preserve">ס"ח </w:t>
      </w:r>
      <w:proofErr w:type="spellStart"/>
      <w:r>
        <w:rPr>
          <w:rFonts w:hint="cs"/>
          <w:rtl/>
        </w:rPr>
        <w:t>התש"ם</w:t>
      </w:r>
      <w:proofErr w:type="spellEnd"/>
      <w:r>
        <w:rPr>
          <w:rFonts w:hint="cs"/>
          <w:rtl/>
        </w:rPr>
        <w:t>, עמ' 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89E1A63"/>
    <w:multiLevelType w:val="hybridMultilevel"/>
    <w:tmpl w:val="01E29A0E"/>
    <w:lvl w:ilvl="0" w:tplc="AB22C4C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530C76"/>
    <w:multiLevelType w:val="hybridMultilevel"/>
    <w:tmpl w:val="61E89D50"/>
    <w:lvl w:ilvl="0" w:tplc="00DC35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D246E"/>
    <w:multiLevelType w:val="hybridMultilevel"/>
    <w:tmpl w:val="A79EF0FA"/>
    <w:lvl w:ilvl="0" w:tplc="860AC7B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51046"/>
    <w:multiLevelType w:val="hybridMultilevel"/>
    <w:tmpl w:val="2C308920"/>
    <w:lvl w:ilvl="0" w:tplc="9A368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A9521A1"/>
    <w:multiLevelType w:val="hybridMultilevel"/>
    <w:tmpl w:val="858A95B6"/>
    <w:lvl w:ilvl="0" w:tplc="77546F7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E58F9"/>
    <w:multiLevelType w:val="hybridMultilevel"/>
    <w:tmpl w:val="246A3EF6"/>
    <w:lvl w:ilvl="0" w:tplc="D1789CD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626671"/>
    <w:multiLevelType w:val="hybridMultilevel"/>
    <w:tmpl w:val="7204859E"/>
    <w:lvl w:ilvl="0" w:tplc="845C5AB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12"/>
  </w:num>
  <w:num w:numId="6">
    <w:abstractNumId w:val="21"/>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6"/>
    <w:lvlOverride w:ilvl="0">
      <w:startOverride w:val="1"/>
    </w:lvlOverride>
  </w:num>
  <w:num w:numId="18">
    <w:abstractNumId w:val="10"/>
  </w:num>
  <w:num w:numId="19">
    <w:abstractNumId w:val="17"/>
  </w:num>
  <w:num w:numId="20">
    <w:abstractNumId w:val="11"/>
  </w:num>
  <w:num w:numId="21">
    <w:abstractNumId w:val="13"/>
  </w:num>
  <w:num w:numId="22">
    <w:abstractNumId w:val="19"/>
  </w:num>
  <w:num w:numId="23">
    <w:abstractNumId w:val="22"/>
  </w:num>
  <w:num w:numId="24">
    <w:abstractNumId w:val="1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CE"/>
    <w:rsid w:val="00021F29"/>
    <w:rsid w:val="000601B9"/>
    <w:rsid w:val="001357F2"/>
    <w:rsid w:val="00136877"/>
    <w:rsid w:val="00263F4C"/>
    <w:rsid w:val="002B7744"/>
    <w:rsid w:val="002C0AA4"/>
    <w:rsid w:val="002F097D"/>
    <w:rsid w:val="0030080A"/>
    <w:rsid w:val="00300D07"/>
    <w:rsid w:val="00316F66"/>
    <w:rsid w:val="00347440"/>
    <w:rsid w:val="003C07A9"/>
    <w:rsid w:val="003C2A16"/>
    <w:rsid w:val="003E2862"/>
    <w:rsid w:val="004438E6"/>
    <w:rsid w:val="0044408F"/>
    <w:rsid w:val="004624D5"/>
    <w:rsid w:val="00485B0C"/>
    <w:rsid w:val="004A2ACC"/>
    <w:rsid w:val="004B2902"/>
    <w:rsid w:val="004C17D5"/>
    <w:rsid w:val="004C5347"/>
    <w:rsid w:val="004E1BB0"/>
    <w:rsid w:val="004F01AC"/>
    <w:rsid w:val="004F39A9"/>
    <w:rsid w:val="005D6501"/>
    <w:rsid w:val="005F6AF7"/>
    <w:rsid w:val="00637261"/>
    <w:rsid w:val="00660F86"/>
    <w:rsid w:val="00672784"/>
    <w:rsid w:val="006A7C65"/>
    <w:rsid w:val="006C2960"/>
    <w:rsid w:val="00851C18"/>
    <w:rsid w:val="008864D2"/>
    <w:rsid w:val="008923B1"/>
    <w:rsid w:val="008E02DB"/>
    <w:rsid w:val="00916701"/>
    <w:rsid w:val="009522DC"/>
    <w:rsid w:val="0096280F"/>
    <w:rsid w:val="00A06BCA"/>
    <w:rsid w:val="00A632C2"/>
    <w:rsid w:val="00AA2062"/>
    <w:rsid w:val="00AE6FC8"/>
    <w:rsid w:val="00B040BF"/>
    <w:rsid w:val="00B35EDB"/>
    <w:rsid w:val="00B45D5C"/>
    <w:rsid w:val="00B52737"/>
    <w:rsid w:val="00B85128"/>
    <w:rsid w:val="00BA6C26"/>
    <w:rsid w:val="00C64EDD"/>
    <w:rsid w:val="00C72FD2"/>
    <w:rsid w:val="00C75ACE"/>
    <w:rsid w:val="00C91857"/>
    <w:rsid w:val="00D64962"/>
    <w:rsid w:val="00D72A9B"/>
    <w:rsid w:val="00D76BC0"/>
    <w:rsid w:val="00DA2CCE"/>
    <w:rsid w:val="00DA2CDB"/>
    <w:rsid w:val="00DB7498"/>
    <w:rsid w:val="00DC57C9"/>
    <w:rsid w:val="00DE3899"/>
    <w:rsid w:val="00EC5D25"/>
    <w:rsid w:val="00ED5967"/>
    <w:rsid w:val="00F06C70"/>
    <w:rsid w:val="00F5507E"/>
    <w:rsid w:val="00F73765"/>
    <w:rsid w:val="00FA3170"/>
    <w:rsid w:val="00FA6F9C"/>
    <w:rsid w:val="00FB4419"/>
    <w:rsid w:val="00FE65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4C7E2-330D-4358-9C01-A4FE5FA8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70"/>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FA3170"/>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FA3170"/>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FA3170"/>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FA3170"/>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FA3170"/>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A3170"/>
    <w:rPr>
      <w:rFonts w:asciiTheme="majorHAnsi" w:eastAsiaTheme="majorEastAsia" w:hAnsiTheme="majorHAnsi" w:cs="David"/>
      <w:bCs/>
      <w:sz w:val="32"/>
      <w:szCs w:val="36"/>
    </w:rPr>
  </w:style>
  <w:style w:type="character" w:customStyle="1" w:styleId="40">
    <w:name w:val="כותרת 4 תו"/>
    <w:basedOn w:val="a0"/>
    <w:link w:val="4"/>
    <w:uiPriority w:val="9"/>
    <w:rsid w:val="00FA3170"/>
    <w:rPr>
      <w:rFonts w:ascii="David" w:hAnsi="David" w:cs="David"/>
      <w:b/>
      <w:bCs/>
      <w:color w:val="000000" w:themeColor="text1"/>
      <w:sz w:val="24"/>
      <w:szCs w:val="28"/>
    </w:rPr>
  </w:style>
  <w:style w:type="paragraph" w:customStyle="1" w:styleId="TableText">
    <w:name w:val="Table Text"/>
    <w:basedOn w:val="a"/>
    <w:rsid w:val="00FA3170"/>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FA3170"/>
    <w:pPr>
      <w:outlineLvl w:val="2"/>
    </w:pPr>
  </w:style>
  <w:style w:type="paragraph" w:customStyle="1" w:styleId="TableBlock">
    <w:name w:val="Table Block"/>
    <w:basedOn w:val="TableText"/>
    <w:rsid w:val="00FA3170"/>
    <w:pPr>
      <w:jc w:val="both"/>
    </w:pPr>
  </w:style>
  <w:style w:type="paragraph" w:customStyle="1" w:styleId="TableHead">
    <w:name w:val="Table Head"/>
    <w:basedOn w:val="TableText"/>
    <w:rsid w:val="00FA3170"/>
    <w:pPr>
      <w:jc w:val="center"/>
      <w:outlineLvl w:val="1"/>
    </w:pPr>
    <w:rPr>
      <w:b/>
      <w:bCs/>
    </w:rPr>
  </w:style>
  <w:style w:type="paragraph" w:customStyle="1" w:styleId="HeadMitparsemetBaze">
    <w:name w:val="Head MitparsemetBaze"/>
    <w:basedOn w:val="a"/>
    <w:rsid w:val="00FA3170"/>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FA3170"/>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FA3170"/>
    <w:pPr>
      <w:tabs>
        <w:tab w:val="left" w:pos="680"/>
        <w:tab w:val="left" w:pos="1020"/>
      </w:tabs>
      <w:ind w:firstLine="0"/>
    </w:pPr>
  </w:style>
  <w:style w:type="paragraph" w:customStyle="1" w:styleId="HeadDivreiHesber">
    <w:name w:val="Head DivreiHesber"/>
    <w:basedOn w:val="a"/>
    <w:rsid w:val="00FA3170"/>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FA3170"/>
    <w:rPr>
      <w:rFonts w:asciiTheme="majorHAnsi" w:eastAsiaTheme="majorEastAsia" w:hAnsiTheme="majorHAnsi" w:cs="David"/>
      <w:bCs/>
      <w:sz w:val="26"/>
      <w:szCs w:val="36"/>
      <w:u w:val="single"/>
    </w:rPr>
  </w:style>
  <w:style w:type="character" w:customStyle="1" w:styleId="30">
    <w:name w:val="כותרת 3 תו"/>
    <w:basedOn w:val="a0"/>
    <w:link w:val="3"/>
    <w:rsid w:val="00FA3170"/>
    <w:rPr>
      <w:rFonts w:asciiTheme="majorHAnsi" w:eastAsiaTheme="majorEastAsia" w:hAnsiTheme="majorHAnsi" w:cs="David"/>
      <w:sz w:val="24"/>
      <w:szCs w:val="28"/>
      <w:u w:val="double"/>
    </w:rPr>
  </w:style>
  <w:style w:type="character" w:customStyle="1" w:styleId="50">
    <w:name w:val="כותרת 5 תו"/>
    <w:basedOn w:val="a0"/>
    <w:link w:val="5"/>
    <w:uiPriority w:val="9"/>
    <w:rsid w:val="00FA3170"/>
    <w:rPr>
      <w:rFonts w:ascii="David" w:hAnsi="David" w:cs="David"/>
      <w:color w:val="000000" w:themeColor="text1"/>
      <w:sz w:val="24"/>
      <w:szCs w:val="24"/>
    </w:rPr>
  </w:style>
  <w:style w:type="paragraph" w:customStyle="1" w:styleId="HeadHatzaotHok4Futer">
    <w:name w:val="Head HatzaotHok4Futer"/>
    <w:basedOn w:val="HeadHatzaotHok"/>
    <w:rsid w:val="00FA3170"/>
    <w:pPr>
      <w:spacing w:before="120" w:after="120"/>
    </w:pPr>
    <w:rPr>
      <w:color w:val="FF0000"/>
      <w:w w:val="80"/>
    </w:rPr>
  </w:style>
  <w:style w:type="paragraph" w:styleId="a3">
    <w:name w:val="endnote text"/>
    <w:basedOn w:val="a"/>
    <w:link w:val="a4"/>
    <w:semiHidden/>
    <w:rsid w:val="00FA3170"/>
    <w:pPr>
      <w:ind w:left="227" w:hanging="227"/>
    </w:pPr>
    <w:rPr>
      <w:sz w:val="14"/>
      <w:szCs w:val="22"/>
    </w:rPr>
  </w:style>
  <w:style w:type="character" w:customStyle="1" w:styleId="a4">
    <w:name w:val="טקסט הערת סיום תו"/>
    <w:basedOn w:val="a0"/>
    <w:link w:val="a3"/>
    <w:semiHidden/>
    <w:rsid w:val="00DA2CCE"/>
    <w:rPr>
      <w:rFonts w:ascii="David" w:hAnsi="David" w:cs="David"/>
      <w:sz w:val="14"/>
    </w:rPr>
  </w:style>
  <w:style w:type="paragraph" w:customStyle="1" w:styleId="TableInnerSideHeading">
    <w:name w:val="Table InnerSideHeading"/>
    <w:basedOn w:val="TableSideHeading"/>
    <w:rsid w:val="00FA3170"/>
    <w:pPr>
      <w:outlineLvl w:val="9"/>
    </w:pPr>
  </w:style>
  <w:style w:type="paragraph" w:customStyle="1" w:styleId="Hesber">
    <w:name w:val="Hesber"/>
    <w:basedOn w:val="a"/>
    <w:rsid w:val="00FA3170"/>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FA3170"/>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DA2CCE"/>
    <w:rPr>
      <w:rFonts w:ascii="Arial" w:eastAsia="Arial Unicode MS" w:hAnsi="Arial" w:cs="David"/>
      <w:snapToGrid w:val="0"/>
      <w:sz w:val="14"/>
      <w:szCs w:val="20"/>
    </w:rPr>
  </w:style>
  <w:style w:type="character" w:styleId="a7">
    <w:name w:val="footnote reference"/>
    <w:aliases w:val="Footnote Reference"/>
    <w:basedOn w:val="a0"/>
    <w:semiHidden/>
    <w:rsid w:val="00FA3170"/>
    <w:rPr>
      <w:vertAlign w:val="superscript"/>
    </w:rPr>
  </w:style>
  <w:style w:type="paragraph" w:customStyle="1" w:styleId="HesberHeading">
    <w:name w:val="Hesber Heading"/>
    <w:basedOn w:val="Hesber"/>
    <w:rsid w:val="00FA3170"/>
    <w:pPr>
      <w:tabs>
        <w:tab w:val="left" w:pos="624"/>
        <w:tab w:val="left" w:pos="1247"/>
      </w:tabs>
    </w:pPr>
    <w:rPr>
      <w:b/>
      <w:bCs/>
    </w:rPr>
  </w:style>
  <w:style w:type="paragraph" w:customStyle="1" w:styleId="HesberWriters">
    <w:name w:val="Hesber Writers"/>
    <w:basedOn w:val="Hesber"/>
    <w:rsid w:val="00FA3170"/>
    <w:pPr>
      <w:spacing w:before="120" w:after="120"/>
      <w:ind w:left="1418"/>
      <w:jc w:val="right"/>
    </w:pPr>
    <w:rPr>
      <w:b/>
      <w:bCs/>
    </w:rPr>
  </w:style>
  <w:style w:type="character" w:styleId="a8">
    <w:name w:val="endnote reference"/>
    <w:basedOn w:val="a0"/>
    <w:semiHidden/>
    <w:rsid w:val="00FA3170"/>
    <w:rPr>
      <w:vertAlign w:val="superscript"/>
    </w:rPr>
  </w:style>
  <w:style w:type="paragraph" w:customStyle="1" w:styleId="TableBlockOutdent">
    <w:name w:val="Table BlockOutdent"/>
    <w:basedOn w:val="TableBlock"/>
    <w:rsid w:val="00FA3170"/>
    <w:pPr>
      <w:ind w:left="624" w:hanging="624"/>
    </w:pPr>
  </w:style>
  <w:style w:type="paragraph" w:styleId="a9">
    <w:name w:val="header"/>
    <w:basedOn w:val="a"/>
    <w:link w:val="aa"/>
    <w:rsid w:val="00FA3170"/>
    <w:pPr>
      <w:tabs>
        <w:tab w:val="center" w:pos="4153"/>
        <w:tab w:val="right" w:pos="8306"/>
      </w:tabs>
    </w:pPr>
  </w:style>
  <w:style w:type="character" w:customStyle="1" w:styleId="aa">
    <w:name w:val="כותרת עליונה תו"/>
    <w:basedOn w:val="a0"/>
    <w:link w:val="a9"/>
    <w:rsid w:val="00DA2CCE"/>
    <w:rPr>
      <w:rFonts w:ascii="David" w:hAnsi="David" w:cs="David"/>
      <w:sz w:val="24"/>
      <w:szCs w:val="24"/>
    </w:rPr>
  </w:style>
  <w:style w:type="paragraph" w:styleId="ab">
    <w:name w:val="footer"/>
    <w:basedOn w:val="a"/>
    <w:link w:val="ac"/>
    <w:rsid w:val="00FA3170"/>
    <w:pPr>
      <w:tabs>
        <w:tab w:val="center" w:pos="4153"/>
        <w:tab w:val="right" w:pos="8306"/>
      </w:tabs>
    </w:pPr>
  </w:style>
  <w:style w:type="character" w:customStyle="1" w:styleId="ac">
    <w:name w:val="כותרת תחתונה תו"/>
    <w:basedOn w:val="a0"/>
    <w:link w:val="ab"/>
    <w:rsid w:val="00DA2CCE"/>
    <w:rPr>
      <w:rFonts w:ascii="David" w:hAnsi="David" w:cs="David"/>
      <w:sz w:val="24"/>
      <w:szCs w:val="24"/>
    </w:rPr>
  </w:style>
  <w:style w:type="character" w:styleId="ad">
    <w:name w:val="page number"/>
    <w:basedOn w:val="a0"/>
    <w:rsid w:val="00FA3170"/>
  </w:style>
  <w:style w:type="paragraph" w:customStyle="1" w:styleId="Cover1-Reshumot">
    <w:name w:val="Cover 1-Reshumot"/>
    <w:basedOn w:val="a"/>
    <w:rsid w:val="00FA3170"/>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FA3170"/>
    <w:rPr>
      <w:sz w:val="36"/>
      <w:szCs w:val="52"/>
    </w:rPr>
  </w:style>
  <w:style w:type="paragraph" w:customStyle="1" w:styleId="Cover3-Haknesset">
    <w:name w:val="Cover 3-Haknesset"/>
    <w:basedOn w:val="Cover1-Reshumot"/>
    <w:rsid w:val="00FA3170"/>
    <w:rPr>
      <w:b/>
      <w:bCs/>
      <w:spacing w:val="60"/>
    </w:rPr>
  </w:style>
  <w:style w:type="paragraph" w:customStyle="1" w:styleId="Cover4-Date">
    <w:name w:val="Cover 4-Date"/>
    <w:basedOn w:val="a"/>
    <w:rsid w:val="00FA3170"/>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FA3170"/>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FA3170"/>
    <w:pPr>
      <w:widowControl/>
      <w:spacing w:before="120" w:after="120"/>
      <w:outlineLvl w:val="9"/>
    </w:pPr>
    <w:rPr>
      <w:rtl/>
      <w:cs/>
    </w:rPr>
  </w:style>
  <w:style w:type="paragraph" w:styleId="TOC1">
    <w:name w:val="toc 1"/>
    <w:basedOn w:val="a"/>
    <w:next w:val="a"/>
    <w:autoRedefine/>
    <w:uiPriority w:val="39"/>
    <w:unhideWhenUsed/>
    <w:rsid w:val="00FA3170"/>
    <w:pPr>
      <w:tabs>
        <w:tab w:val="right" w:leader="dot" w:pos="9629"/>
      </w:tabs>
      <w:spacing w:after="100"/>
    </w:pPr>
    <w:rPr>
      <w:bCs/>
      <w:szCs w:val="22"/>
    </w:rPr>
  </w:style>
  <w:style w:type="paragraph" w:styleId="TOC2">
    <w:name w:val="toc 2"/>
    <w:basedOn w:val="a"/>
    <w:next w:val="a"/>
    <w:uiPriority w:val="39"/>
    <w:unhideWhenUsed/>
    <w:rsid w:val="00FA3170"/>
    <w:pPr>
      <w:tabs>
        <w:tab w:val="right" w:leader="dot" w:pos="9628"/>
      </w:tabs>
      <w:spacing w:after="100"/>
    </w:pPr>
    <w:rPr>
      <w:szCs w:val="22"/>
    </w:rPr>
  </w:style>
  <w:style w:type="character" w:styleId="Hyperlink">
    <w:name w:val="Hyperlink"/>
    <w:basedOn w:val="a0"/>
    <w:uiPriority w:val="99"/>
    <w:unhideWhenUsed/>
    <w:rsid w:val="00FA3170"/>
    <w:rPr>
      <w:color w:val="0000FF" w:themeColor="hyperlink"/>
      <w:u w:val="single"/>
    </w:rPr>
  </w:style>
  <w:style w:type="paragraph" w:styleId="TOC3">
    <w:name w:val="toc 3"/>
    <w:basedOn w:val="a"/>
    <w:next w:val="a"/>
    <w:uiPriority w:val="39"/>
    <w:unhideWhenUsed/>
    <w:rsid w:val="00FA3170"/>
    <w:pPr>
      <w:numPr>
        <w:numId w:val="19"/>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FA3170"/>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FA3170"/>
    <w:pPr>
      <w:tabs>
        <w:tab w:val="right" w:leader="dot" w:pos="9628"/>
      </w:tabs>
      <w:spacing w:after="100"/>
      <w:ind w:left="567"/>
    </w:pPr>
    <w:rPr>
      <w:szCs w:val="22"/>
    </w:rPr>
  </w:style>
  <w:style w:type="paragraph" w:styleId="TOC6">
    <w:name w:val="toc 6"/>
    <w:basedOn w:val="a"/>
    <w:next w:val="a"/>
    <w:autoRedefine/>
    <w:semiHidden/>
    <w:unhideWhenUsed/>
    <w:rsid w:val="00FA3170"/>
    <w:pPr>
      <w:spacing w:after="100"/>
      <w:ind w:left="850"/>
    </w:pPr>
  </w:style>
  <w:style w:type="paragraph" w:styleId="TOC7">
    <w:name w:val="toc 7"/>
    <w:basedOn w:val="a"/>
    <w:next w:val="a"/>
    <w:autoRedefine/>
    <w:semiHidden/>
    <w:unhideWhenUsed/>
    <w:rsid w:val="00FA3170"/>
    <w:pPr>
      <w:spacing w:after="100"/>
      <w:ind w:left="1020"/>
    </w:pPr>
  </w:style>
  <w:style w:type="paragraph" w:styleId="TOC8">
    <w:name w:val="toc 8"/>
    <w:basedOn w:val="a"/>
    <w:next w:val="a"/>
    <w:autoRedefine/>
    <w:semiHidden/>
    <w:unhideWhenUsed/>
    <w:rsid w:val="00FA3170"/>
    <w:pPr>
      <w:spacing w:after="100"/>
      <w:ind w:left="1190"/>
    </w:pPr>
  </w:style>
  <w:style w:type="paragraph" w:styleId="TOC9">
    <w:name w:val="toc 9"/>
    <w:basedOn w:val="a"/>
    <w:next w:val="a"/>
    <w:autoRedefine/>
    <w:semiHidden/>
    <w:unhideWhenUsed/>
    <w:rsid w:val="00FA3170"/>
    <w:pPr>
      <w:spacing w:after="100"/>
      <w:ind w:left="1360"/>
    </w:pPr>
  </w:style>
  <w:style w:type="paragraph" w:customStyle="1" w:styleId="TableHead2">
    <w:name w:val="Table Head2"/>
    <w:basedOn w:val="TableHead"/>
    <w:qFormat/>
    <w:rsid w:val="00FA3170"/>
    <w:pPr>
      <w:outlineLvl w:val="9"/>
    </w:pPr>
  </w:style>
  <w:style w:type="paragraph" w:customStyle="1" w:styleId="TableSideHeading2">
    <w:name w:val="Table SideHeading2"/>
    <w:basedOn w:val="TableSideHeading"/>
    <w:autoRedefine/>
    <w:qFormat/>
    <w:rsid w:val="00FA3170"/>
    <w:pPr>
      <w:keepLines w:val="0"/>
      <w:outlineLvl w:val="9"/>
    </w:pPr>
  </w:style>
  <w:style w:type="paragraph" w:customStyle="1" w:styleId="0">
    <w:name w:val="סגנון שורה ראשונה:  0  ס''מ"/>
    <w:basedOn w:val="2"/>
    <w:rsid w:val="00FA3170"/>
    <w:rPr>
      <w:rFonts w:eastAsia="Times New Roman"/>
    </w:rPr>
  </w:style>
  <w:style w:type="paragraph" w:styleId="af">
    <w:name w:val="List Paragraph"/>
    <w:basedOn w:val="a"/>
    <w:uiPriority w:val="34"/>
    <w:qFormat/>
    <w:rsid w:val="00FA3170"/>
    <w:pPr>
      <w:widowControl/>
      <w:spacing w:line="259" w:lineRule="auto"/>
    </w:pPr>
    <w:rPr>
      <w:rFonts w:asciiTheme="minorHAnsi" w:hAnsiTheme="minorHAnsi"/>
      <w:sz w:val="22"/>
    </w:rPr>
  </w:style>
  <w:style w:type="table" w:styleId="af0">
    <w:name w:val="Table Grid"/>
    <w:basedOn w:val="a1"/>
    <w:rsid w:val="00FA317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DA2CC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DA2CC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FA3170"/>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FA3170"/>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6A7C65"/>
    <w:rPr>
      <w:sz w:val="16"/>
      <w:szCs w:val="16"/>
    </w:rPr>
  </w:style>
  <w:style w:type="paragraph" w:styleId="af3">
    <w:name w:val="annotation text"/>
    <w:basedOn w:val="a"/>
    <w:link w:val="af4"/>
    <w:uiPriority w:val="99"/>
    <w:unhideWhenUsed/>
    <w:rsid w:val="006A7C65"/>
    <w:pPr>
      <w:spacing w:line="240" w:lineRule="auto"/>
    </w:pPr>
    <w:rPr>
      <w:sz w:val="20"/>
      <w:szCs w:val="20"/>
    </w:rPr>
  </w:style>
  <w:style w:type="character" w:customStyle="1" w:styleId="af4">
    <w:name w:val="טקסט הערה תו"/>
    <w:basedOn w:val="a0"/>
    <w:link w:val="af3"/>
    <w:uiPriority w:val="99"/>
    <w:rsid w:val="006A7C65"/>
    <w:rPr>
      <w:rFonts w:ascii="David" w:hAnsi="David" w:cs="David"/>
      <w:sz w:val="20"/>
      <w:szCs w:val="20"/>
    </w:rPr>
  </w:style>
  <w:style w:type="paragraph" w:styleId="af5">
    <w:name w:val="annotation subject"/>
    <w:basedOn w:val="af3"/>
    <w:next w:val="af3"/>
    <w:link w:val="af6"/>
    <w:uiPriority w:val="99"/>
    <w:semiHidden/>
    <w:unhideWhenUsed/>
    <w:rsid w:val="006A7C65"/>
    <w:rPr>
      <w:b/>
      <w:bCs/>
    </w:rPr>
  </w:style>
  <w:style w:type="character" w:customStyle="1" w:styleId="af6">
    <w:name w:val="נושא הערה תו"/>
    <w:basedOn w:val="af4"/>
    <w:link w:val="af5"/>
    <w:uiPriority w:val="99"/>
    <w:semiHidden/>
    <w:rsid w:val="006A7C65"/>
    <w:rPr>
      <w:rFonts w:ascii="David" w:hAnsi="David" w:cs="David"/>
      <w:b/>
      <w:bCs/>
      <w:sz w:val="20"/>
      <w:szCs w:val="20"/>
    </w:rPr>
  </w:style>
  <w:style w:type="paragraph" w:styleId="af7">
    <w:name w:val="Balloon Text"/>
    <w:basedOn w:val="a"/>
    <w:link w:val="af8"/>
    <w:uiPriority w:val="99"/>
    <w:semiHidden/>
    <w:unhideWhenUsed/>
    <w:rsid w:val="006A7C65"/>
    <w:pPr>
      <w:spacing w:line="240" w:lineRule="auto"/>
    </w:pPr>
    <w:rPr>
      <w:rFonts w:ascii="Tahoma" w:hAnsi="Tahoma" w:cs="Tahoma"/>
      <w:sz w:val="16"/>
      <w:szCs w:val="16"/>
    </w:rPr>
  </w:style>
  <w:style w:type="character" w:customStyle="1" w:styleId="af8">
    <w:name w:val="טקסט בלונים תו"/>
    <w:basedOn w:val="a0"/>
    <w:link w:val="af7"/>
    <w:uiPriority w:val="99"/>
    <w:semiHidden/>
    <w:rsid w:val="006A7C65"/>
    <w:rPr>
      <w:rFonts w:ascii="Tahoma" w:hAnsi="Tahoma" w:cs="Tahoma"/>
      <w:sz w:val="16"/>
      <w:szCs w:val="16"/>
    </w:rPr>
  </w:style>
  <w:style w:type="paragraph" w:styleId="af9">
    <w:name w:val="Revision"/>
    <w:hidden/>
    <w:uiPriority w:val="99"/>
    <w:semiHidden/>
    <w:rsid w:val="00316F66"/>
    <w:pPr>
      <w:spacing w:after="0" w:line="240" w:lineRule="auto"/>
    </w:pPr>
    <w:rPr>
      <w:rFonts w:ascii="David" w:hAnsi="David" w:cs="David"/>
      <w:sz w:val="24"/>
      <w:szCs w:val="24"/>
    </w:rPr>
  </w:style>
  <w:style w:type="table" w:customStyle="1" w:styleId="120">
    <w:name w:val="טבלה רגילה 12"/>
    <w:basedOn w:val="a1"/>
    <w:uiPriority w:val="41"/>
    <w:rsid w:val="00C75AC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טבלת רשת 1 בהירה2"/>
    <w:basedOn w:val="a1"/>
    <w:uiPriority w:val="46"/>
    <w:rsid w:val="00C75AC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טבלה רגילה 13"/>
    <w:basedOn w:val="a1"/>
    <w:uiPriority w:val="41"/>
    <w:rsid w:val="00FA317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0">
    <w:name w:val="טבלת רשת 1 בהירה3"/>
    <w:basedOn w:val="a1"/>
    <w:uiPriority w:val="46"/>
    <w:rsid w:val="00FA317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5E10-B80A-4C07-B1FE-747A95AB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5106</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לילי אור</dc:creator>
  <cp:lastModifiedBy>Merav Kaplan - Chamber Of Commerce</cp:lastModifiedBy>
  <cp:revision>2</cp:revision>
  <dcterms:created xsi:type="dcterms:W3CDTF">2020-03-09T07:35:00Z</dcterms:created>
  <dcterms:modified xsi:type="dcterms:W3CDTF">2020-03-09T07:35:00Z</dcterms:modified>
</cp:coreProperties>
</file>