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BF0" w:rsidRDefault="00612BF0" w:rsidP="00722C14">
      <w:pPr>
        <w:pStyle w:val="1"/>
        <w:keepNext w:val="0"/>
        <w:keepLines w:val="0"/>
      </w:pPr>
      <w:r>
        <w:rPr>
          <w:rtl/>
        </w:rPr>
        <w:t>טיוטת תקנות</w:t>
      </w:r>
    </w:p>
    <w:p w:rsidR="00612BF0" w:rsidRDefault="00612BF0" w:rsidP="00722C14">
      <w:pPr>
        <w:rPr>
          <w:rtl/>
        </w:rPr>
      </w:pPr>
    </w:p>
    <w:p w:rsidR="00612BF0" w:rsidRDefault="00612BF0" w:rsidP="00F24A78">
      <w:pPr>
        <w:pStyle w:val="4"/>
        <w:rPr>
          <w:rtl/>
        </w:rPr>
      </w:pPr>
      <w:r>
        <w:rPr>
          <w:rFonts w:hint="cs"/>
          <w:rtl/>
        </w:rPr>
        <w:t>שם התקנות המוצעות</w:t>
      </w:r>
    </w:p>
    <w:p w:rsidR="00612BF0" w:rsidRDefault="00612BF0" w:rsidP="003348F4">
      <w:r w:rsidRPr="003F6BF4">
        <w:rPr>
          <w:rFonts w:hint="cs"/>
          <w:szCs w:val="26"/>
          <w:rtl/>
        </w:rPr>
        <w:t xml:space="preserve">תקנות </w:t>
      </w:r>
      <w:r w:rsidR="003348F4" w:rsidRPr="00612BF0">
        <w:rPr>
          <w:szCs w:val="26"/>
          <w:rtl/>
        </w:rPr>
        <w:t xml:space="preserve">הגנה על בריאות הציבור (מזון) (בדיקת </w:t>
      </w:r>
      <w:r w:rsidR="00B9637C">
        <w:rPr>
          <w:rFonts w:hint="cs"/>
          <w:szCs w:val="26"/>
          <w:rtl/>
        </w:rPr>
        <w:t xml:space="preserve">משלוח של </w:t>
      </w:r>
      <w:r w:rsidR="003348F4" w:rsidRPr="00612BF0">
        <w:rPr>
          <w:szCs w:val="26"/>
          <w:rtl/>
        </w:rPr>
        <w:t xml:space="preserve">מזון רגיש), </w:t>
      </w:r>
      <w:proofErr w:type="spellStart"/>
      <w:r w:rsidR="003348F4" w:rsidRPr="00612BF0">
        <w:rPr>
          <w:szCs w:val="26"/>
          <w:rtl/>
        </w:rPr>
        <w:t>התש"ף</w:t>
      </w:r>
      <w:proofErr w:type="spellEnd"/>
      <w:r w:rsidR="003348F4" w:rsidRPr="00612BF0">
        <w:rPr>
          <w:szCs w:val="26"/>
          <w:rtl/>
        </w:rPr>
        <w:t xml:space="preserve"> - 2019</w:t>
      </w:r>
    </w:p>
    <w:p w:rsidR="00612BF0" w:rsidRDefault="00612BF0" w:rsidP="00722C14">
      <w:pPr>
        <w:rPr>
          <w:rtl/>
        </w:rPr>
      </w:pPr>
    </w:p>
    <w:p w:rsidR="00612BF0" w:rsidRDefault="00612BF0" w:rsidP="003348F4">
      <w:pPr>
        <w:pStyle w:val="4"/>
        <w:rPr>
          <w:rtl/>
        </w:rPr>
      </w:pPr>
      <w:r>
        <w:rPr>
          <w:rFonts w:hint="cs"/>
          <w:rtl/>
        </w:rPr>
        <w:t xml:space="preserve">מטרת התקנות המוצעות והצורך בהן </w:t>
      </w:r>
    </w:p>
    <w:p w:rsidR="00AE2584" w:rsidRDefault="00AE2584" w:rsidP="00AE2584">
      <w:pPr>
        <w:rPr>
          <w:rtl/>
        </w:rPr>
      </w:pPr>
    </w:p>
    <w:p w:rsidR="005361D4" w:rsidRPr="00515EBB" w:rsidRDefault="00AE2584" w:rsidP="008C356D">
      <w:pPr>
        <w:rPr>
          <w:szCs w:val="26"/>
          <w:rtl/>
        </w:rPr>
      </w:pPr>
      <w:r w:rsidRPr="00515EBB">
        <w:rPr>
          <w:szCs w:val="26"/>
          <w:rtl/>
        </w:rPr>
        <w:t>ייע</w:t>
      </w:r>
      <w:r w:rsidR="00453151" w:rsidRPr="00515EBB">
        <w:rPr>
          <w:rFonts w:hint="cs"/>
          <w:szCs w:val="26"/>
          <w:rtl/>
        </w:rPr>
        <w:t>ו</w:t>
      </w:r>
      <w:r w:rsidR="00B4652C" w:rsidRPr="00515EBB">
        <w:rPr>
          <w:szCs w:val="26"/>
          <w:rtl/>
        </w:rPr>
        <w:t xml:space="preserve">ל </w:t>
      </w:r>
      <w:r w:rsidR="008C356D" w:rsidRPr="00515EBB">
        <w:rPr>
          <w:szCs w:val="26"/>
          <w:rtl/>
        </w:rPr>
        <w:t xml:space="preserve">הפיקוח על </w:t>
      </w:r>
      <w:r w:rsidR="005361D4" w:rsidRPr="00515EBB">
        <w:rPr>
          <w:szCs w:val="26"/>
          <w:rtl/>
        </w:rPr>
        <w:t>משלוחי מזון רגיש ב</w:t>
      </w:r>
      <w:r w:rsidR="005361D4" w:rsidRPr="00515EBB">
        <w:rPr>
          <w:rFonts w:hint="cs"/>
          <w:szCs w:val="26"/>
          <w:rtl/>
        </w:rPr>
        <w:t>עת</w:t>
      </w:r>
      <w:r w:rsidRPr="00515EBB">
        <w:rPr>
          <w:szCs w:val="26"/>
          <w:rtl/>
        </w:rPr>
        <w:t xml:space="preserve"> </w:t>
      </w:r>
      <w:r w:rsidR="008C356D" w:rsidRPr="00515EBB">
        <w:rPr>
          <w:rFonts w:hint="cs"/>
          <w:szCs w:val="26"/>
          <w:rtl/>
        </w:rPr>
        <w:t>בדיקתם ב</w:t>
      </w:r>
      <w:r w:rsidRPr="00515EBB">
        <w:rPr>
          <w:szCs w:val="26"/>
          <w:rtl/>
        </w:rPr>
        <w:t>תחנ</w:t>
      </w:r>
      <w:r w:rsidR="008C356D" w:rsidRPr="00515EBB">
        <w:rPr>
          <w:rFonts w:hint="cs"/>
          <w:szCs w:val="26"/>
          <w:rtl/>
        </w:rPr>
        <w:t>ו</w:t>
      </w:r>
      <w:r w:rsidRPr="00515EBB">
        <w:rPr>
          <w:szCs w:val="26"/>
          <w:rtl/>
        </w:rPr>
        <w:t xml:space="preserve">ת ההסגר </w:t>
      </w:r>
      <w:r w:rsidR="005361D4" w:rsidRPr="00515EBB">
        <w:rPr>
          <w:rFonts w:hint="cs"/>
          <w:szCs w:val="26"/>
          <w:rtl/>
        </w:rPr>
        <w:t>באמצעות שני אלה:</w:t>
      </w:r>
    </w:p>
    <w:p w:rsidR="005361D4" w:rsidRPr="00515EBB" w:rsidRDefault="005361D4" w:rsidP="00515EBB">
      <w:pPr>
        <w:rPr>
          <w:szCs w:val="26"/>
          <w:rtl/>
        </w:rPr>
      </w:pPr>
      <w:r w:rsidRPr="00515EBB">
        <w:rPr>
          <w:rFonts w:hint="cs"/>
          <w:szCs w:val="26"/>
          <w:rtl/>
        </w:rPr>
        <w:t>הפחתת תדירות</w:t>
      </w:r>
      <w:r w:rsidR="008C356D" w:rsidRPr="00515EBB">
        <w:rPr>
          <w:rFonts w:hint="cs"/>
          <w:szCs w:val="26"/>
          <w:rtl/>
        </w:rPr>
        <w:t xml:space="preserve"> בדיקות המעבדה בישראל </w:t>
      </w:r>
      <w:r w:rsidR="00515EBB">
        <w:rPr>
          <w:rFonts w:hint="cs"/>
          <w:szCs w:val="26"/>
          <w:rtl/>
        </w:rPr>
        <w:t>של</w:t>
      </w:r>
      <w:r w:rsidR="008C356D" w:rsidRPr="00515EBB">
        <w:rPr>
          <w:rFonts w:hint="cs"/>
          <w:szCs w:val="26"/>
          <w:rtl/>
        </w:rPr>
        <w:t xml:space="preserve"> מזון רגיש, למעט מוצרי חלב, מאחת לשלושה חודשים לאחת לששה חודשים; </w:t>
      </w:r>
    </w:p>
    <w:p w:rsidR="00AE2584" w:rsidRPr="00515EBB" w:rsidRDefault="00274FE2" w:rsidP="00515EBB">
      <w:pPr>
        <w:rPr>
          <w:szCs w:val="26"/>
          <w:rtl/>
        </w:rPr>
      </w:pPr>
      <w:r w:rsidRPr="00515EBB">
        <w:rPr>
          <w:rFonts w:hint="cs"/>
          <w:szCs w:val="26"/>
          <w:rtl/>
        </w:rPr>
        <w:t xml:space="preserve">הפחתת בדיקות המעבדה בישראל </w:t>
      </w:r>
      <w:r w:rsidR="00515EBB">
        <w:rPr>
          <w:rFonts w:hint="cs"/>
          <w:szCs w:val="26"/>
          <w:rtl/>
        </w:rPr>
        <w:t xml:space="preserve">של </w:t>
      </w:r>
      <w:r w:rsidRPr="00515EBB">
        <w:rPr>
          <w:rFonts w:hint="cs"/>
          <w:szCs w:val="26"/>
          <w:rtl/>
        </w:rPr>
        <w:t xml:space="preserve">מוצרי חלב ע"י </w:t>
      </w:r>
      <w:r w:rsidR="003968C6" w:rsidRPr="00515EBB">
        <w:rPr>
          <w:rFonts w:hint="cs"/>
          <w:szCs w:val="26"/>
          <w:rtl/>
        </w:rPr>
        <w:t xml:space="preserve">שינוי שיטת הבדיקה כך ששיעור הדיגום הכולל בכל רגע נתון יעמוד בממוצע </w:t>
      </w:r>
      <w:r w:rsidR="003968C6" w:rsidRPr="00515EBB">
        <w:rPr>
          <w:szCs w:val="26"/>
          <w:rtl/>
        </w:rPr>
        <w:t>על 2</w:t>
      </w:r>
      <w:r w:rsidR="003968C6" w:rsidRPr="00515EBB">
        <w:rPr>
          <w:rFonts w:hint="cs"/>
          <w:szCs w:val="26"/>
          <w:rtl/>
        </w:rPr>
        <w:t>2</w:t>
      </w:r>
      <w:r w:rsidR="003968C6" w:rsidRPr="00515EBB">
        <w:rPr>
          <w:szCs w:val="26"/>
          <w:rtl/>
        </w:rPr>
        <w:t>% מ</w:t>
      </w:r>
      <w:r w:rsidR="003968C6" w:rsidRPr="00515EBB">
        <w:rPr>
          <w:rFonts w:hint="cs"/>
          <w:szCs w:val="26"/>
          <w:rtl/>
        </w:rPr>
        <w:t>תוך כלל</w:t>
      </w:r>
      <w:r w:rsidR="003968C6" w:rsidRPr="00515EBB">
        <w:rPr>
          <w:szCs w:val="26"/>
          <w:rtl/>
        </w:rPr>
        <w:t xml:space="preserve"> המשלוחים </w:t>
      </w:r>
      <w:r w:rsidR="003968C6" w:rsidRPr="00515EBB">
        <w:rPr>
          <w:rFonts w:hint="cs"/>
          <w:szCs w:val="26"/>
          <w:rtl/>
        </w:rPr>
        <w:t xml:space="preserve">של מוצרי החלב של יבואן מסוים ב- 12 החודשים שקדמו למועד הגעת המשלוח. </w:t>
      </w:r>
    </w:p>
    <w:p w:rsidR="00AE2584" w:rsidRDefault="00AE2584" w:rsidP="00AE2584">
      <w:pPr>
        <w:rPr>
          <w:rtl/>
        </w:rPr>
      </w:pPr>
      <w:r>
        <w:rPr>
          <w:rtl/>
        </w:rPr>
        <w:t xml:space="preserve"> </w:t>
      </w:r>
    </w:p>
    <w:p w:rsidR="00612BF0" w:rsidRDefault="00612BF0" w:rsidP="00722C14">
      <w:pPr>
        <w:rPr>
          <w:rtl/>
        </w:rPr>
      </w:pPr>
    </w:p>
    <w:p w:rsidR="00612BF0" w:rsidRDefault="00612BF0" w:rsidP="00F24A78">
      <w:pPr>
        <w:pStyle w:val="4"/>
      </w:pPr>
      <w:r>
        <w:rPr>
          <w:rFonts w:hint="cs"/>
          <w:rtl/>
        </w:rPr>
        <w:t xml:space="preserve">להלן נוסח טיוטת התקנות המוצעות: </w:t>
      </w:r>
    </w:p>
    <w:p w:rsidR="00612BF0" w:rsidRDefault="00612BF0" w:rsidP="00722C14">
      <w:pPr>
        <w:bidi w:val="0"/>
        <w:rPr>
          <w:rtl/>
        </w:rPr>
      </w:pPr>
      <w:r>
        <w:rPr>
          <w:rtl/>
        </w:rPr>
        <w:br w:type="page"/>
      </w:r>
    </w:p>
    <w:p w:rsidR="00612BF0" w:rsidRDefault="00612BF0" w:rsidP="00612BF0">
      <w:pPr>
        <w:pStyle w:val="HeadMitparsemetBaze"/>
        <w:keepNext w:val="0"/>
        <w:keepLines w:val="0"/>
        <w:pageBreakBefore w:val="0"/>
        <w:rPr>
          <w:rtl/>
        </w:rPr>
      </w:pPr>
      <w:r>
        <w:rPr>
          <w:rtl/>
        </w:rPr>
        <w:lastRenderedPageBreak/>
        <w:t>טיוטת תקנות מטעם משרד</w:t>
      </w:r>
      <w:r>
        <w:rPr>
          <w:rFonts w:hint="cs"/>
          <w:rtl/>
        </w:rPr>
        <w:t xml:space="preserve"> הבריאות</w:t>
      </w:r>
      <w:r>
        <w:rPr>
          <w:rtl/>
        </w:rPr>
        <w:t xml:space="preserve">: </w:t>
      </w:r>
    </w:p>
    <w:p w:rsidR="00612BF0" w:rsidRDefault="00612BF0" w:rsidP="00722C14">
      <w:pPr>
        <w:pStyle w:val="HeadHatzaotHok"/>
        <w:keepNext w:val="0"/>
        <w:keepLines w:val="0"/>
        <w:rPr>
          <w:rtl/>
        </w:rPr>
      </w:pPr>
      <w:r>
        <w:rPr>
          <w:rtl/>
        </w:rPr>
        <w:t>טיוטת תקנות</w:t>
      </w:r>
      <w:r>
        <w:rPr>
          <w:rFonts w:hint="cs"/>
          <w:rtl/>
        </w:rPr>
        <w:t xml:space="preserve"> </w:t>
      </w:r>
      <w:r w:rsidRPr="00612BF0">
        <w:rPr>
          <w:rtl/>
        </w:rPr>
        <w:t xml:space="preserve">הגנה על בריאות הציבור (מזון) (בדיקת </w:t>
      </w:r>
      <w:r w:rsidR="008D0801">
        <w:rPr>
          <w:rFonts w:hint="cs"/>
          <w:rtl/>
        </w:rPr>
        <w:t xml:space="preserve">משלוח של </w:t>
      </w:r>
      <w:r w:rsidRPr="00612BF0">
        <w:rPr>
          <w:rtl/>
        </w:rPr>
        <w:t xml:space="preserve">מזון רגיש), </w:t>
      </w:r>
      <w:proofErr w:type="spellStart"/>
      <w:r w:rsidRPr="00612BF0">
        <w:rPr>
          <w:rtl/>
        </w:rPr>
        <w:t>התש"ף</w:t>
      </w:r>
      <w:proofErr w:type="spellEnd"/>
      <w:r w:rsidRPr="00612BF0">
        <w:rPr>
          <w:rtl/>
        </w:rPr>
        <w:t xml:space="preserve"> - 2019</w:t>
      </w:r>
      <w:r>
        <w:rPr>
          <w:rtl/>
        </w:rPr>
        <w:t xml:space="preserve"> </w:t>
      </w:r>
    </w:p>
    <w:tbl>
      <w:tblPr>
        <w:bidiVisual/>
        <w:tblW w:w="9638" w:type="dxa"/>
        <w:tblBorders>
          <w:top w:val="double" w:sz="6" w:space="0" w:color="000000"/>
          <w:bottom w:val="double" w:sz="6" w:space="0" w:color="000000"/>
          <w:right w:val="double" w:sz="6" w:space="0" w:color="000000"/>
          <w:insideH w:val="single" w:sz="6" w:space="0" w:color="000000"/>
          <w:insideV w:val="single" w:sz="6" w:space="0" w:color="000000"/>
        </w:tblBorders>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519"/>
      </w:tblGrid>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7143" w:type="dxa"/>
            <w:gridSpan w:val="2"/>
            <w:tcBorders>
              <w:top w:val="nil"/>
              <w:left w:val="nil"/>
              <w:bottom w:val="nil"/>
              <w:right w:val="nil"/>
            </w:tcBorders>
            <w:shd w:val="clear" w:color="auto" w:fill="auto"/>
          </w:tcPr>
          <w:p w:rsidR="003348F4" w:rsidRPr="00AC095C" w:rsidRDefault="003348F4" w:rsidP="00595D93">
            <w:pPr>
              <w:pStyle w:val="TableBlock"/>
              <w:rPr>
                <w:caps/>
                <w:sz w:val="26"/>
                <w:rtl/>
              </w:rPr>
            </w:pPr>
            <w:r w:rsidRPr="00AC095C">
              <w:rPr>
                <w:rFonts w:hint="cs"/>
                <w:caps/>
                <w:sz w:val="26"/>
                <w:rtl/>
              </w:rPr>
              <w:t xml:space="preserve">בתוקף סמכותי לפי סעיף 116(6) ו-(9) לחוק הגנה על בריאות הציבור (מזון), </w:t>
            </w:r>
            <w:proofErr w:type="spellStart"/>
            <w:r w:rsidRPr="00AC095C">
              <w:rPr>
                <w:rFonts w:hint="cs"/>
                <w:caps/>
                <w:sz w:val="26"/>
                <w:rtl/>
              </w:rPr>
              <w:t>התשע"ו</w:t>
            </w:r>
            <w:proofErr w:type="spellEnd"/>
            <w:r w:rsidRPr="00AC095C">
              <w:rPr>
                <w:rFonts w:hint="cs"/>
                <w:caps/>
                <w:sz w:val="26"/>
                <w:rtl/>
              </w:rPr>
              <w:t xml:space="preserve"> - 2015</w:t>
            </w:r>
            <w:r w:rsidRPr="00AC095C">
              <w:rPr>
                <w:rStyle w:val="a7"/>
                <w:rFonts w:ascii="David" w:hAnsi="David"/>
                <w:caps/>
                <w:sz w:val="26"/>
                <w:rtl/>
              </w:rPr>
              <w:footnoteReference w:id="1"/>
            </w:r>
            <w:r w:rsidRPr="00AC095C">
              <w:rPr>
                <w:rFonts w:hint="cs"/>
                <w:caps/>
                <w:sz w:val="26"/>
                <w:rtl/>
              </w:rPr>
              <w:t xml:space="preserve"> (להלן </w:t>
            </w:r>
            <w:r w:rsidRPr="00AC095C">
              <w:rPr>
                <w:caps/>
                <w:sz w:val="26"/>
                <w:rtl/>
              </w:rPr>
              <w:t>–</w:t>
            </w:r>
            <w:r w:rsidRPr="00AC095C">
              <w:rPr>
                <w:rFonts w:hint="cs"/>
                <w:caps/>
                <w:sz w:val="26"/>
                <w:rtl/>
              </w:rPr>
              <w:t xml:space="preserve"> החוק), </w:t>
            </w:r>
            <w:r w:rsidR="004205C9" w:rsidRPr="00AC095C">
              <w:rPr>
                <w:rFonts w:hint="cs"/>
                <w:caps/>
                <w:sz w:val="26"/>
                <w:rtl/>
              </w:rPr>
              <w:t>ו</w:t>
            </w:r>
            <w:r w:rsidRPr="00AC095C">
              <w:rPr>
                <w:rFonts w:hint="cs"/>
                <w:caps/>
                <w:sz w:val="26"/>
                <w:rtl/>
              </w:rPr>
              <w:t>בהתייעצות עם שר הכלכלה, אני מתקין תקנות אלה:</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r w:rsidRPr="009803E1">
              <w:rPr>
                <w:rFonts w:hint="cs"/>
                <w:rtl/>
              </w:rPr>
              <w:t>הגדרות</w:t>
            </w:r>
          </w:p>
        </w:tc>
        <w:tc>
          <w:tcPr>
            <w:tcW w:w="624" w:type="dxa"/>
            <w:tcBorders>
              <w:top w:val="nil"/>
              <w:left w:val="nil"/>
              <w:bottom w:val="nil"/>
              <w:right w:val="nil"/>
            </w:tcBorders>
            <w:shd w:val="clear" w:color="auto" w:fill="auto"/>
          </w:tcPr>
          <w:p w:rsidR="003348F4" w:rsidRPr="009803E1" w:rsidRDefault="003348F4" w:rsidP="00595D93">
            <w:pPr>
              <w:pStyle w:val="TableText"/>
              <w:jc w:val="both"/>
            </w:pPr>
            <w:r w:rsidRPr="009803E1">
              <w:rPr>
                <w:rFonts w:hint="cs"/>
                <w:rtl/>
              </w:rPr>
              <w:t>1.</w:t>
            </w:r>
          </w:p>
        </w:tc>
        <w:tc>
          <w:tcPr>
            <w:tcW w:w="7143" w:type="dxa"/>
            <w:gridSpan w:val="2"/>
            <w:tcBorders>
              <w:top w:val="nil"/>
              <w:left w:val="nil"/>
              <w:bottom w:val="nil"/>
              <w:right w:val="nil"/>
            </w:tcBorders>
            <w:shd w:val="clear" w:color="auto" w:fill="auto"/>
          </w:tcPr>
          <w:p w:rsidR="003348F4" w:rsidRPr="00C7160E" w:rsidRDefault="003348F4" w:rsidP="00595D93">
            <w:pPr>
              <w:pStyle w:val="TableBlock"/>
              <w:rPr>
                <w:rtl/>
              </w:rPr>
            </w:pPr>
            <w:r w:rsidRPr="00C7160E">
              <w:rPr>
                <w:rFonts w:hint="cs"/>
                <w:rtl/>
              </w:rPr>
              <w:t>בתקנות אלה:</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519" w:type="dxa"/>
            <w:tcBorders>
              <w:top w:val="nil"/>
              <w:left w:val="nil"/>
              <w:bottom w:val="nil"/>
              <w:right w:val="nil"/>
            </w:tcBorders>
            <w:shd w:val="clear" w:color="auto" w:fill="auto"/>
          </w:tcPr>
          <w:p w:rsidR="003348F4" w:rsidRDefault="003348F4" w:rsidP="0008024F">
            <w:pPr>
              <w:pStyle w:val="TableBlockOutdent"/>
              <w:rPr>
                <w:rtl/>
              </w:rPr>
            </w:pPr>
            <w:r>
              <w:rPr>
                <w:rFonts w:hint="cs"/>
                <w:rtl/>
              </w:rPr>
              <w:t xml:space="preserve">"מוצרי חלב" - </w:t>
            </w:r>
            <w:r w:rsidRPr="0097114C">
              <w:rPr>
                <w:rFonts w:hint="cs"/>
                <w:rtl/>
              </w:rPr>
              <w:t xml:space="preserve">חלב, </w:t>
            </w:r>
            <w:r w:rsidRPr="0097114C">
              <w:rPr>
                <w:rtl/>
              </w:rPr>
              <w:t xml:space="preserve">מוצרי חלב </w:t>
            </w:r>
            <w:r w:rsidRPr="0097114C">
              <w:rPr>
                <w:rFonts w:hint="cs"/>
                <w:rtl/>
              </w:rPr>
              <w:t>ו</w:t>
            </w:r>
            <w:r w:rsidRPr="0097114C">
              <w:rPr>
                <w:rtl/>
              </w:rPr>
              <w:t>מקביליהם (</w:t>
            </w:r>
            <w:r w:rsidRPr="0097114C">
              <w:t>Analogues</w:t>
            </w:r>
            <w:r w:rsidRPr="0097114C">
              <w:rPr>
                <w:rtl/>
              </w:rPr>
              <w:t>) המכילים רכיבי חלב</w:t>
            </w:r>
            <w:r>
              <w:rPr>
                <w:rFonts w:hint="cs"/>
                <w:rtl/>
              </w:rPr>
              <w:t>;</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519" w:type="dxa"/>
            <w:tcBorders>
              <w:top w:val="nil"/>
              <w:left w:val="nil"/>
              <w:bottom w:val="nil"/>
              <w:right w:val="nil"/>
            </w:tcBorders>
            <w:shd w:val="clear" w:color="auto" w:fill="auto"/>
          </w:tcPr>
          <w:p w:rsidR="003348F4" w:rsidRDefault="003348F4" w:rsidP="0008024F">
            <w:pPr>
              <w:pStyle w:val="TableBlockOutdent"/>
              <w:rPr>
                <w:rtl/>
              </w:rPr>
            </w:pPr>
            <w:r w:rsidRPr="00EA66BD">
              <w:rPr>
                <w:rFonts w:hint="cs"/>
                <w:rtl/>
              </w:rPr>
              <w:t xml:space="preserve">"מזון רגיש" </w:t>
            </w:r>
            <w:r w:rsidR="0008024F">
              <w:rPr>
                <w:rFonts w:hint="cs"/>
                <w:rtl/>
              </w:rPr>
              <w:t>-</w:t>
            </w:r>
            <w:r w:rsidRPr="00EA66BD">
              <w:rPr>
                <w:rFonts w:hint="cs"/>
                <w:rtl/>
              </w:rPr>
              <w:t xml:space="preserve"> מזון המנוי </w:t>
            </w:r>
            <w:r>
              <w:rPr>
                <w:rFonts w:hint="cs"/>
                <w:rtl/>
              </w:rPr>
              <w:t>בתקנות הגנה על בריאות הציבור (מזון) (הכרזה בדבר מזון רגיש), התש"ף-2019</w:t>
            </w:r>
            <w:r w:rsidRPr="005E2AFF">
              <w:rPr>
                <w:szCs w:val="20"/>
                <w:vertAlign w:val="superscript"/>
                <w:rtl/>
              </w:rPr>
              <w:footnoteReference w:id="2"/>
            </w:r>
            <w:r w:rsidRPr="005071E5">
              <w:rPr>
                <w:rFonts w:hint="cs"/>
                <w:szCs w:val="20"/>
                <w:rtl/>
              </w:rPr>
              <w:t>,</w:t>
            </w:r>
            <w:r>
              <w:rPr>
                <w:rFonts w:hint="cs"/>
                <w:rtl/>
              </w:rPr>
              <w:t xml:space="preserve"> </w:t>
            </w:r>
            <w:r w:rsidRPr="0068038E">
              <w:rPr>
                <w:rFonts w:hint="cs"/>
                <w:rtl/>
              </w:rPr>
              <w:t xml:space="preserve">לרבות שימורי בשר ודגים, ולמעט מוצר בשר כהגדרתו בפרק ח' </w:t>
            </w:r>
            <w:r>
              <w:rPr>
                <w:rFonts w:hint="cs"/>
                <w:rtl/>
              </w:rPr>
              <w:t xml:space="preserve">לחוק </w:t>
            </w:r>
            <w:r w:rsidRPr="0068038E">
              <w:rPr>
                <w:rFonts w:hint="cs"/>
                <w:rtl/>
              </w:rPr>
              <w:t>וביצים שלא עברו טיפול טרמי</w:t>
            </w:r>
            <w:r>
              <w:rPr>
                <w:rFonts w:hint="cs"/>
                <w:rtl/>
              </w:rPr>
              <w:t>;</w:t>
            </w:r>
            <w:sdt>
              <w:sdtPr>
                <w:rPr>
                  <w:rFonts w:hint="cs"/>
                  <w:rtl/>
                </w:rPr>
                <w:id w:val="-1299841818"/>
                <w:docPartObj>
                  <w:docPartGallery w:val="Watermarks"/>
                </w:docPartObj>
              </w:sdtPr>
              <w:sdtContent>
                <w:r w:rsidR="00585C04">
                  <w:rPr>
                    <w:noProof/>
                    <w:rtl/>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676275" r="0" b="657860"/>
                          <wp:wrapNone/>
                          <wp:docPr id="1" name="תיבת טקסט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5C04" w:rsidRDefault="00585C04" w:rsidP="00585C04">
                                      <w:pPr>
                                        <w:pStyle w:val="NormalWeb"/>
                                        <w:bidi/>
                                        <w:spacing w:before="0" w:beforeAutospacing="0" w:after="0" w:afterAutospacing="0"/>
                                        <w:jc w:val="center"/>
                                      </w:pPr>
                                      <w:r>
                                        <w:rPr>
                                          <w:rFonts w:ascii="Calibri" w:hAnsi="Calibri"/>
                                          <w:color w:val="C0C0C0"/>
                                          <w:sz w:val="72"/>
                                          <w:szCs w:val="7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תיבת טקסט 1"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" o:allowincell="f" filled="f" stroked="f">
                          <v:stroke joinstyle="round"/>
                          <o:lock v:ext="edit" shapetype="t"/>
                          <v:textbox style="mso-fit-shape-to-text:t">
                            <w:txbxContent>
                              <w:p w:rsidR="00585C04" w:rsidRDefault="00585C04" w:rsidP="00585C04">
                                <w:pPr>
                                  <w:pStyle w:val="NormalWeb"/>
                                  <w:bidi/>
                                  <w:spacing w:before="0" w:beforeAutospacing="0" w:after="0" w:afterAutospacing="0"/>
                                  <w:jc w:val="center"/>
                                </w:pPr>
                                <w:r>
                                  <w:rPr>
                                    <w:rFonts w:ascii="Calibri" w:hAnsi="Calibri"/>
                                    <w:color w:val="C0C0C0"/>
                                    <w:sz w:val="72"/>
                                    <w:szCs w:val="72"/>
                                    <w:rtl/>
                                    <w14:textFill>
                                      <w14:solidFill>
                                        <w14:srgbClr w14:val="C0C0C0">
                                          <w14:alpha w14:val="50000"/>
                                        </w14:srgbClr>
                                      </w14:solidFill>
                                    </w14:textFill>
                                  </w:rPr>
                                  <w:t>טיוטה</w:t>
                                </w:r>
                              </w:p>
                            </w:txbxContent>
                          </v:textbox>
                          <w10:wrap anchorx="margin" anchory="margin"/>
                        </v:shape>
                      </w:pict>
                    </mc:Fallback>
                  </mc:AlternateContent>
                </w:r>
              </w:sdtContent>
            </w:sdt>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519" w:type="dxa"/>
            <w:tcBorders>
              <w:top w:val="nil"/>
              <w:left w:val="nil"/>
              <w:bottom w:val="nil"/>
              <w:right w:val="nil"/>
            </w:tcBorders>
            <w:shd w:val="clear" w:color="auto" w:fill="auto"/>
          </w:tcPr>
          <w:p w:rsidR="003348F4" w:rsidRDefault="003348F4" w:rsidP="004F0BC0">
            <w:pPr>
              <w:pStyle w:val="TableBlockOutdent"/>
              <w:rPr>
                <w:rtl/>
              </w:rPr>
            </w:pPr>
            <w:r>
              <w:rPr>
                <w:rFonts w:hint="cs"/>
                <w:rtl/>
              </w:rPr>
              <w:t xml:space="preserve">"נוהל יבוא מזון רגיש </w:t>
            </w:r>
            <w:r w:rsidRPr="00F47AD6">
              <w:rPr>
                <w:rFonts w:hint="cs"/>
                <w:rtl/>
              </w:rPr>
              <w:t>05-001</w:t>
            </w:r>
            <w:r>
              <w:rPr>
                <w:rFonts w:hint="cs"/>
                <w:rtl/>
              </w:rPr>
              <w:t xml:space="preserve">" </w:t>
            </w:r>
            <w:r w:rsidR="004F0BC0">
              <w:rPr>
                <w:rtl/>
              </w:rPr>
              <w:t>–</w:t>
            </w:r>
            <w:r w:rsidR="00F009B8">
              <w:rPr>
                <w:rFonts w:hint="cs"/>
                <w:rtl/>
              </w:rPr>
              <w:t xml:space="preserve"> </w:t>
            </w:r>
            <w:r>
              <w:rPr>
                <w:rFonts w:hint="cs"/>
                <w:rtl/>
              </w:rPr>
              <w:t xml:space="preserve">נוהל </w:t>
            </w:r>
            <w:r w:rsidR="004F0BC0">
              <w:rPr>
                <w:rFonts w:hint="cs"/>
                <w:rtl/>
              </w:rPr>
              <w:t>"</w:t>
            </w:r>
            <w:r>
              <w:rPr>
                <w:rFonts w:hint="cs"/>
                <w:rtl/>
              </w:rPr>
              <w:t>יבוא מזון: הנפקת אישור מוקדם ליבוא מזון רגיש ושחרורו</w:t>
            </w:r>
            <w:r w:rsidR="004F0BC0">
              <w:rPr>
                <w:rFonts w:hint="cs"/>
                <w:rtl/>
              </w:rPr>
              <w:t>"</w:t>
            </w:r>
            <w:r>
              <w:rPr>
                <w:rFonts w:hint="cs"/>
                <w:rtl/>
              </w:rPr>
              <w:t xml:space="preserve"> מספר 05-001, המפורסם באתר </w:t>
            </w:r>
            <w:r w:rsidR="004F0BC0">
              <w:rPr>
                <w:rFonts w:hint="cs"/>
                <w:rtl/>
              </w:rPr>
              <w:t>המרשתת (</w:t>
            </w:r>
            <w:r>
              <w:rPr>
                <w:rFonts w:hint="cs"/>
                <w:rtl/>
              </w:rPr>
              <w:t>אינטרנט</w:t>
            </w:r>
            <w:r w:rsidR="004F0BC0">
              <w:rPr>
                <w:rFonts w:hint="cs"/>
                <w:rtl/>
              </w:rPr>
              <w:t>)</w:t>
            </w:r>
            <w:r w:rsidR="00F009B8">
              <w:rPr>
                <w:rFonts w:hint="cs"/>
                <w:rtl/>
              </w:rPr>
              <w:t xml:space="preserve"> של משרד הבריאות;</w:t>
            </w:r>
            <w:r>
              <w:rPr>
                <w:rFonts w:hint="cs"/>
                <w:rtl/>
              </w:rPr>
              <w:t xml:space="preserve"> </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519" w:type="dxa"/>
            <w:tcBorders>
              <w:top w:val="nil"/>
              <w:left w:val="nil"/>
              <w:bottom w:val="nil"/>
              <w:right w:val="nil"/>
            </w:tcBorders>
            <w:shd w:val="clear" w:color="auto" w:fill="auto"/>
          </w:tcPr>
          <w:p w:rsidR="003348F4" w:rsidRDefault="003348F4" w:rsidP="00EF557D">
            <w:pPr>
              <w:pStyle w:val="TableBlockOutdent"/>
              <w:rPr>
                <w:rtl/>
              </w:rPr>
            </w:pPr>
            <w:r>
              <w:rPr>
                <w:rFonts w:hint="cs"/>
                <w:rtl/>
              </w:rPr>
              <w:t xml:space="preserve">"נותן </w:t>
            </w:r>
            <w:r w:rsidRPr="0008024F">
              <w:rPr>
                <w:rFonts w:hint="cs"/>
                <w:rtl/>
              </w:rPr>
              <w:t>האישור</w:t>
            </w:r>
            <w:r>
              <w:rPr>
                <w:rFonts w:hint="cs"/>
                <w:rtl/>
              </w:rPr>
              <w:t xml:space="preserve">" </w:t>
            </w:r>
            <w:r>
              <w:rPr>
                <w:rtl/>
              </w:rPr>
              <w:t>–</w:t>
            </w:r>
            <w:r>
              <w:rPr>
                <w:rFonts w:hint="cs"/>
                <w:rtl/>
              </w:rPr>
              <w:t xml:space="preserve"> </w:t>
            </w:r>
            <w:r w:rsidRPr="00EF557D">
              <w:rPr>
                <w:rFonts w:hint="cs"/>
                <w:rtl/>
              </w:rPr>
              <w:t>כמשמעותו</w:t>
            </w:r>
            <w:r>
              <w:rPr>
                <w:rFonts w:hint="cs"/>
                <w:rtl/>
              </w:rPr>
              <w:t xml:space="preserve"> בסימן ג' לפרק ד' לחוק.</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r w:rsidRPr="009803E1">
              <w:rPr>
                <w:rFonts w:hint="cs"/>
                <w:rtl/>
              </w:rPr>
              <w:t xml:space="preserve">החלת הוראות </w:t>
            </w: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r w:rsidRPr="009803E1">
              <w:rPr>
                <w:rFonts w:hint="cs"/>
                <w:rtl/>
              </w:rPr>
              <w:t>2.</w:t>
            </w:r>
          </w:p>
        </w:tc>
        <w:tc>
          <w:tcPr>
            <w:tcW w:w="7143" w:type="dxa"/>
            <w:gridSpan w:val="2"/>
            <w:tcBorders>
              <w:top w:val="nil"/>
              <w:left w:val="nil"/>
              <w:bottom w:val="nil"/>
              <w:right w:val="nil"/>
            </w:tcBorders>
            <w:shd w:val="clear" w:color="auto" w:fill="auto"/>
          </w:tcPr>
          <w:p w:rsidR="003348F4" w:rsidRDefault="00986994" w:rsidP="00986994">
            <w:pPr>
              <w:pStyle w:val="TableBlock"/>
              <w:rPr>
                <w:rtl/>
              </w:rPr>
            </w:pPr>
            <w:r>
              <w:rPr>
                <w:rFonts w:hint="cs"/>
                <w:rtl/>
              </w:rPr>
              <w:t>ב</w:t>
            </w:r>
            <w:r w:rsidR="003348F4" w:rsidRPr="009803E1">
              <w:rPr>
                <w:rFonts w:hint="cs"/>
                <w:rtl/>
              </w:rPr>
              <w:t>נוהל יבוא מזון רגיש 05-001 יחול</w:t>
            </w:r>
            <w:r>
              <w:rPr>
                <w:rFonts w:hint="cs"/>
                <w:rtl/>
              </w:rPr>
              <w:t>ו</w:t>
            </w:r>
            <w:r w:rsidR="003348F4" w:rsidRPr="009803E1">
              <w:rPr>
                <w:rFonts w:hint="cs"/>
                <w:rtl/>
              </w:rPr>
              <w:t xml:space="preserve"> </w:t>
            </w:r>
            <w:r>
              <w:rPr>
                <w:rFonts w:hint="cs"/>
                <w:rtl/>
              </w:rPr>
              <w:t>ה</w:t>
            </w:r>
            <w:r w:rsidR="003348F4" w:rsidRPr="009803E1">
              <w:rPr>
                <w:rFonts w:hint="cs"/>
                <w:rtl/>
              </w:rPr>
              <w:t>שינויים המפורטים בתקנות 3 ו-4</w:t>
            </w:r>
            <w:r w:rsidRPr="009803E1">
              <w:rPr>
                <w:rFonts w:hint="cs"/>
                <w:rtl/>
              </w:rPr>
              <w:t xml:space="preserve"> על מזון רגיש</w:t>
            </w:r>
            <w:r>
              <w:rPr>
                <w:rFonts w:hint="cs"/>
                <w:rtl/>
              </w:rPr>
              <w:t>.</w:t>
            </w:r>
          </w:p>
          <w:p w:rsidR="00986994" w:rsidRPr="009803E1" w:rsidRDefault="00986994" w:rsidP="00986994">
            <w:pPr>
              <w:pStyle w:val="TableBlock"/>
              <w:rPr>
                <w:rtl/>
              </w:rPr>
            </w:pP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r w:rsidRPr="009803E1">
              <w:rPr>
                <w:rFonts w:hint="cs"/>
                <w:rtl/>
              </w:rPr>
              <w:t>הפחתת תדירות  בדיקות מעבדה של מזון רגיש</w:t>
            </w: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r w:rsidRPr="009803E1">
              <w:rPr>
                <w:rFonts w:hint="cs"/>
                <w:rtl/>
              </w:rPr>
              <w:t>3.</w:t>
            </w:r>
          </w:p>
        </w:tc>
        <w:tc>
          <w:tcPr>
            <w:tcW w:w="7143" w:type="dxa"/>
            <w:gridSpan w:val="2"/>
            <w:tcBorders>
              <w:top w:val="nil"/>
              <w:left w:val="nil"/>
              <w:bottom w:val="nil"/>
              <w:right w:val="nil"/>
            </w:tcBorders>
            <w:shd w:val="clear" w:color="auto" w:fill="auto"/>
          </w:tcPr>
          <w:p w:rsidR="003348F4" w:rsidRPr="009803E1" w:rsidRDefault="003348F4" w:rsidP="00171137">
            <w:pPr>
              <w:pStyle w:val="TableBlock"/>
              <w:numPr>
                <w:ilvl w:val="0"/>
                <w:numId w:val="20"/>
              </w:numPr>
              <w:tabs>
                <w:tab w:val="left" w:pos="624"/>
              </w:tabs>
              <w:rPr>
                <w:rtl/>
              </w:rPr>
            </w:pPr>
            <w:r w:rsidRPr="009803E1">
              <w:rPr>
                <w:rFonts w:hint="cs"/>
                <w:rtl/>
              </w:rPr>
              <w:t>בנוהל יבוא מזון רגיש 05-001 בפסקה 10.5.14.3.2: במקום "שלושת החודשים" י</w:t>
            </w:r>
            <w:r w:rsidR="00171137">
              <w:rPr>
                <w:rFonts w:hint="cs"/>
                <w:rtl/>
              </w:rPr>
              <w:t>קראו</w:t>
            </w:r>
            <w:r w:rsidRPr="009803E1">
              <w:rPr>
                <w:rFonts w:hint="cs"/>
                <w:rtl/>
              </w:rPr>
              <w:t xml:space="preserve"> "ששת החודשים", למעט לגבי מוצרי חלב, לגביהם יחול האמור בתקנה 4.</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Default="003348F4" w:rsidP="00595D93">
            <w:pPr>
              <w:pStyle w:val="TableText"/>
              <w:rPr>
                <w:sz w:val="24"/>
                <w:szCs w:val="24"/>
                <w:rtl/>
              </w:rPr>
            </w:pPr>
          </w:p>
        </w:tc>
        <w:tc>
          <w:tcPr>
            <w:tcW w:w="7143" w:type="dxa"/>
            <w:gridSpan w:val="2"/>
            <w:tcBorders>
              <w:top w:val="nil"/>
              <w:left w:val="nil"/>
              <w:bottom w:val="nil"/>
              <w:right w:val="nil"/>
            </w:tcBorders>
            <w:shd w:val="clear" w:color="auto" w:fill="auto"/>
          </w:tcPr>
          <w:p w:rsidR="003348F4" w:rsidRDefault="003348F4" w:rsidP="0010619E">
            <w:pPr>
              <w:pStyle w:val="TableBlock"/>
              <w:numPr>
                <w:ilvl w:val="0"/>
                <w:numId w:val="20"/>
              </w:numPr>
              <w:tabs>
                <w:tab w:val="left" w:pos="624"/>
              </w:tabs>
              <w:rPr>
                <w:sz w:val="24"/>
                <w:szCs w:val="24"/>
                <w:rtl/>
              </w:rPr>
            </w:pPr>
            <w:r w:rsidRPr="00866D15">
              <w:rPr>
                <w:rFonts w:hint="cs"/>
                <w:rtl/>
              </w:rPr>
              <w:t>סעיף קטן (א) יחול גם אם באישור המוקדם לייבוא לפי סעיף 66 לחוק, הורה נותן האישור כי משלוח המזון ייבדק במעבדה בישראל עם הגיעו לתחנת ההסגר, ובלבד שנמצא כי בדיקה כאמור בוצעה במשלוח ב- 6 החודשים שקדמו להגעת המשלוח הנוכחי, היא נמצאה תקינה והתקיימו לגבי המשלוח כל הוראות נוהל יבוא מזון רגיש 05-001</w:t>
            </w:r>
            <w:r w:rsidR="0010619E">
              <w:rPr>
                <w:rFonts w:hint="cs"/>
                <w:rtl/>
              </w:rPr>
              <w:t>.</w:t>
            </w:r>
            <w:r w:rsidRPr="00866D15">
              <w:rPr>
                <w:rFonts w:hint="cs"/>
                <w:rtl/>
              </w:rPr>
              <w:t xml:space="preserve"> </w:t>
            </w:r>
          </w:p>
        </w:tc>
      </w:tr>
      <w:tr w:rsidR="003348F4" w:rsidRPr="00002539" w:rsidTr="00595D93">
        <w:trPr>
          <w:cantSplit/>
        </w:trPr>
        <w:tc>
          <w:tcPr>
            <w:tcW w:w="1871" w:type="dxa"/>
            <w:tcBorders>
              <w:top w:val="nil"/>
              <w:bottom w:val="nil"/>
              <w:right w:val="nil"/>
            </w:tcBorders>
            <w:shd w:val="clear" w:color="auto" w:fill="auto"/>
          </w:tcPr>
          <w:p w:rsidR="003348F4" w:rsidRPr="00DE6B27" w:rsidRDefault="003348F4" w:rsidP="00595D93">
            <w:pPr>
              <w:pStyle w:val="TableSideHeading"/>
              <w:outlineLvl w:val="9"/>
              <w:rPr>
                <w:sz w:val="26"/>
                <w:rtl/>
              </w:rPr>
            </w:pPr>
            <w:r w:rsidRPr="00DE6B27">
              <w:rPr>
                <w:rFonts w:hint="cs"/>
                <w:sz w:val="26"/>
                <w:rtl/>
              </w:rPr>
              <w:t>בדיקה אקראית של משלוחי מוצרי חלב</w:t>
            </w:r>
          </w:p>
        </w:tc>
        <w:tc>
          <w:tcPr>
            <w:tcW w:w="624" w:type="dxa"/>
            <w:tcBorders>
              <w:top w:val="nil"/>
              <w:left w:val="nil"/>
              <w:bottom w:val="nil"/>
              <w:right w:val="nil"/>
            </w:tcBorders>
            <w:shd w:val="clear" w:color="auto" w:fill="auto"/>
          </w:tcPr>
          <w:p w:rsidR="003348F4" w:rsidRPr="00DE6B27" w:rsidRDefault="003348F4" w:rsidP="00595D93">
            <w:pPr>
              <w:pStyle w:val="TableText"/>
              <w:rPr>
                <w:sz w:val="26"/>
                <w:rtl/>
              </w:rPr>
            </w:pPr>
            <w:r w:rsidRPr="00DE6B27">
              <w:rPr>
                <w:rFonts w:hint="cs"/>
                <w:sz w:val="26"/>
                <w:rtl/>
              </w:rPr>
              <w:t>4.</w:t>
            </w:r>
          </w:p>
        </w:tc>
        <w:tc>
          <w:tcPr>
            <w:tcW w:w="7143" w:type="dxa"/>
            <w:gridSpan w:val="2"/>
            <w:tcBorders>
              <w:top w:val="nil"/>
              <w:left w:val="nil"/>
              <w:bottom w:val="nil"/>
              <w:right w:val="nil"/>
            </w:tcBorders>
            <w:shd w:val="clear" w:color="auto" w:fill="auto"/>
          </w:tcPr>
          <w:p w:rsidR="003348F4" w:rsidRPr="00DE6B27" w:rsidRDefault="003348F4" w:rsidP="00866D15">
            <w:pPr>
              <w:pStyle w:val="TableBlock"/>
              <w:numPr>
                <w:ilvl w:val="0"/>
                <w:numId w:val="21"/>
              </w:numPr>
              <w:tabs>
                <w:tab w:val="left" w:pos="624"/>
              </w:tabs>
              <w:rPr>
                <w:sz w:val="26"/>
                <w:rtl/>
              </w:rPr>
            </w:pPr>
            <w:r w:rsidRPr="00DE6B27">
              <w:rPr>
                <w:rFonts w:hint="cs"/>
                <w:sz w:val="26"/>
                <w:rtl/>
              </w:rPr>
              <w:t>בנוהל יבוא מזון רגיש 05-001 לעניין מוצרי חלב, אחרי סעיף קטן 10.5.14.4 יקראו:</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3348F4" w:rsidP="008734F0">
            <w:pPr>
              <w:pStyle w:val="TableSideHeading"/>
              <w:tabs>
                <w:tab w:val="clear" w:pos="624"/>
              </w:tabs>
              <w:outlineLvl w:val="9"/>
              <w:rPr>
                <w:rtl/>
              </w:rPr>
            </w:pPr>
          </w:p>
        </w:tc>
        <w:tc>
          <w:tcPr>
            <w:tcW w:w="624" w:type="dxa"/>
            <w:tcBorders>
              <w:top w:val="nil"/>
              <w:left w:val="nil"/>
              <w:bottom w:val="nil"/>
              <w:right w:val="nil"/>
            </w:tcBorders>
            <w:shd w:val="clear" w:color="auto" w:fill="auto"/>
          </w:tcPr>
          <w:p w:rsidR="003348F4" w:rsidRDefault="003348F4" w:rsidP="00595D93">
            <w:pPr>
              <w:pStyle w:val="TableText"/>
              <w:rPr>
                <w:sz w:val="24"/>
                <w:szCs w:val="24"/>
                <w:rtl/>
              </w:rPr>
            </w:pPr>
          </w:p>
        </w:tc>
        <w:tc>
          <w:tcPr>
            <w:tcW w:w="624" w:type="dxa"/>
            <w:tcBorders>
              <w:top w:val="nil"/>
              <w:left w:val="nil"/>
              <w:bottom w:val="nil"/>
              <w:right w:val="nil"/>
            </w:tcBorders>
            <w:shd w:val="clear" w:color="auto" w:fill="auto"/>
          </w:tcPr>
          <w:p w:rsidR="003348F4" w:rsidRPr="009803E1" w:rsidRDefault="003348F4" w:rsidP="00595D93">
            <w:pPr>
              <w:pStyle w:val="TableText"/>
              <w:jc w:val="both"/>
              <w:rPr>
                <w:rtl/>
              </w:rPr>
            </w:pPr>
          </w:p>
        </w:tc>
        <w:tc>
          <w:tcPr>
            <w:tcW w:w="6519" w:type="dxa"/>
            <w:tcBorders>
              <w:top w:val="nil"/>
              <w:left w:val="nil"/>
              <w:bottom w:val="nil"/>
              <w:right w:val="nil"/>
            </w:tcBorders>
            <w:shd w:val="clear" w:color="auto" w:fill="auto"/>
          </w:tcPr>
          <w:p w:rsidR="003348F4" w:rsidRPr="00DE6B27" w:rsidRDefault="00866D15" w:rsidP="00595D93">
            <w:pPr>
              <w:pStyle w:val="TableBlock"/>
              <w:rPr>
                <w:sz w:val="26"/>
                <w:rtl/>
              </w:rPr>
            </w:pPr>
            <w:r w:rsidRPr="00DE6B27">
              <w:rPr>
                <w:rFonts w:hint="cs"/>
                <w:sz w:val="26"/>
                <w:rtl/>
              </w:rPr>
              <w:t>"10.5.14.5</w:t>
            </w:r>
            <w:r w:rsidR="0092282A" w:rsidRPr="00DE6B27">
              <w:rPr>
                <w:rFonts w:hint="cs"/>
                <w:sz w:val="26"/>
                <w:rtl/>
              </w:rPr>
              <w:t>.</w:t>
            </w:r>
            <w:r w:rsidRPr="00DE6B27">
              <w:rPr>
                <w:sz w:val="26"/>
                <w:rtl/>
              </w:rPr>
              <w:tab/>
            </w:r>
            <w:r w:rsidR="003348F4" w:rsidRPr="00DE6B27">
              <w:rPr>
                <w:rFonts w:hint="cs"/>
                <w:sz w:val="26"/>
                <w:rtl/>
              </w:rPr>
              <w:t>בנוסף לאמור בסעיף קטן 10.5.14.3, מוצרי חלב ייבדקו, בהתאם לבדיקה</w:t>
            </w:r>
            <w:r w:rsidR="003348F4" w:rsidRPr="00DE6B27">
              <w:rPr>
                <w:sz w:val="26"/>
                <w:rtl/>
              </w:rPr>
              <w:t xml:space="preserve"> </w:t>
            </w:r>
            <w:r w:rsidR="003348F4" w:rsidRPr="00DE6B27">
              <w:rPr>
                <w:rFonts w:hint="cs"/>
                <w:sz w:val="26"/>
                <w:rtl/>
              </w:rPr>
              <w:t xml:space="preserve">אקראית של המערכת הממוחשבת, כך ששיעור הדיגום הכולל בכל רגע נתון יעמוד בממוצע </w:t>
            </w:r>
            <w:r w:rsidR="003348F4" w:rsidRPr="00DE6B27">
              <w:rPr>
                <w:sz w:val="26"/>
                <w:rtl/>
              </w:rPr>
              <w:t>על 2</w:t>
            </w:r>
            <w:r w:rsidR="003348F4" w:rsidRPr="00DE6B27">
              <w:rPr>
                <w:rFonts w:hint="cs"/>
                <w:sz w:val="26"/>
                <w:rtl/>
              </w:rPr>
              <w:t>2</w:t>
            </w:r>
            <w:r w:rsidR="003348F4" w:rsidRPr="00DE6B27">
              <w:rPr>
                <w:sz w:val="26"/>
                <w:rtl/>
              </w:rPr>
              <w:t>% מ</w:t>
            </w:r>
            <w:r w:rsidR="003348F4" w:rsidRPr="00DE6B27">
              <w:rPr>
                <w:rFonts w:hint="cs"/>
                <w:sz w:val="26"/>
                <w:rtl/>
              </w:rPr>
              <w:t>תוך כלל</w:t>
            </w:r>
            <w:r w:rsidR="003348F4" w:rsidRPr="00DE6B27">
              <w:rPr>
                <w:sz w:val="26"/>
                <w:rtl/>
              </w:rPr>
              <w:t xml:space="preserve"> המשלוחים </w:t>
            </w:r>
            <w:r w:rsidR="003348F4" w:rsidRPr="00DE6B27">
              <w:rPr>
                <w:rFonts w:hint="cs"/>
                <w:sz w:val="26"/>
                <w:rtl/>
              </w:rPr>
              <w:t xml:space="preserve">של מוצרי החלב של יבואן מסוים ב- 12 החודשים שקדמו למועד הגעת המשלוח, ולא מוקדם מיום </w:t>
            </w:r>
            <w:r w:rsidR="00B124E0" w:rsidRPr="00DE6B27">
              <w:rPr>
                <w:rFonts w:hint="cs"/>
                <w:sz w:val="26"/>
                <w:rtl/>
              </w:rPr>
              <w:t>תחילתן של תקנות אלה</w:t>
            </w:r>
            <w:r w:rsidR="003348F4" w:rsidRPr="00DE6B27">
              <w:rPr>
                <w:rFonts w:hint="cs"/>
                <w:sz w:val="26"/>
                <w:rtl/>
              </w:rPr>
              <w:t>."</w:t>
            </w:r>
          </w:p>
        </w:tc>
      </w:tr>
      <w:tr w:rsidR="003348F4" w:rsidRPr="00002539" w:rsidTr="00595D93">
        <w:trPr>
          <w:cantSplit/>
        </w:trPr>
        <w:tc>
          <w:tcPr>
            <w:tcW w:w="1871" w:type="dxa"/>
            <w:tcBorders>
              <w:top w:val="nil"/>
              <w:bottom w:val="nil"/>
              <w:right w:val="nil"/>
            </w:tcBorders>
            <w:shd w:val="clear" w:color="auto" w:fill="auto"/>
          </w:tcPr>
          <w:p w:rsidR="003348F4" w:rsidRPr="009803E1" w:rsidDel="00751864" w:rsidRDefault="003348F4" w:rsidP="00595D93">
            <w:pPr>
              <w:pStyle w:val="TableSideHeading"/>
              <w:outlineLvl w:val="9"/>
              <w:rPr>
                <w:rtl/>
              </w:rPr>
            </w:pPr>
          </w:p>
        </w:tc>
        <w:tc>
          <w:tcPr>
            <w:tcW w:w="624" w:type="dxa"/>
            <w:tcBorders>
              <w:top w:val="nil"/>
              <w:left w:val="nil"/>
              <w:bottom w:val="nil"/>
              <w:right w:val="nil"/>
            </w:tcBorders>
            <w:shd w:val="clear" w:color="auto" w:fill="auto"/>
          </w:tcPr>
          <w:p w:rsidR="003348F4" w:rsidRDefault="003348F4" w:rsidP="00595D93">
            <w:pPr>
              <w:pStyle w:val="TableText"/>
              <w:rPr>
                <w:sz w:val="24"/>
                <w:szCs w:val="24"/>
                <w:rtl/>
              </w:rPr>
            </w:pPr>
          </w:p>
        </w:tc>
        <w:tc>
          <w:tcPr>
            <w:tcW w:w="7143" w:type="dxa"/>
            <w:gridSpan w:val="2"/>
            <w:tcBorders>
              <w:top w:val="nil"/>
              <w:left w:val="nil"/>
              <w:bottom w:val="nil"/>
              <w:right w:val="nil"/>
            </w:tcBorders>
            <w:shd w:val="clear" w:color="auto" w:fill="auto"/>
          </w:tcPr>
          <w:p w:rsidR="003348F4" w:rsidRPr="00DE6B27" w:rsidRDefault="003348F4" w:rsidP="0092282A">
            <w:pPr>
              <w:pStyle w:val="TableBlock"/>
              <w:numPr>
                <w:ilvl w:val="0"/>
                <w:numId w:val="21"/>
              </w:numPr>
              <w:tabs>
                <w:tab w:val="left" w:pos="624"/>
              </w:tabs>
              <w:rPr>
                <w:sz w:val="26"/>
                <w:rtl/>
              </w:rPr>
            </w:pPr>
            <w:r w:rsidRPr="00DE6B27">
              <w:rPr>
                <w:rFonts w:hint="cs"/>
                <w:sz w:val="26"/>
                <w:rtl/>
              </w:rPr>
              <w:t>תקנה 4 תחול גם אם באישור המוקדם לייבוא לפי סעיף 66 לחוק, הורה נותן האישור כי משלוח</w:t>
            </w:r>
            <w:sdt>
              <w:sdtPr>
                <w:rPr>
                  <w:rFonts w:hint="cs"/>
                  <w:sz w:val="26"/>
                  <w:rtl/>
                </w:rPr>
                <w:id w:val="-1012991943"/>
                <w:docPartObj>
                  <w:docPartGallery w:val="Watermarks"/>
                </w:docPartObj>
              </w:sdtPr>
              <w:sdtContent>
                <w:r w:rsidR="00585C04" w:rsidRPr="00585C04">
                  <w:rPr>
                    <w:noProof/>
                    <w:sz w:val="26"/>
                    <w:rtl/>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237480" cy="3142615"/>
                          <wp:effectExtent l="0" t="676275" r="0" b="65786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85C04" w:rsidRDefault="00585C04" w:rsidP="00585C04">
                                      <w:pPr>
                                        <w:pStyle w:val="NormalWeb"/>
                                        <w:bidi/>
                                        <w:spacing w:before="0" w:beforeAutospacing="0" w:after="0" w:afterAutospacing="0"/>
                                        <w:jc w:val="center"/>
                                      </w:pPr>
                                      <w:r>
                                        <w:rPr>
                                          <w:rFonts w:ascii="Calibri" w:hAnsi="Calibri"/>
                                          <w:color w:val="C0C0C0"/>
                                          <w:sz w:val="72"/>
                                          <w:szCs w:val="72"/>
                                          <w:rtl/>
                                          <w14:textFill>
                                            <w14:solidFill>
                                              <w14:srgbClr w14:val="C0C0C0">
                                                <w14:alpha w14:val="50000"/>
                                              </w14:srgbClr>
                                            </w14:solidFill>
                                          </w14:textFill>
                                        </w:rPr>
                                        <w:t>טיוטה</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תיבת טקסט 2" o:spid="_x0000_s1027" type="#_x0000_t202" style="position:absolute;left:0;text-align:left;margin-left:0;margin-top:0;width:412.4pt;height:247.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" o:allowincell="f" filled="f" stroked="f">
                          <v:stroke joinstyle="round"/>
                          <o:lock v:ext="edit" shapetype="t"/>
                          <v:textbox style="mso-fit-shape-to-text:t">
                            <w:txbxContent>
                              <w:p w:rsidR="00585C04" w:rsidRDefault="00585C04" w:rsidP="00585C04">
                                <w:pPr>
                                  <w:pStyle w:val="NormalWeb"/>
                                  <w:bidi/>
                                  <w:spacing w:before="0" w:beforeAutospacing="0" w:after="0" w:afterAutospacing="0"/>
                                  <w:jc w:val="center"/>
                                </w:pPr>
                                <w:r>
                                  <w:rPr>
                                    <w:rFonts w:ascii="Calibri" w:hAnsi="Calibri"/>
                                    <w:color w:val="C0C0C0"/>
                                    <w:sz w:val="72"/>
                                    <w:szCs w:val="72"/>
                                    <w:rtl/>
                                    <w14:textFill>
                                      <w14:solidFill>
                                        <w14:srgbClr w14:val="C0C0C0">
                                          <w14:alpha w14:val="50000"/>
                                        </w14:srgbClr>
                                      </w14:solidFill>
                                    </w14:textFill>
                                  </w:rPr>
                                  <w:t>טיוטה</w:t>
                                </w:r>
                              </w:p>
                            </w:txbxContent>
                          </v:textbox>
                          <w10:wrap anchorx="margin" anchory="margin"/>
                        </v:shape>
                      </w:pict>
                    </mc:Fallback>
                  </mc:AlternateContent>
                </w:r>
              </w:sdtContent>
            </w:sdt>
            <w:r w:rsidRPr="00DE6B27">
              <w:rPr>
                <w:rFonts w:hint="cs"/>
                <w:sz w:val="26"/>
                <w:rtl/>
              </w:rPr>
              <w:t xml:space="preserve"> המזון ייבדק במעבדה בישראל עם הגיעו לתחנת ההסגר, ובלבד שנמצא כי בדיקה כאמור בוצעה במשלוח ב</w:t>
            </w:r>
            <w:r w:rsidR="004861F0" w:rsidRPr="00DE6B27">
              <w:rPr>
                <w:rFonts w:hint="cs"/>
                <w:sz w:val="26"/>
                <w:rtl/>
              </w:rPr>
              <w:t>שלושת</w:t>
            </w:r>
            <w:r w:rsidRPr="00DE6B27">
              <w:rPr>
                <w:rFonts w:hint="cs"/>
                <w:sz w:val="26"/>
                <w:rtl/>
              </w:rPr>
              <w:t xml:space="preserve"> החודשים שקדמו להגעת המשלוח הנוכחי, היא נמצאה תקינה והתקיימו לגבי המשלוח כל הוראות נוהל יבוא מזון</w:t>
            </w:r>
            <w:r w:rsidR="004861F0" w:rsidRPr="00DE6B27">
              <w:rPr>
                <w:rFonts w:hint="cs"/>
                <w:sz w:val="26"/>
                <w:rtl/>
              </w:rPr>
              <w:t xml:space="preserve"> רגיש 05-001</w:t>
            </w:r>
            <w:r w:rsidR="00FE41C8" w:rsidRPr="00DE6B27">
              <w:rPr>
                <w:rFonts w:hint="cs"/>
                <w:sz w:val="26"/>
                <w:rtl/>
              </w:rPr>
              <w:t>.</w:t>
            </w:r>
          </w:p>
        </w:tc>
      </w:tr>
      <w:tr w:rsidR="003348F4" w:rsidRPr="00002539" w:rsidTr="00595D93">
        <w:trPr>
          <w:cantSplit/>
        </w:trPr>
        <w:tc>
          <w:tcPr>
            <w:tcW w:w="1871" w:type="dxa"/>
            <w:tcBorders>
              <w:top w:val="nil"/>
              <w:bottom w:val="nil"/>
              <w:right w:val="nil"/>
            </w:tcBorders>
            <w:shd w:val="clear" w:color="auto" w:fill="auto"/>
          </w:tcPr>
          <w:p w:rsidR="003348F4" w:rsidRPr="009803E1" w:rsidRDefault="00581423" w:rsidP="00595D93">
            <w:pPr>
              <w:pStyle w:val="TableSideHeading"/>
              <w:outlineLvl w:val="9"/>
              <w:rPr>
                <w:rtl/>
              </w:rPr>
            </w:pPr>
            <w:r>
              <w:rPr>
                <w:rFonts w:hint="cs"/>
                <w:rtl/>
              </w:rPr>
              <w:t>תחולה</w:t>
            </w:r>
          </w:p>
        </w:tc>
        <w:tc>
          <w:tcPr>
            <w:tcW w:w="624" w:type="dxa"/>
            <w:tcBorders>
              <w:top w:val="nil"/>
              <w:left w:val="nil"/>
              <w:bottom w:val="nil"/>
              <w:right w:val="nil"/>
            </w:tcBorders>
            <w:shd w:val="clear" w:color="auto" w:fill="auto"/>
          </w:tcPr>
          <w:p w:rsidR="003348F4" w:rsidRDefault="003348F4" w:rsidP="00595D93">
            <w:pPr>
              <w:pStyle w:val="TableText"/>
              <w:rPr>
                <w:sz w:val="24"/>
                <w:szCs w:val="24"/>
                <w:rtl/>
              </w:rPr>
            </w:pPr>
          </w:p>
        </w:tc>
        <w:tc>
          <w:tcPr>
            <w:tcW w:w="7143" w:type="dxa"/>
            <w:gridSpan w:val="2"/>
            <w:tcBorders>
              <w:top w:val="nil"/>
              <w:left w:val="nil"/>
              <w:bottom w:val="nil"/>
              <w:right w:val="nil"/>
            </w:tcBorders>
            <w:shd w:val="clear" w:color="auto" w:fill="auto"/>
          </w:tcPr>
          <w:p w:rsidR="003348F4" w:rsidRPr="00A91C5A" w:rsidRDefault="00581423" w:rsidP="00A91C5A">
            <w:pPr>
              <w:pStyle w:val="TableBlock"/>
              <w:rPr>
                <w:sz w:val="26"/>
                <w:rtl/>
              </w:rPr>
            </w:pPr>
            <w:r w:rsidRPr="00A91C5A">
              <w:rPr>
                <w:sz w:val="26"/>
                <w:rtl/>
              </w:rPr>
              <w:t>תק</w:t>
            </w:r>
            <w:r w:rsidR="00A91C5A">
              <w:rPr>
                <w:sz w:val="26"/>
                <w:rtl/>
              </w:rPr>
              <w:t>נות אלה יחולו בכפוף לכך שנוהל</w:t>
            </w:r>
            <w:r w:rsidR="00A91C5A">
              <w:rPr>
                <w:rFonts w:hint="cs"/>
                <w:sz w:val="26"/>
                <w:rtl/>
              </w:rPr>
              <w:t xml:space="preserve"> </w:t>
            </w:r>
            <w:r w:rsidR="00A91C5A" w:rsidRPr="00A91C5A">
              <w:rPr>
                <w:rFonts w:hint="cs"/>
                <w:sz w:val="26"/>
                <w:rtl/>
              </w:rPr>
              <w:t>יבוא מזון רגיש 05-001</w:t>
            </w:r>
            <w:r w:rsidR="00A91C5A">
              <w:rPr>
                <w:rFonts w:hint="cs"/>
                <w:sz w:val="26"/>
                <w:rtl/>
              </w:rPr>
              <w:t xml:space="preserve"> </w:t>
            </w:r>
            <w:r w:rsidRPr="00A91C5A">
              <w:rPr>
                <w:sz w:val="26"/>
                <w:rtl/>
              </w:rPr>
              <w:t>יהיה בתוקף מכוח סעיף 321(ו) לחוק</w:t>
            </w:r>
            <w:r w:rsidR="00A91C5A">
              <w:rPr>
                <w:rFonts w:hint="cs"/>
                <w:sz w:val="26"/>
                <w:rtl/>
              </w:rPr>
              <w:t>.</w:t>
            </w:r>
          </w:p>
        </w:tc>
      </w:tr>
    </w:tbl>
    <w:p w:rsidR="00612BF0" w:rsidRDefault="00612BF0" w:rsidP="00722C14"/>
    <w:p w:rsidR="00612BF0" w:rsidRDefault="00612BF0" w:rsidP="00722C14">
      <w:pPr>
        <w:rPr>
          <w:rtl/>
        </w:rPr>
      </w:pPr>
    </w:p>
    <w:p w:rsidR="00612BF0" w:rsidRPr="00BC2C58" w:rsidRDefault="00612BF0" w:rsidP="003348F4">
      <w:pPr>
        <w:rPr>
          <w:rFonts w:ascii="Arial" w:eastAsia="Arial Unicode MS" w:hAnsi="Arial"/>
          <w:snapToGrid w:val="0"/>
          <w:sz w:val="26"/>
          <w:szCs w:val="26"/>
          <w:rtl/>
        </w:rPr>
      </w:pPr>
      <w:r w:rsidRPr="00BC2C58">
        <w:rPr>
          <w:rFonts w:ascii="Arial" w:eastAsia="Arial Unicode MS" w:hAnsi="Arial" w:hint="cs"/>
          <w:snapToGrid w:val="0"/>
          <w:sz w:val="26"/>
          <w:szCs w:val="26"/>
          <w:rtl/>
        </w:rPr>
        <w:t xml:space="preserve">___ ב________ </w:t>
      </w:r>
      <w:proofErr w:type="spellStart"/>
      <w:r w:rsidRPr="00BC2C58">
        <w:rPr>
          <w:rFonts w:ascii="Arial" w:eastAsia="Arial Unicode MS" w:hAnsi="Arial" w:hint="cs"/>
          <w:snapToGrid w:val="0"/>
          <w:sz w:val="26"/>
          <w:szCs w:val="26"/>
          <w:rtl/>
        </w:rPr>
        <w:t>התש</w:t>
      </w:r>
      <w:r w:rsidR="003348F4" w:rsidRPr="00BC2C58">
        <w:rPr>
          <w:rFonts w:ascii="Arial" w:eastAsia="Arial Unicode MS" w:hAnsi="Arial" w:hint="cs"/>
          <w:snapToGrid w:val="0"/>
          <w:sz w:val="26"/>
          <w:szCs w:val="26"/>
          <w:rtl/>
        </w:rPr>
        <w:t>"ף</w:t>
      </w:r>
      <w:proofErr w:type="spellEnd"/>
      <w:r w:rsidRPr="00BC2C58">
        <w:rPr>
          <w:rFonts w:ascii="Arial" w:eastAsia="Arial Unicode MS" w:hAnsi="Arial" w:hint="cs"/>
          <w:snapToGrid w:val="0"/>
          <w:sz w:val="26"/>
          <w:szCs w:val="26"/>
          <w:rtl/>
        </w:rPr>
        <w:t xml:space="preserve"> (___ ב________ 20</w:t>
      </w:r>
      <w:r w:rsidR="003348F4" w:rsidRPr="00BC2C58">
        <w:rPr>
          <w:rFonts w:ascii="Arial" w:eastAsia="Arial Unicode MS" w:hAnsi="Arial" w:hint="cs"/>
          <w:snapToGrid w:val="0"/>
          <w:sz w:val="26"/>
          <w:szCs w:val="26"/>
          <w:rtl/>
        </w:rPr>
        <w:t>19</w:t>
      </w:r>
      <w:r w:rsidRPr="00BC2C58">
        <w:rPr>
          <w:rFonts w:ascii="Arial" w:eastAsia="Arial Unicode MS" w:hAnsi="Arial" w:hint="cs"/>
          <w:snapToGrid w:val="0"/>
          <w:sz w:val="26"/>
          <w:szCs w:val="26"/>
          <w:rtl/>
        </w:rPr>
        <w:t>)</w:t>
      </w:r>
    </w:p>
    <w:p w:rsidR="00612BF0" w:rsidRPr="00BC2C58" w:rsidRDefault="00612BF0" w:rsidP="00722C14">
      <w:pPr>
        <w:rPr>
          <w:rFonts w:ascii="Arial" w:eastAsia="Arial Unicode MS" w:hAnsi="Arial"/>
          <w:snapToGrid w:val="0"/>
          <w:sz w:val="26"/>
          <w:szCs w:val="26"/>
          <w:rtl/>
        </w:rPr>
      </w:pPr>
      <w:r w:rsidRPr="00BC2C58">
        <w:rPr>
          <w:rFonts w:ascii="Arial" w:eastAsia="Arial Unicode MS" w:hAnsi="Arial" w:hint="cs"/>
          <w:snapToGrid w:val="0"/>
          <w:sz w:val="26"/>
          <w:szCs w:val="26"/>
          <w:rtl/>
        </w:rPr>
        <w:t>(</w:t>
      </w:r>
      <w:proofErr w:type="spellStart"/>
      <w:r w:rsidRPr="00BC2C58">
        <w:rPr>
          <w:rFonts w:ascii="Arial" w:eastAsia="Arial Unicode MS" w:hAnsi="Arial" w:hint="cs"/>
          <w:snapToGrid w:val="0"/>
          <w:sz w:val="26"/>
          <w:szCs w:val="26"/>
          <w:rtl/>
        </w:rPr>
        <w:t>חמ</w:t>
      </w:r>
      <w:proofErr w:type="spellEnd"/>
      <w:r w:rsidRPr="00BC2C58">
        <w:rPr>
          <w:rFonts w:ascii="Arial" w:eastAsia="Arial Unicode MS" w:hAnsi="Arial" w:hint="cs"/>
          <w:snapToGrid w:val="0"/>
          <w:sz w:val="26"/>
          <w:szCs w:val="26"/>
          <w:rtl/>
        </w:rPr>
        <w:t xml:space="preserve"> _____-3)</w:t>
      </w:r>
    </w:p>
    <w:p w:rsidR="00612BF0" w:rsidRPr="00BC2C58" w:rsidRDefault="00612BF0" w:rsidP="00722C14">
      <w:pPr>
        <w:rPr>
          <w:rFonts w:ascii="Arial" w:eastAsia="Arial Unicode MS" w:hAnsi="Arial"/>
          <w:snapToGrid w:val="0"/>
          <w:sz w:val="26"/>
          <w:szCs w:val="26"/>
          <w:rtl/>
        </w:rPr>
      </w:pPr>
    </w:p>
    <w:p w:rsidR="00612BF0" w:rsidRPr="00BC2C58" w:rsidRDefault="003348F4" w:rsidP="00722C14">
      <w:pPr>
        <w:ind w:left="5760"/>
        <w:jc w:val="center"/>
        <w:rPr>
          <w:rFonts w:ascii="Arial" w:eastAsia="Arial Unicode MS" w:hAnsi="Arial"/>
          <w:snapToGrid w:val="0"/>
          <w:sz w:val="26"/>
          <w:szCs w:val="26"/>
          <w:rtl/>
        </w:rPr>
      </w:pPr>
      <w:r w:rsidRPr="00BC2C58">
        <w:rPr>
          <w:rFonts w:ascii="Arial" w:eastAsia="Arial Unicode MS" w:hAnsi="Arial" w:hint="cs"/>
          <w:snapToGrid w:val="0"/>
          <w:sz w:val="26"/>
          <w:szCs w:val="26"/>
          <w:rtl/>
        </w:rPr>
        <w:t>__________________</w:t>
      </w:r>
    </w:p>
    <w:p w:rsidR="00612BF0" w:rsidRPr="00BC2C58" w:rsidRDefault="003348F4" w:rsidP="00672D63">
      <w:pPr>
        <w:ind w:left="5760"/>
        <w:jc w:val="center"/>
        <w:rPr>
          <w:rFonts w:ascii="Arial" w:eastAsia="Arial Unicode MS" w:hAnsi="Arial"/>
          <w:snapToGrid w:val="0"/>
          <w:sz w:val="26"/>
          <w:szCs w:val="26"/>
          <w:rtl/>
        </w:rPr>
      </w:pPr>
      <w:r w:rsidRPr="00BC2C58">
        <w:rPr>
          <w:rFonts w:ascii="Arial" w:eastAsia="Arial Unicode MS" w:hAnsi="Arial" w:hint="cs"/>
          <w:snapToGrid w:val="0"/>
          <w:sz w:val="26"/>
          <w:szCs w:val="26"/>
          <w:rtl/>
        </w:rPr>
        <w:t>בנימין נתניה</w:t>
      </w:r>
      <w:r w:rsidR="00672D63" w:rsidRPr="00BC2C58">
        <w:rPr>
          <w:rFonts w:ascii="Arial" w:eastAsia="Arial Unicode MS" w:hAnsi="Arial" w:hint="cs"/>
          <w:snapToGrid w:val="0"/>
          <w:sz w:val="26"/>
          <w:szCs w:val="26"/>
          <w:rtl/>
        </w:rPr>
        <w:t>ו</w:t>
      </w:r>
    </w:p>
    <w:p w:rsidR="00612BF0" w:rsidRPr="00BC2C58" w:rsidRDefault="003348F4" w:rsidP="00722C14">
      <w:pPr>
        <w:ind w:left="5760"/>
        <w:jc w:val="center"/>
        <w:rPr>
          <w:rFonts w:ascii="Arial" w:eastAsia="Arial Unicode MS" w:hAnsi="Arial"/>
          <w:snapToGrid w:val="0"/>
          <w:sz w:val="26"/>
          <w:szCs w:val="26"/>
          <w:rtl/>
        </w:rPr>
      </w:pPr>
      <w:r w:rsidRPr="00BC2C58">
        <w:rPr>
          <w:rFonts w:ascii="Arial" w:eastAsia="Arial Unicode MS" w:hAnsi="Arial" w:hint="cs"/>
          <w:snapToGrid w:val="0"/>
          <w:sz w:val="26"/>
          <w:szCs w:val="26"/>
          <w:rtl/>
        </w:rPr>
        <w:t>ראש הממשלה ושר הבריאות</w:t>
      </w:r>
    </w:p>
    <w:p w:rsidR="00612BF0" w:rsidRPr="00BC2C58" w:rsidRDefault="00612BF0" w:rsidP="00722C14">
      <w:pPr>
        <w:rPr>
          <w:rFonts w:ascii="Arial" w:eastAsia="Arial Unicode MS" w:hAnsi="Arial"/>
          <w:snapToGrid w:val="0"/>
          <w:sz w:val="26"/>
          <w:szCs w:val="26"/>
          <w:rtl/>
        </w:rPr>
      </w:pPr>
    </w:p>
    <w:p w:rsidR="00612BF0" w:rsidRPr="00BC2C58" w:rsidRDefault="00612BF0" w:rsidP="00722C14">
      <w:pPr>
        <w:pStyle w:val="HeadDivreiHesber"/>
        <w:rPr>
          <w:b w:val="0"/>
          <w:spacing w:val="0"/>
          <w:sz w:val="26"/>
          <w:rtl/>
        </w:rPr>
      </w:pPr>
      <w:r w:rsidRPr="00BC2C58">
        <w:rPr>
          <w:b w:val="0"/>
          <w:spacing w:val="0"/>
          <w:sz w:val="26"/>
          <w:rtl/>
        </w:rPr>
        <w:t>דברי הסבר</w:t>
      </w:r>
    </w:p>
    <w:p w:rsidR="00E47FAD" w:rsidRDefault="00E47FAD" w:rsidP="00E47FAD">
      <w:pPr>
        <w:pStyle w:val="Hesber1st"/>
        <w:rPr>
          <w:rtl/>
        </w:rPr>
      </w:pPr>
      <w:r w:rsidRPr="00E47FAD">
        <w:rPr>
          <w:rFonts w:hint="cs"/>
          <w:rtl/>
        </w:rPr>
        <w:t xml:space="preserve">בשלוש השנים שעברו מאז כניסתו לתוקף של חוק הגנה על בריאות הציבור (מזון), </w:t>
      </w:r>
      <w:proofErr w:type="spellStart"/>
      <w:r w:rsidRPr="00E47FAD">
        <w:rPr>
          <w:rFonts w:hint="cs"/>
          <w:rtl/>
        </w:rPr>
        <w:t>התשע"ו</w:t>
      </w:r>
      <w:proofErr w:type="spellEnd"/>
      <w:r w:rsidRPr="00E47FAD">
        <w:rPr>
          <w:rFonts w:hint="cs"/>
          <w:rtl/>
        </w:rPr>
        <w:t xml:space="preserve"> – 2015</w:t>
      </w:r>
      <w:r w:rsidR="00C80AE6">
        <w:rPr>
          <w:rFonts w:hint="cs"/>
          <w:rtl/>
        </w:rPr>
        <w:t xml:space="preserve"> (להלן </w:t>
      </w:r>
      <w:r w:rsidR="00C80AE6">
        <w:rPr>
          <w:rtl/>
        </w:rPr>
        <w:t>–</w:t>
      </w:r>
      <w:r w:rsidR="00C80AE6">
        <w:rPr>
          <w:rFonts w:hint="cs"/>
          <w:rtl/>
        </w:rPr>
        <w:t xml:space="preserve"> החוק)</w:t>
      </w:r>
      <w:r w:rsidRPr="00E47FAD">
        <w:rPr>
          <w:rFonts w:hint="cs"/>
          <w:rtl/>
        </w:rPr>
        <w:t xml:space="preserve">, פועל משרד הבריאות במספר מישורים ליישום </w:t>
      </w:r>
      <w:r>
        <w:rPr>
          <w:rFonts w:hint="cs"/>
          <w:rtl/>
        </w:rPr>
        <w:t xml:space="preserve">הוראות החוק וקיום </w:t>
      </w:r>
      <w:r w:rsidRPr="00E47FAD">
        <w:rPr>
          <w:rFonts w:hint="cs"/>
          <w:rtl/>
        </w:rPr>
        <w:t>מטרות</w:t>
      </w:r>
      <w:r>
        <w:rPr>
          <w:rFonts w:hint="cs"/>
          <w:rtl/>
        </w:rPr>
        <w:t>יו, וביניהם הכרזה בדבר מזון רגיש לפי סעיף 59 לחו</w:t>
      </w:r>
      <w:r w:rsidR="00D20C8E">
        <w:rPr>
          <w:rFonts w:hint="cs"/>
          <w:rtl/>
        </w:rPr>
        <w:t>ק</w:t>
      </w:r>
      <w:r w:rsidR="00C142D4">
        <w:rPr>
          <w:rFonts w:hint="cs"/>
          <w:rtl/>
        </w:rPr>
        <w:t>,</w:t>
      </w:r>
      <w:r w:rsidR="00631466">
        <w:rPr>
          <w:rFonts w:hint="cs"/>
          <w:rtl/>
        </w:rPr>
        <w:t xml:space="preserve"> </w:t>
      </w:r>
      <w:r w:rsidR="00D20C8E">
        <w:rPr>
          <w:rFonts w:hint="cs"/>
          <w:rtl/>
        </w:rPr>
        <w:t>והמשך פיתוח המערכת הממוחשבת התומכת בתהליכי</w:t>
      </w:r>
      <w:r w:rsidR="007B43ED">
        <w:rPr>
          <w:rFonts w:hint="cs"/>
          <w:rtl/>
        </w:rPr>
        <w:t xml:space="preserve"> הפיקוח על </w:t>
      </w:r>
      <w:r w:rsidR="00D20C8E">
        <w:rPr>
          <w:rFonts w:hint="cs"/>
          <w:rtl/>
        </w:rPr>
        <w:t xml:space="preserve"> היבוא.</w:t>
      </w:r>
    </w:p>
    <w:p w:rsidR="007B43ED" w:rsidRDefault="007B43ED" w:rsidP="00C80AE6">
      <w:pPr>
        <w:pStyle w:val="Hesber1st"/>
        <w:rPr>
          <w:rtl/>
        </w:rPr>
      </w:pPr>
    </w:p>
    <w:p w:rsidR="00C142D4" w:rsidRDefault="00631466" w:rsidP="00C80AE6">
      <w:pPr>
        <w:pStyle w:val="Hesber1st"/>
        <w:rPr>
          <w:rtl/>
        </w:rPr>
      </w:pPr>
      <w:r>
        <w:rPr>
          <w:rFonts w:hint="cs"/>
          <w:rtl/>
        </w:rPr>
        <w:t xml:space="preserve">מטרת התקנות המוצעות לשנות את דרכי הבדיקה בתחנות ההסגר </w:t>
      </w:r>
      <w:r w:rsidR="002C2CBF">
        <w:rPr>
          <w:rFonts w:hint="cs"/>
          <w:rtl/>
        </w:rPr>
        <w:t>ש</w:t>
      </w:r>
      <w:r>
        <w:rPr>
          <w:rFonts w:hint="cs"/>
          <w:rtl/>
        </w:rPr>
        <w:t>ל</w:t>
      </w:r>
      <w:r w:rsidR="002C2CBF">
        <w:rPr>
          <w:rFonts w:hint="cs"/>
          <w:rtl/>
        </w:rPr>
        <w:t xml:space="preserve"> </w:t>
      </w:r>
      <w:r>
        <w:rPr>
          <w:rFonts w:hint="cs"/>
          <w:rtl/>
        </w:rPr>
        <w:t xml:space="preserve">מזון רגיש </w:t>
      </w:r>
      <w:r w:rsidR="002C2CBF">
        <w:rPr>
          <w:rFonts w:hint="cs"/>
          <w:rtl/>
        </w:rPr>
        <w:t>בכלל ו</w:t>
      </w:r>
      <w:r>
        <w:rPr>
          <w:rFonts w:hint="cs"/>
          <w:rtl/>
        </w:rPr>
        <w:t xml:space="preserve">מוצרי חלב בפרט </w:t>
      </w:r>
      <w:r w:rsidR="00C80AE6">
        <w:rPr>
          <w:rFonts w:hint="cs"/>
          <w:rtl/>
        </w:rPr>
        <w:t>כפי שנקבעו</w:t>
      </w:r>
      <w:r>
        <w:rPr>
          <w:rFonts w:hint="cs"/>
          <w:rtl/>
        </w:rPr>
        <w:t xml:space="preserve"> </w:t>
      </w:r>
      <w:r w:rsidR="00C80AE6">
        <w:rPr>
          <w:rFonts w:hint="cs"/>
          <w:rtl/>
        </w:rPr>
        <w:t>ב</w:t>
      </w:r>
      <w:r>
        <w:rPr>
          <w:rFonts w:hint="cs"/>
          <w:rtl/>
        </w:rPr>
        <w:t xml:space="preserve">נוהל </w:t>
      </w:r>
      <w:r w:rsidR="00C142D4">
        <w:rPr>
          <w:rFonts w:hint="cs"/>
          <w:rtl/>
        </w:rPr>
        <w:t>"</w:t>
      </w:r>
      <w:r w:rsidR="00C142D4" w:rsidRPr="00C142D4">
        <w:rPr>
          <w:rFonts w:hint="cs"/>
          <w:rtl/>
        </w:rPr>
        <w:t>יבוא מזון: הנפקת אישור מוקדם ליבוא מזון רגיש ושחרורו"</w:t>
      </w:r>
      <w:r w:rsidR="00C142D4">
        <w:rPr>
          <w:rFonts w:hint="cs"/>
          <w:rtl/>
        </w:rPr>
        <w:t xml:space="preserve"> מספר 05-001, ש</w:t>
      </w:r>
      <w:r w:rsidR="00C142D4" w:rsidRPr="00C142D4">
        <w:rPr>
          <w:rFonts w:hint="cs"/>
          <w:rtl/>
        </w:rPr>
        <w:t>פורסם באתר המרשתת (אינטרנט) של משרד הבריאות</w:t>
      </w:r>
      <w:r w:rsidR="00C142D4">
        <w:rPr>
          <w:rFonts w:hint="cs"/>
          <w:rtl/>
        </w:rPr>
        <w:t xml:space="preserve"> </w:t>
      </w:r>
      <w:r w:rsidR="002C2CBF">
        <w:rPr>
          <w:rFonts w:hint="cs"/>
          <w:rtl/>
        </w:rPr>
        <w:t>ערב תחילת החוק, ו</w:t>
      </w:r>
      <w:r w:rsidR="00C142D4">
        <w:rPr>
          <w:rFonts w:hint="cs"/>
          <w:rtl/>
        </w:rPr>
        <w:t xml:space="preserve">קבל מעמד מכוח סעיף 321(ו) לחוק; התיקון המוצע עתיד להפחית את תדירות </w:t>
      </w:r>
      <w:r w:rsidR="00C142D4" w:rsidRPr="00C142D4">
        <w:rPr>
          <w:rFonts w:hint="cs"/>
          <w:rtl/>
        </w:rPr>
        <w:t>בדיקות המעבדה בישראל של מזון רגיש</w:t>
      </w:r>
      <w:r w:rsidR="00C80AE6">
        <w:rPr>
          <w:rFonts w:hint="cs"/>
          <w:rtl/>
        </w:rPr>
        <w:t xml:space="preserve"> מפעם ב </w:t>
      </w:r>
      <w:r w:rsidR="00C80AE6">
        <w:rPr>
          <w:rtl/>
        </w:rPr>
        <w:t>–</w:t>
      </w:r>
      <w:r w:rsidR="00C80AE6">
        <w:rPr>
          <w:rFonts w:hint="cs"/>
          <w:rtl/>
        </w:rPr>
        <w:t xml:space="preserve"> 3 חודשים לפעם ב </w:t>
      </w:r>
      <w:r w:rsidR="00C80AE6">
        <w:rPr>
          <w:rtl/>
        </w:rPr>
        <w:t>–</w:t>
      </w:r>
      <w:r w:rsidR="00C80AE6">
        <w:rPr>
          <w:rFonts w:hint="cs"/>
          <w:rtl/>
        </w:rPr>
        <w:t xml:space="preserve"> 6 חודשים</w:t>
      </w:r>
      <w:r w:rsidR="00C142D4">
        <w:rPr>
          <w:rFonts w:hint="cs"/>
          <w:rtl/>
        </w:rPr>
        <w:t>.</w:t>
      </w:r>
    </w:p>
    <w:p w:rsidR="00C142D4" w:rsidRDefault="00C142D4" w:rsidP="00C142D4">
      <w:pPr>
        <w:pStyle w:val="Hesber1st"/>
        <w:rPr>
          <w:rtl/>
        </w:rPr>
      </w:pPr>
    </w:p>
    <w:p w:rsidR="00C142D4" w:rsidRPr="00E47FAD" w:rsidRDefault="00C80AE6" w:rsidP="00C80AE6">
      <w:pPr>
        <w:pStyle w:val="Hesber1st"/>
      </w:pPr>
      <w:r>
        <w:rPr>
          <w:rFonts w:hint="cs"/>
          <w:rtl/>
        </w:rPr>
        <w:lastRenderedPageBreak/>
        <w:t xml:space="preserve">בנוסף, </w:t>
      </w:r>
      <w:r w:rsidR="00C142D4">
        <w:rPr>
          <w:rFonts w:hint="cs"/>
          <w:rtl/>
        </w:rPr>
        <w:t xml:space="preserve">שדרוג של המערכת הממוחשבת התומכת בתהליכי </w:t>
      </w:r>
      <w:r w:rsidR="002C2CBF">
        <w:rPr>
          <w:rFonts w:hint="cs"/>
          <w:rtl/>
        </w:rPr>
        <w:t xml:space="preserve">הפיקוח על </w:t>
      </w:r>
      <w:r w:rsidR="00C142D4">
        <w:rPr>
          <w:rFonts w:hint="cs"/>
          <w:rtl/>
        </w:rPr>
        <w:t xml:space="preserve">היבוא מאפשר </w:t>
      </w:r>
      <w:r w:rsidR="002C2CBF">
        <w:rPr>
          <w:rFonts w:hint="cs"/>
          <w:rtl/>
        </w:rPr>
        <w:t xml:space="preserve">כיום </w:t>
      </w:r>
      <w:r w:rsidR="00C142D4">
        <w:rPr>
          <w:rFonts w:hint="cs"/>
          <w:rtl/>
        </w:rPr>
        <w:t>ליישם שיטות דיגום חדשות למזון המיובא</w:t>
      </w:r>
      <w:r w:rsidR="00F27A0B">
        <w:rPr>
          <w:rFonts w:hint="cs"/>
          <w:rtl/>
        </w:rPr>
        <w:t xml:space="preserve">. לפיכך, לצד הפחתת תדירות הדיגום של מזון רגיש מפעם ב </w:t>
      </w:r>
      <w:r w:rsidR="00F27A0B">
        <w:rPr>
          <w:rtl/>
        </w:rPr>
        <w:t>–</w:t>
      </w:r>
      <w:r w:rsidR="00F27A0B">
        <w:rPr>
          <w:rFonts w:hint="cs"/>
          <w:rtl/>
        </w:rPr>
        <w:t xml:space="preserve"> 3 חודשים לפעם ב </w:t>
      </w:r>
      <w:r w:rsidR="00F27A0B">
        <w:rPr>
          <w:rtl/>
        </w:rPr>
        <w:t>–</w:t>
      </w:r>
      <w:r w:rsidR="00F27A0B">
        <w:rPr>
          <w:rFonts w:hint="cs"/>
          <w:rtl/>
        </w:rPr>
        <w:t xml:space="preserve"> 6 חודשים, מוצע לשנות </w:t>
      </w:r>
      <w:r w:rsidR="002C2CBF">
        <w:rPr>
          <w:rFonts w:hint="cs"/>
          <w:rtl/>
        </w:rPr>
        <w:t xml:space="preserve">גם </w:t>
      </w:r>
      <w:r w:rsidR="00F27A0B">
        <w:rPr>
          <w:rFonts w:hint="cs"/>
          <w:rtl/>
        </w:rPr>
        <w:t xml:space="preserve">את הפיקוח על מוצרי חלב המאופיינים ברובם בחיי מדף קצרים יחסית, </w:t>
      </w:r>
      <w:r w:rsidR="002C2CBF">
        <w:rPr>
          <w:rFonts w:hint="cs"/>
          <w:rtl/>
        </w:rPr>
        <w:t xml:space="preserve">לדיגום של </w:t>
      </w:r>
      <w:r>
        <w:rPr>
          <w:rFonts w:hint="cs"/>
          <w:rtl/>
        </w:rPr>
        <w:t xml:space="preserve">המשלוח, כך </w:t>
      </w:r>
      <w:r w:rsidRPr="00C80AE6">
        <w:rPr>
          <w:rFonts w:hint="cs"/>
          <w:rtl/>
        </w:rPr>
        <w:t xml:space="preserve">ששיעור הדיגום הכולל בכל רגע נתון יעמוד בממוצע </w:t>
      </w:r>
      <w:r w:rsidRPr="00C80AE6">
        <w:rPr>
          <w:rtl/>
        </w:rPr>
        <w:t>על 2</w:t>
      </w:r>
      <w:r w:rsidRPr="00C80AE6">
        <w:rPr>
          <w:rFonts w:hint="cs"/>
          <w:rtl/>
        </w:rPr>
        <w:t>2</w:t>
      </w:r>
      <w:r w:rsidRPr="00C80AE6">
        <w:rPr>
          <w:rtl/>
        </w:rPr>
        <w:t>% מ</w:t>
      </w:r>
      <w:r w:rsidRPr="00C80AE6">
        <w:rPr>
          <w:rFonts w:hint="cs"/>
          <w:rtl/>
        </w:rPr>
        <w:t>תוך כלל</w:t>
      </w:r>
      <w:r w:rsidRPr="00C80AE6">
        <w:rPr>
          <w:rtl/>
        </w:rPr>
        <w:t xml:space="preserve"> המשלוחים </w:t>
      </w:r>
      <w:r w:rsidRPr="00C80AE6">
        <w:rPr>
          <w:rFonts w:hint="cs"/>
          <w:rtl/>
        </w:rPr>
        <w:t xml:space="preserve">של מוצרי החלב של יבואן מסוים ב- 12 </w:t>
      </w:r>
      <w:r w:rsidR="00216F05">
        <w:rPr>
          <w:rFonts w:hint="cs"/>
          <w:rtl/>
        </w:rPr>
        <w:t>החודשים שקדמו למועד הגעת המשלוח.</w:t>
      </w:r>
    </w:p>
    <w:p w:rsidR="00612BF0" w:rsidRDefault="00612BF0" w:rsidP="00722C14">
      <w:pPr>
        <w:pStyle w:val="Hesber1st"/>
        <w:tabs>
          <w:tab w:val="clear" w:pos="680"/>
        </w:tabs>
        <w:rPr>
          <w:rtl/>
        </w:rPr>
      </w:pPr>
    </w:p>
    <w:p w:rsidR="007B43ED" w:rsidRDefault="007B43ED" w:rsidP="00722C14">
      <w:pPr>
        <w:pStyle w:val="Hesber1st"/>
        <w:tabs>
          <w:tab w:val="clear" w:pos="680"/>
        </w:tabs>
        <w:rPr>
          <w:rtl/>
        </w:rPr>
      </w:pPr>
      <w:r>
        <w:rPr>
          <w:rFonts w:hint="cs"/>
          <w:rtl/>
        </w:rPr>
        <w:t>שני שינויים אלה יאפשרו ליעל את מערך הפיקוח על מזון רגיש תוך שמירה על בריאות הציבור.</w:t>
      </w: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Default="005964F5" w:rsidP="00722C14">
      <w:pPr>
        <w:pStyle w:val="Hesber1st"/>
        <w:tabs>
          <w:tab w:val="clear" w:pos="680"/>
        </w:tabs>
        <w:rPr>
          <w:rtl/>
        </w:rPr>
      </w:pPr>
    </w:p>
    <w:p w:rsidR="005964F5" w:rsidRPr="005964F5" w:rsidRDefault="005964F5" w:rsidP="005964F5">
      <w:pPr>
        <w:autoSpaceDE w:val="0"/>
        <w:autoSpaceDN w:val="0"/>
        <w:adjustRightInd w:val="0"/>
        <w:snapToGrid w:val="0"/>
        <w:spacing w:before="240"/>
        <w:ind w:left="0"/>
        <w:contextualSpacing w:val="0"/>
        <w:jc w:val="center"/>
        <w:rPr>
          <w:rFonts w:ascii="Arial" w:eastAsia="Arial Unicode MS" w:hAnsi="Arial"/>
          <w:b/>
          <w:bCs/>
          <w:color w:val="000000"/>
          <w:u w:val="single"/>
          <w:lang w:eastAsia="ja-JP"/>
        </w:rPr>
      </w:pPr>
      <w:r w:rsidRPr="005964F5">
        <w:rPr>
          <w:rFonts w:ascii="Arial" w:eastAsia="Arial Unicode MS" w:hAnsi="Arial"/>
          <w:b/>
          <w:bCs/>
          <w:color w:val="000000"/>
          <w:rtl/>
          <w:lang w:eastAsia="ja-JP"/>
        </w:rPr>
        <w:t>התייחסות לדוח הערכת השפעת הרגולציה (</w:t>
      </w:r>
      <w:r w:rsidRPr="005964F5">
        <w:rPr>
          <w:rFonts w:ascii="Arial" w:eastAsia="Arial Unicode MS" w:hAnsi="Arial"/>
          <w:b/>
          <w:bCs/>
          <w:color w:val="000000"/>
          <w:lang w:eastAsia="ja-JP"/>
        </w:rPr>
        <w:t>RIA</w:t>
      </w:r>
      <w:r w:rsidRPr="005964F5">
        <w:rPr>
          <w:rFonts w:ascii="Arial" w:eastAsia="Arial Unicode MS" w:hAnsi="Arial"/>
          <w:b/>
          <w:bCs/>
          <w:color w:val="000000"/>
          <w:rtl/>
          <w:lang w:eastAsia="ja-JP"/>
        </w:rPr>
        <w:t>)</w:t>
      </w:r>
      <w:bookmarkStart w:id="0" w:name="_Hlk490826029"/>
      <w:r w:rsidRPr="005964F5">
        <w:rPr>
          <w:rFonts w:ascii="Arial" w:eastAsia="Arial Unicode MS" w:hAnsi="Arial"/>
          <w:b/>
          <w:bCs/>
          <w:color w:val="000000"/>
          <w:rtl/>
          <w:lang w:eastAsia="ja-JP"/>
        </w:rPr>
        <w:br/>
        <w:t xml:space="preserve">          לטיוטת תקנות הגנה על בריאות הציבור (מזון) (בדיקת משלוח של   </w:t>
      </w:r>
      <w:r w:rsidRPr="005964F5">
        <w:rPr>
          <w:rFonts w:ascii="Arial" w:eastAsia="Arial Unicode MS" w:hAnsi="Arial"/>
          <w:b/>
          <w:bCs/>
          <w:color w:val="000000"/>
          <w:rtl/>
          <w:lang w:eastAsia="ja-JP"/>
        </w:rPr>
        <w:br/>
        <w:t xml:space="preserve">          </w:t>
      </w:r>
      <w:r w:rsidRPr="005964F5">
        <w:rPr>
          <w:rFonts w:ascii="Arial" w:eastAsia="Arial Unicode MS" w:hAnsi="Arial"/>
          <w:b/>
          <w:bCs/>
          <w:color w:val="000000"/>
          <w:u w:val="single"/>
          <w:rtl/>
          <w:lang w:eastAsia="ja-JP"/>
        </w:rPr>
        <w:t xml:space="preserve">מזון רגיש), </w:t>
      </w:r>
      <w:proofErr w:type="spellStart"/>
      <w:r w:rsidRPr="005964F5">
        <w:rPr>
          <w:rFonts w:ascii="Arial" w:eastAsia="Arial Unicode MS" w:hAnsi="Arial"/>
          <w:b/>
          <w:bCs/>
          <w:color w:val="000000"/>
          <w:u w:val="single"/>
          <w:rtl/>
          <w:lang w:eastAsia="ja-JP"/>
        </w:rPr>
        <w:t>התש"ף</w:t>
      </w:r>
      <w:proofErr w:type="spellEnd"/>
      <w:r w:rsidRPr="005964F5">
        <w:rPr>
          <w:rFonts w:ascii="Arial" w:eastAsia="Arial Unicode MS" w:hAnsi="Arial"/>
          <w:b/>
          <w:bCs/>
          <w:color w:val="000000"/>
          <w:u w:val="single"/>
          <w:rtl/>
          <w:lang w:eastAsia="ja-JP"/>
        </w:rPr>
        <w:t xml:space="preserve"> – 2019</w:t>
      </w:r>
      <w:bookmarkEnd w:id="0"/>
    </w:p>
    <w:p w:rsidR="005964F5" w:rsidRPr="005964F5" w:rsidRDefault="005964F5" w:rsidP="005964F5">
      <w:pPr>
        <w:widowControl/>
        <w:ind w:left="0"/>
        <w:jc w:val="left"/>
        <w:rPr>
          <w:rFonts w:ascii="Calibri" w:eastAsia="Times New Roman" w:hAnsi="Calibri"/>
          <w:b/>
          <w:bCs/>
          <w:noProof/>
          <w:rtl/>
        </w:rPr>
      </w:pPr>
    </w:p>
    <w:p w:rsidR="005964F5" w:rsidRPr="005964F5" w:rsidRDefault="005964F5" w:rsidP="005964F5">
      <w:pPr>
        <w:widowControl/>
        <w:ind w:left="0"/>
        <w:jc w:val="left"/>
        <w:rPr>
          <w:rFonts w:ascii="Calibri" w:eastAsia="Times New Roman" w:hAnsi="Calibri"/>
          <w:noProof/>
          <w:rtl/>
        </w:rPr>
      </w:pPr>
      <w:r w:rsidRPr="005964F5">
        <w:rPr>
          <w:rFonts w:ascii="Calibri" w:eastAsia="Times New Roman" w:hAnsi="Calibri"/>
          <w:b/>
          <w:bCs/>
          <w:noProof/>
          <w:rtl/>
        </w:rPr>
        <w:t>כותבי הבקשה</w:t>
      </w:r>
      <w:r w:rsidRPr="005964F5">
        <w:rPr>
          <w:rFonts w:ascii="Calibri" w:eastAsia="Times New Roman" w:hAnsi="Calibri"/>
          <w:noProof/>
          <w:rtl/>
        </w:rPr>
        <w:t>: פנינה אורן שנידור, סגנית מנהל שירות המזון;  אלי גורדון, מנהל שירות המזון.</w:t>
      </w:r>
    </w:p>
    <w:p w:rsidR="005964F5" w:rsidRPr="005964F5" w:rsidRDefault="005964F5" w:rsidP="005964F5">
      <w:pPr>
        <w:widowControl/>
        <w:ind w:left="0"/>
        <w:jc w:val="left"/>
        <w:rPr>
          <w:rFonts w:ascii="Calibri" w:eastAsia="Times New Roman" w:hAnsi="Calibri"/>
          <w:noProof/>
          <w:rtl/>
        </w:rPr>
      </w:pPr>
      <w:r w:rsidRPr="005964F5">
        <w:rPr>
          <w:rFonts w:ascii="Calibri" w:eastAsia="Times New Roman" w:hAnsi="Calibri"/>
          <w:b/>
          <w:bCs/>
          <w:noProof/>
          <w:rtl/>
        </w:rPr>
        <w:t>גורם מקצועי מלווה</w:t>
      </w:r>
      <w:r w:rsidRPr="005964F5">
        <w:rPr>
          <w:rFonts w:ascii="Calibri" w:eastAsia="Times New Roman" w:hAnsi="Calibri"/>
          <w:noProof/>
          <w:rtl/>
        </w:rPr>
        <w:t>: אביחי שגב, יחידת מדיניות רגולציה.</w:t>
      </w:r>
    </w:p>
    <w:p w:rsidR="005964F5" w:rsidRPr="005964F5" w:rsidRDefault="005964F5" w:rsidP="005964F5">
      <w:pPr>
        <w:widowControl/>
        <w:ind w:left="0"/>
        <w:jc w:val="left"/>
        <w:rPr>
          <w:rFonts w:ascii="Calibri" w:eastAsia="Times New Roman" w:hAnsi="Calibri"/>
          <w:noProof/>
          <w:rtl/>
        </w:rPr>
      </w:pPr>
    </w:p>
    <w:p w:rsidR="005964F5" w:rsidRPr="005964F5" w:rsidRDefault="005964F5" w:rsidP="005964F5">
      <w:pPr>
        <w:widowControl/>
        <w:numPr>
          <w:ilvl w:val="0"/>
          <w:numId w:val="22"/>
        </w:numPr>
        <w:spacing w:after="160" w:line="256" w:lineRule="auto"/>
        <w:contextualSpacing w:val="0"/>
        <w:jc w:val="left"/>
        <w:rPr>
          <w:rFonts w:eastAsia="Calibri"/>
          <w:b/>
          <w:bCs/>
          <w:u w:val="single"/>
          <w:rtl/>
        </w:rPr>
      </w:pPr>
      <w:r w:rsidRPr="005964F5">
        <w:rPr>
          <w:rFonts w:eastAsia="Calibri"/>
          <w:b/>
          <w:bCs/>
          <w:u w:val="single"/>
          <w:rtl/>
        </w:rPr>
        <w:t>הרקע -  זיהוי הבעיה</w:t>
      </w:r>
    </w:p>
    <w:p w:rsidR="005964F5" w:rsidRPr="005964F5" w:rsidRDefault="005964F5" w:rsidP="005964F5">
      <w:pPr>
        <w:widowControl/>
        <w:spacing w:after="160"/>
        <w:ind w:left="368"/>
        <w:contextualSpacing w:val="0"/>
        <w:rPr>
          <w:rFonts w:ascii="Calibri" w:eastAsia="Calibri" w:hAnsi="Calibri"/>
          <w:snapToGrid w:val="0"/>
          <w:rtl/>
        </w:rPr>
      </w:pPr>
      <w:r w:rsidRPr="005964F5">
        <w:rPr>
          <w:rFonts w:ascii="Calibri" w:eastAsia="Calibri" w:hAnsi="Calibri"/>
          <w:snapToGrid w:val="0"/>
          <w:rtl/>
        </w:rPr>
        <w:t>הפיקוח על שחרור משלוחי מזון רגיש מעוגן בנוהל "יבוא מזון: הנפקת אישור מוקדם ליבוא מזון רגיש ושחרורו 05-001", (להלן- הנוהל), אשר פורסם באתר האינטרנט של משרד הבריאות ערב תחילת חוק הגנה על בריאות הציבור (מזון), התשע"ו-2015, (להלן-החוק), ועל כן קבל מעמד מכוח סעיף 321(ו) לחוק, עד להתקנת תקנות שיחליפו אותו או עד תום שלוש שנים מיום תחילת החוק, לפי המוקדם.</w:t>
      </w:r>
    </w:p>
    <w:p w:rsidR="005964F5" w:rsidRPr="005964F5" w:rsidRDefault="005964F5" w:rsidP="005964F5">
      <w:pPr>
        <w:widowControl/>
        <w:spacing w:after="160"/>
        <w:ind w:left="368"/>
        <w:contextualSpacing w:val="0"/>
        <w:rPr>
          <w:rFonts w:ascii="Calibri" w:eastAsia="Calibri" w:hAnsi="Calibri"/>
          <w:snapToGrid w:val="0"/>
          <w:rtl/>
        </w:rPr>
      </w:pPr>
      <w:r w:rsidRPr="005964F5">
        <w:rPr>
          <w:rFonts w:ascii="Calibri" w:eastAsia="Calibri" w:hAnsi="Calibri"/>
          <w:snapToGrid w:val="0"/>
          <w:rtl/>
        </w:rPr>
        <w:t xml:space="preserve">בנוהל נקבע, בין היתר, שתדירות הדיגום של מזון רגיש מסוים למעט מזון ייעודי, מזון לתינוקות, פירות וירקות תיעשה אחת לשלושה חודשים, בתנאי שממצאי בדיקה קודמים היו תקינים. </w:t>
      </w:r>
    </w:p>
    <w:p w:rsidR="005964F5" w:rsidRPr="005964F5" w:rsidRDefault="005964F5" w:rsidP="005964F5">
      <w:pPr>
        <w:widowControl/>
        <w:ind w:left="368"/>
        <w:contextualSpacing w:val="0"/>
        <w:rPr>
          <w:rFonts w:ascii="Calibri" w:eastAsia="Calibri" w:hAnsi="Calibri"/>
          <w:snapToGrid w:val="0"/>
          <w:rtl/>
        </w:rPr>
      </w:pPr>
      <w:r w:rsidRPr="005964F5">
        <w:rPr>
          <w:rFonts w:ascii="Calibri" w:eastAsia="Calibri" w:hAnsi="Calibri"/>
          <w:snapToGrid w:val="0"/>
          <w:rtl/>
        </w:rPr>
        <w:t>תדירות הדיגום שנקבעה בנוהל, על רקע עליה ביבוא של מזון בכלל ובפרט מזון רגיש, גורמת לאי עמידה בזמני תגובה של המפקחים בתחנת ההסגר, עיכובים והשהיות בשחרור משלוחים מהנמל, באופן שעלול להשפיע על איכות ותקינות המוצר, לקיצור חיי מדף של מוצרים דבר העלול בין היתר להוביל לייקור המחיר לצרכן.</w:t>
      </w:r>
    </w:p>
    <w:p w:rsidR="005964F5" w:rsidRPr="005964F5" w:rsidRDefault="005964F5" w:rsidP="005964F5">
      <w:pPr>
        <w:widowControl/>
        <w:spacing w:after="160"/>
        <w:ind w:left="368"/>
        <w:contextualSpacing w:val="0"/>
        <w:jc w:val="left"/>
        <w:rPr>
          <w:rFonts w:ascii="Calibri" w:eastAsia="Calibri" w:hAnsi="Calibri"/>
          <w:snapToGrid w:val="0"/>
          <w:rtl/>
        </w:rPr>
      </w:pPr>
    </w:p>
    <w:p w:rsidR="005964F5" w:rsidRPr="005964F5" w:rsidRDefault="005964F5" w:rsidP="005964F5">
      <w:pPr>
        <w:widowControl/>
        <w:numPr>
          <w:ilvl w:val="0"/>
          <w:numId w:val="22"/>
        </w:numPr>
        <w:spacing w:after="160" w:line="256" w:lineRule="auto"/>
        <w:contextualSpacing w:val="0"/>
        <w:jc w:val="left"/>
        <w:rPr>
          <w:rFonts w:eastAsia="Calibri"/>
          <w:b/>
          <w:bCs/>
          <w:u w:val="single"/>
          <w:rtl/>
        </w:rPr>
      </w:pPr>
      <w:r w:rsidRPr="005964F5">
        <w:rPr>
          <w:rFonts w:eastAsia="Calibri"/>
          <w:b/>
          <w:bCs/>
          <w:u w:val="single"/>
          <w:rtl/>
        </w:rPr>
        <w:t xml:space="preserve">הצורך בהתקנת התקנות </w:t>
      </w:r>
    </w:p>
    <w:p w:rsidR="005964F5" w:rsidRPr="005964F5" w:rsidRDefault="005964F5" w:rsidP="005964F5">
      <w:pPr>
        <w:widowControl/>
        <w:spacing w:after="160"/>
        <w:ind w:left="368"/>
        <w:contextualSpacing w:val="0"/>
        <w:rPr>
          <w:rFonts w:ascii="Calibri" w:eastAsia="Calibri" w:hAnsi="Calibri"/>
          <w:snapToGrid w:val="0"/>
          <w:rtl/>
        </w:rPr>
      </w:pPr>
      <w:r w:rsidRPr="005964F5">
        <w:rPr>
          <w:rFonts w:ascii="Calibri" w:eastAsia="Calibri" w:hAnsi="Calibri"/>
          <w:snapToGrid w:val="0"/>
          <w:rtl/>
        </w:rPr>
        <w:t xml:space="preserve">נציין, שלמניעת העיכובים ומחשש לפגיעה באיכות ותקינות המוצר, הורה מנהל שירות המזון מתוקף סמכותו לפי סעיף 86(ב)(2) לחוק, במשך 4 פעמים ברציפות, כל פעם למשך 6 חודשים, על הפחתת תדירות הדיגום מאחת ל-3 חודשים לאחת ל – 6 חודשים. </w:t>
      </w:r>
    </w:p>
    <w:p w:rsidR="005964F5" w:rsidRPr="005964F5" w:rsidRDefault="005964F5" w:rsidP="005964F5">
      <w:pPr>
        <w:widowControl/>
        <w:spacing w:after="160"/>
        <w:ind w:left="368"/>
        <w:contextualSpacing w:val="0"/>
        <w:rPr>
          <w:rFonts w:ascii="Calibri" w:eastAsia="Calibri" w:hAnsi="Calibri"/>
          <w:snapToGrid w:val="0"/>
          <w:rtl/>
        </w:rPr>
      </w:pPr>
      <w:r w:rsidRPr="005964F5">
        <w:rPr>
          <w:rFonts w:ascii="Calibri" w:eastAsia="Calibri" w:hAnsi="Calibri"/>
          <w:snapToGrid w:val="0"/>
          <w:rtl/>
        </w:rPr>
        <w:t xml:space="preserve">הוראה זו תמה ביום 1.8.2019 ולא ניתנת להארכה נוספת. </w:t>
      </w:r>
    </w:p>
    <w:p w:rsidR="005964F5" w:rsidRPr="005964F5" w:rsidRDefault="005964F5" w:rsidP="005964F5">
      <w:pPr>
        <w:widowControl/>
        <w:spacing w:after="160"/>
        <w:ind w:left="368"/>
        <w:contextualSpacing w:val="0"/>
        <w:rPr>
          <w:rFonts w:ascii="Calibri" w:eastAsia="Calibri" w:hAnsi="Calibri"/>
          <w:snapToGrid w:val="0"/>
          <w:rtl/>
        </w:rPr>
      </w:pPr>
      <w:r w:rsidRPr="005964F5">
        <w:rPr>
          <w:rFonts w:ascii="Calibri" w:eastAsia="Calibri" w:hAnsi="Calibri"/>
          <w:snapToGrid w:val="0"/>
          <w:rtl/>
        </w:rPr>
        <w:t>לפיכך, כיום תדירות הדיגום של מזון רגיש עומדת על אחת לשלושה חודשים, דבר שגורם, כאמור לעיל, לאי עמידה בזמני התגובה, עיכובים והשהיה של שחרור משלוחים מהנמלים.</w:t>
      </w:r>
    </w:p>
    <w:p w:rsidR="005964F5" w:rsidRPr="005964F5" w:rsidRDefault="005964F5" w:rsidP="005964F5">
      <w:pPr>
        <w:widowControl/>
        <w:spacing w:after="160"/>
        <w:ind w:left="368"/>
        <w:contextualSpacing w:val="0"/>
        <w:rPr>
          <w:rFonts w:ascii="Calibri" w:eastAsia="Calibri" w:hAnsi="Calibri"/>
          <w:snapToGrid w:val="0"/>
          <w:rtl/>
        </w:rPr>
      </w:pPr>
      <w:r w:rsidRPr="005964F5">
        <w:rPr>
          <w:rFonts w:ascii="Calibri" w:eastAsia="Calibri" w:hAnsi="Calibri"/>
          <w:snapToGrid w:val="0"/>
          <w:rtl/>
        </w:rPr>
        <w:t xml:space="preserve">לאור האמור, משרדנו מבקש לקדם תקנות הגנה על בריאות הציבור (מזון) (בדיקת משלוח של מזון רגיש), </w:t>
      </w:r>
      <w:proofErr w:type="spellStart"/>
      <w:r w:rsidRPr="005964F5">
        <w:rPr>
          <w:rFonts w:ascii="Calibri" w:eastAsia="Calibri" w:hAnsi="Calibri"/>
          <w:snapToGrid w:val="0"/>
          <w:rtl/>
        </w:rPr>
        <w:t>התש"ף</w:t>
      </w:r>
      <w:proofErr w:type="spellEnd"/>
      <w:r w:rsidRPr="005964F5">
        <w:rPr>
          <w:rFonts w:ascii="Calibri" w:eastAsia="Calibri" w:hAnsi="Calibri"/>
          <w:snapToGrid w:val="0"/>
          <w:rtl/>
        </w:rPr>
        <w:t xml:space="preserve"> – 2019 (להלן: "</w:t>
      </w:r>
      <w:r w:rsidRPr="005964F5">
        <w:rPr>
          <w:rFonts w:ascii="Calibri" w:eastAsia="Calibri" w:hAnsi="Calibri"/>
          <w:b/>
          <w:bCs/>
          <w:snapToGrid w:val="0"/>
          <w:rtl/>
        </w:rPr>
        <w:t>התקנות</w:t>
      </w:r>
      <w:r w:rsidRPr="005964F5">
        <w:rPr>
          <w:rFonts w:ascii="Calibri" w:eastAsia="Calibri" w:hAnsi="Calibri"/>
          <w:snapToGrid w:val="0"/>
          <w:rtl/>
        </w:rPr>
        <w:t>").</w:t>
      </w:r>
    </w:p>
    <w:p w:rsidR="005964F5" w:rsidRPr="005964F5" w:rsidRDefault="005964F5" w:rsidP="005964F5">
      <w:pPr>
        <w:widowControl/>
        <w:numPr>
          <w:ilvl w:val="0"/>
          <w:numId w:val="22"/>
        </w:numPr>
        <w:spacing w:before="240" w:after="160" w:line="256" w:lineRule="auto"/>
        <w:contextualSpacing w:val="0"/>
        <w:jc w:val="left"/>
        <w:rPr>
          <w:rFonts w:eastAsia="Calibri"/>
          <w:b/>
          <w:bCs/>
          <w:u w:val="single"/>
          <w:rtl/>
        </w:rPr>
      </w:pPr>
      <w:r w:rsidRPr="005964F5">
        <w:rPr>
          <w:rFonts w:eastAsia="Calibri"/>
          <w:b/>
          <w:bCs/>
          <w:u w:val="single"/>
          <w:rtl/>
        </w:rPr>
        <w:t>תכלית ויעדים</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ייעול ומיקוד הפיקוח על יבוא  מזון רגיש בשלב שחרור משלוחי מזון מתחנת ההסגר.</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הסרת חסמים ביבוא.</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חיסכון בזמן ובמשאבים למפוקח ולרגולטור.</w:t>
      </w:r>
    </w:p>
    <w:p w:rsidR="005964F5" w:rsidRPr="005964F5" w:rsidRDefault="005964F5" w:rsidP="005964F5">
      <w:pPr>
        <w:widowControl/>
        <w:numPr>
          <w:ilvl w:val="0"/>
          <w:numId w:val="23"/>
        </w:numPr>
        <w:spacing w:after="160" w:line="256" w:lineRule="auto"/>
        <w:contextualSpacing w:val="0"/>
        <w:jc w:val="left"/>
        <w:rPr>
          <w:rFonts w:eastAsia="Calibri"/>
          <w:rtl/>
        </w:rPr>
      </w:pPr>
      <w:r w:rsidRPr="005964F5">
        <w:rPr>
          <w:rFonts w:eastAsia="Calibri"/>
          <w:rtl/>
        </w:rPr>
        <w:lastRenderedPageBreak/>
        <w:t xml:space="preserve">זמינות והנגשה של מגוון מזון תוך שמירה על בריאות הציבור. </w:t>
      </w:r>
    </w:p>
    <w:p w:rsidR="005964F5" w:rsidRPr="005964F5" w:rsidRDefault="005964F5" w:rsidP="005964F5">
      <w:pPr>
        <w:widowControl/>
        <w:spacing w:after="160"/>
        <w:ind w:left="720"/>
        <w:jc w:val="left"/>
        <w:rPr>
          <w:rFonts w:eastAsia="Calibri"/>
          <w:rtl/>
        </w:rPr>
      </w:pPr>
    </w:p>
    <w:p w:rsidR="005964F5" w:rsidRPr="005964F5" w:rsidRDefault="005964F5" w:rsidP="005964F5">
      <w:pPr>
        <w:widowControl/>
        <w:numPr>
          <w:ilvl w:val="0"/>
          <w:numId w:val="22"/>
        </w:numPr>
        <w:spacing w:after="160" w:line="256" w:lineRule="auto"/>
        <w:contextualSpacing w:val="0"/>
        <w:jc w:val="left"/>
        <w:rPr>
          <w:rFonts w:eastAsia="Calibri"/>
          <w:b/>
          <w:bCs/>
          <w:u w:val="single"/>
          <w:rtl/>
        </w:rPr>
      </w:pPr>
      <w:r w:rsidRPr="005964F5">
        <w:rPr>
          <w:rFonts w:eastAsia="Calibri"/>
          <w:b/>
          <w:bCs/>
          <w:u w:val="single"/>
          <w:rtl/>
        </w:rPr>
        <w:t>ההסדר המוצע בתקנות</w:t>
      </w:r>
    </w:p>
    <w:p w:rsidR="005964F5" w:rsidRPr="005964F5" w:rsidRDefault="005964F5" w:rsidP="005964F5">
      <w:pPr>
        <w:widowControl/>
        <w:numPr>
          <w:ilvl w:val="1"/>
          <w:numId w:val="22"/>
        </w:numPr>
        <w:spacing w:after="160" w:line="256" w:lineRule="auto"/>
        <w:contextualSpacing w:val="0"/>
        <w:jc w:val="left"/>
        <w:rPr>
          <w:rFonts w:eastAsia="Calibri"/>
        </w:rPr>
      </w:pPr>
      <w:r w:rsidRPr="005964F5">
        <w:rPr>
          <w:rFonts w:eastAsia="Calibri"/>
          <w:rtl/>
        </w:rPr>
        <w:t xml:space="preserve">כלל המזונות הרגישים, למעט מוצרי חלב, מזון ייעודי ומזון לתינוקות- </w:t>
      </w:r>
    </w:p>
    <w:p w:rsidR="005964F5" w:rsidRPr="005964F5" w:rsidRDefault="005964F5" w:rsidP="005964F5">
      <w:pPr>
        <w:widowControl/>
        <w:numPr>
          <w:ilvl w:val="0"/>
          <w:numId w:val="23"/>
        </w:numPr>
        <w:spacing w:after="160" w:line="256" w:lineRule="auto"/>
        <w:contextualSpacing w:val="0"/>
        <w:jc w:val="left"/>
        <w:rPr>
          <w:rFonts w:eastAsia="Calibri"/>
          <w:b/>
          <w:bCs/>
          <w:u w:val="single"/>
          <w:rtl/>
        </w:rPr>
      </w:pPr>
      <w:r w:rsidRPr="005964F5">
        <w:rPr>
          <w:rFonts w:eastAsia="Calibri"/>
          <w:rtl/>
        </w:rPr>
        <w:t xml:space="preserve">הפחתת תדירות הדיגום מאחת לשלושה חודשים לאחת לששה חודשים. </w:t>
      </w:r>
      <w:r w:rsidRPr="005964F5">
        <w:rPr>
          <w:rFonts w:eastAsia="Calibri"/>
          <w:b/>
          <w:bCs/>
          <w:u w:val="single"/>
          <w:rtl/>
        </w:rPr>
        <w:t xml:space="preserve"> </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הפחתה בדיגום, נקבעה, בין היתר, בשים לב לצורך בהבטחת בטיחות, תקינות ואיכות המזון ובשמירה על בריאות הציבור, מתוך הבנה שההפחתה בדיגום תמנע עיכוב והשהיה של משלוחים בנמלים – דבר שלעתים מוביל לפגיעה בחיי המדף של המוצרים, וזאת במגמה לאפשר זמינות והנגשה של מגוון מזונות בעלויות סבירות לכלל הציבור.</w:t>
      </w:r>
    </w:p>
    <w:p w:rsidR="005964F5" w:rsidRPr="005964F5" w:rsidRDefault="005964F5" w:rsidP="005964F5">
      <w:pPr>
        <w:widowControl/>
        <w:numPr>
          <w:ilvl w:val="1"/>
          <w:numId w:val="22"/>
        </w:numPr>
        <w:spacing w:after="160" w:line="256" w:lineRule="auto"/>
        <w:contextualSpacing w:val="0"/>
        <w:jc w:val="left"/>
        <w:rPr>
          <w:rFonts w:eastAsia="Calibri"/>
          <w:rtl/>
        </w:rPr>
      </w:pPr>
      <w:r w:rsidRPr="005964F5">
        <w:rPr>
          <w:rFonts w:eastAsia="Calibri"/>
          <w:rtl/>
        </w:rPr>
        <w:t xml:space="preserve">מוצרי חלב- </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 xml:space="preserve">הפחתת תדירות הדיגום של מוצרי חלב ע"י שינוי שיטת הבדיקה כך ששיעור הדיגום הכולל בכל רגע נתון יעמוד בממוצע על 22% מתוך כלל המשלוחים של מוצרי החלב של יבואן מסוים בשנה. </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עדכון שיטת הדיגום והמעבר לדיגום משלוחים ולא מוצרים, נקבע, בין היתר, על בסיס ניהול סיכונים - לאחר בחינה של כלל נתוני הבדיקות של מוצרי החלב המיובאים שנעשו במהלך 3 השנים האחרונות הוחלט שניתן להקל ולהפחית את תדירות בדיקת מוצרי החלב שעומדת כיום על כ- 40% מכלל המוצרים המיובאים ליבואן למעבר לדיגום של 22% מכלל המשלוחים של יבואן (לעומת ממוצע של כ- 40% משלוחים המעוכבים כיום).</w:t>
      </w:r>
    </w:p>
    <w:p w:rsidR="005964F5" w:rsidRPr="005964F5" w:rsidRDefault="005964F5" w:rsidP="005964F5">
      <w:pPr>
        <w:widowControl/>
        <w:numPr>
          <w:ilvl w:val="0"/>
          <w:numId w:val="23"/>
        </w:numPr>
        <w:spacing w:after="160" w:line="256" w:lineRule="auto"/>
        <w:contextualSpacing w:val="0"/>
        <w:jc w:val="left"/>
        <w:rPr>
          <w:rFonts w:eastAsia="Calibri"/>
        </w:rPr>
      </w:pPr>
      <w:r w:rsidRPr="005964F5">
        <w:rPr>
          <w:rFonts w:eastAsia="Calibri"/>
          <w:rtl/>
        </w:rPr>
        <w:t>עדכון השיטה, מחד גיסא יקל באופן משמעותי על תדירות המשלוחים שיידגמו בתחנת ההסגר לבדיקות מעבדה כתנאי לשחרורם  ומאידך גיסא ניתן יהיה להמשיך ולהבטיח  את בטיחות, תקינות ואיכות המזון ושמירה על בריאות הציבור, וזאת במגמה לאפשר זמינות והנגשה של מגוון מזונות בעלויות סבירות לכלל הציבור.</w:t>
      </w:r>
    </w:p>
    <w:p w:rsidR="005964F5" w:rsidRPr="005964F5" w:rsidRDefault="005964F5" w:rsidP="005964F5">
      <w:pPr>
        <w:widowControl/>
        <w:numPr>
          <w:ilvl w:val="1"/>
          <w:numId w:val="22"/>
        </w:numPr>
        <w:spacing w:after="160" w:line="256" w:lineRule="auto"/>
        <w:contextualSpacing w:val="0"/>
        <w:jc w:val="left"/>
        <w:rPr>
          <w:rFonts w:eastAsia="Calibri"/>
          <w:rtl/>
        </w:rPr>
      </w:pPr>
      <w:r w:rsidRPr="005964F5">
        <w:rPr>
          <w:rFonts w:eastAsia="Calibri"/>
          <w:rtl/>
        </w:rPr>
        <w:t xml:space="preserve"> מזון ייעודי ומזון לתינוקות-</w:t>
      </w:r>
    </w:p>
    <w:p w:rsidR="005964F5" w:rsidRPr="005964F5" w:rsidRDefault="005964F5" w:rsidP="005964F5">
      <w:pPr>
        <w:widowControl/>
        <w:numPr>
          <w:ilvl w:val="0"/>
          <w:numId w:val="23"/>
        </w:numPr>
        <w:spacing w:after="160" w:line="256" w:lineRule="auto"/>
        <w:contextualSpacing w:val="0"/>
        <w:jc w:val="left"/>
        <w:rPr>
          <w:rFonts w:eastAsia="Calibri"/>
          <w:rtl/>
        </w:rPr>
      </w:pPr>
      <w:r w:rsidRPr="005964F5">
        <w:rPr>
          <w:rFonts w:eastAsia="Calibri"/>
          <w:rtl/>
        </w:rPr>
        <w:t>אין שינוי- תדירות הדיגום תיעשה ע"פ האמור בנוהל, קרי כל משלוח יידגם.</w:t>
      </w:r>
    </w:p>
    <w:p w:rsidR="005964F5" w:rsidRPr="005964F5" w:rsidRDefault="005964F5" w:rsidP="005964F5">
      <w:pPr>
        <w:widowControl/>
        <w:spacing w:after="160"/>
        <w:ind w:left="720"/>
        <w:rPr>
          <w:rFonts w:eastAsia="Calibri"/>
          <w:b/>
          <w:bCs/>
          <w:u w:val="single"/>
        </w:rPr>
      </w:pPr>
    </w:p>
    <w:p w:rsidR="005964F5" w:rsidRPr="005964F5" w:rsidRDefault="005964F5" w:rsidP="005964F5">
      <w:pPr>
        <w:widowControl/>
        <w:numPr>
          <w:ilvl w:val="0"/>
          <w:numId w:val="22"/>
        </w:numPr>
        <w:spacing w:after="160" w:line="256" w:lineRule="auto"/>
        <w:contextualSpacing w:val="0"/>
        <w:jc w:val="left"/>
        <w:rPr>
          <w:rFonts w:eastAsia="Calibri"/>
          <w:b/>
          <w:bCs/>
          <w:u w:val="single"/>
          <w:rtl/>
        </w:rPr>
      </w:pPr>
      <w:r w:rsidRPr="005964F5">
        <w:rPr>
          <w:rFonts w:eastAsia="Calibri"/>
          <w:b/>
          <w:bCs/>
          <w:u w:val="single"/>
          <w:rtl/>
        </w:rPr>
        <w:t>סיכום</w:t>
      </w:r>
    </w:p>
    <w:p w:rsidR="005964F5" w:rsidRPr="005964F5" w:rsidRDefault="005964F5" w:rsidP="005964F5">
      <w:pPr>
        <w:widowControl/>
        <w:spacing w:after="160"/>
        <w:ind w:left="720"/>
        <w:rPr>
          <w:rFonts w:eastAsia="Calibri"/>
        </w:rPr>
      </w:pPr>
      <w:r w:rsidRPr="005964F5">
        <w:rPr>
          <w:rFonts w:eastAsia="Calibri"/>
          <w:rtl/>
        </w:rPr>
        <w:t xml:space="preserve">בנסיבות האמורות, המסמך לעיל מהווה את הבחינה הקובעת כי השפעת התקנות על המפוקחים היא הגדלת מרווחי הזמן בין דיגום לדיגום בהתאם לתדירות שהייתה נהוגה בעבר והסתיימה ביום  01/08/2019. כמו כן יובהר שגם מבחינת שינוי שיטת הבדיקה של מוצרי חלב התקנות אינן מהוות הכבדה אלא עוסקות בהפחתת הנטל הרגולטורי. </w:t>
      </w:r>
    </w:p>
    <w:p w:rsidR="005964F5" w:rsidRPr="005964F5" w:rsidRDefault="005964F5" w:rsidP="005964F5">
      <w:pPr>
        <w:widowControl/>
        <w:spacing w:after="160"/>
        <w:ind w:left="720"/>
        <w:rPr>
          <w:rFonts w:eastAsia="Calibri"/>
          <w:rtl/>
        </w:rPr>
      </w:pPr>
      <w:r w:rsidRPr="005964F5">
        <w:rPr>
          <w:rFonts w:eastAsia="Calibri"/>
          <w:rtl/>
        </w:rPr>
        <w:t>כאמור, שחרור משלוחי מזון רגיש ימשיך להיעשות ע"פ הוראות הנוהל והשינוי שנעשה בתקנות אלו הוא הפחתת תדירות הדיגום.</w:t>
      </w:r>
    </w:p>
    <w:p w:rsidR="005964F5" w:rsidRPr="005964F5" w:rsidRDefault="005964F5" w:rsidP="005964F5">
      <w:pPr>
        <w:widowControl/>
        <w:spacing w:after="160"/>
        <w:ind w:left="720"/>
        <w:rPr>
          <w:rFonts w:eastAsia="Calibri"/>
          <w:rtl/>
        </w:rPr>
      </w:pPr>
      <w:r w:rsidRPr="005964F5">
        <w:rPr>
          <w:rFonts w:eastAsia="Calibri"/>
          <w:rtl/>
        </w:rPr>
        <w:t>שיטת בדיקת המשלוחים החדשה תייעל את אופן עבודת המפקחים וצפויה להפחית מהם עומס מיותר.</w:t>
      </w:r>
    </w:p>
    <w:p w:rsidR="005964F5" w:rsidRPr="005964F5" w:rsidRDefault="005964F5" w:rsidP="005964F5">
      <w:pPr>
        <w:widowControl/>
        <w:spacing w:after="160"/>
        <w:ind w:left="720"/>
        <w:rPr>
          <w:rFonts w:eastAsia="Calibri"/>
          <w:rtl/>
        </w:rPr>
      </w:pPr>
      <w:r w:rsidRPr="005964F5">
        <w:rPr>
          <w:rFonts w:eastAsia="Calibri"/>
          <w:rtl/>
        </w:rPr>
        <w:t>עוד נציין כי משיח עם נציגי יבואנים החברים בלשכת המסחר ונציגי תעשיית המזון החברים בהתאחדות התעשיינים, במסגרת שולחנות עגולים שקיימנו עמם במטרה לייעל ולפשט את הרגולציה, עלה הצורך בקידום ההקלות בנושא.</w:t>
      </w:r>
    </w:p>
    <w:p w:rsidR="005964F5" w:rsidRDefault="005964F5" w:rsidP="00722C14">
      <w:pPr>
        <w:pStyle w:val="Hesber1st"/>
        <w:tabs>
          <w:tab w:val="clear" w:pos="680"/>
        </w:tabs>
        <w:rPr>
          <w:rtl/>
        </w:rPr>
      </w:pPr>
    </w:p>
    <w:p w:rsidR="0044439F" w:rsidRPr="00E47FAD" w:rsidRDefault="0044439F" w:rsidP="0044439F">
      <w:pPr>
        <w:pStyle w:val="Hesber1st"/>
        <w:tabs>
          <w:tab w:val="clear" w:pos="680"/>
        </w:tabs>
        <w:jc w:val="center"/>
        <w:rPr>
          <w:rtl/>
        </w:rPr>
      </w:pPr>
      <w:r>
        <w:rPr>
          <w:rFonts w:hint="cs"/>
          <w:rtl/>
        </w:rPr>
        <w:t>******************</w:t>
      </w:r>
      <w:bookmarkStart w:id="1" w:name="_GoBack"/>
      <w:bookmarkEnd w:id="1"/>
    </w:p>
    <w:sectPr w:rsidR="0044439F" w:rsidRPr="00E47FAD" w:rsidSect="00612BF0">
      <w:footerReference w:type="default" r:id="rId8"/>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05" w:rsidRDefault="00C05005" w:rsidP="003348F4">
      <w:pPr>
        <w:spacing w:line="240" w:lineRule="auto"/>
      </w:pPr>
      <w:r>
        <w:separator/>
      </w:r>
    </w:p>
  </w:endnote>
  <w:endnote w:type="continuationSeparator" w:id="0">
    <w:p w:rsidR="00C05005" w:rsidRDefault="00C05005" w:rsidP="003348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1D" w:rsidRDefault="00A55B1D" w:rsidP="00A55B1D">
    <w:pPr>
      <w:pStyle w:val="ab"/>
      <w:jc w:val="center"/>
    </w:pPr>
    <w:r>
      <w:fldChar w:fldCharType="begin"/>
    </w:r>
    <w:r>
      <w:instrText>PAGE   \* MERGEFORMAT</w:instrText>
    </w:r>
    <w:r>
      <w:fldChar w:fldCharType="separate"/>
    </w:r>
    <w:r w:rsidR="0044439F" w:rsidRPr="0044439F">
      <w:rPr>
        <w:noProof/>
        <w:rtl/>
        <w:lang w:val="he-IL"/>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05" w:rsidRDefault="00C05005" w:rsidP="003348F4">
      <w:pPr>
        <w:spacing w:line="240" w:lineRule="auto"/>
      </w:pPr>
      <w:r>
        <w:separator/>
      </w:r>
    </w:p>
  </w:footnote>
  <w:footnote w:type="continuationSeparator" w:id="0">
    <w:p w:rsidR="00C05005" w:rsidRDefault="00C05005" w:rsidP="003348F4">
      <w:pPr>
        <w:spacing w:line="240" w:lineRule="auto"/>
      </w:pPr>
      <w:r>
        <w:continuationSeparator/>
      </w:r>
    </w:p>
  </w:footnote>
  <w:footnote w:id="1">
    <w:p w:rsidR="003348F4" w:rsidRPr="008734F0" w:rsidRDefault="003348F4" w:rsidP="008734F0">
      <w:pPr>
        <w:pStyle w:val="a5"/>
      </w:pPr>
      <w:r>
        <w:rPr>
          <w:rStyle w:val="a7"/>
        </w:rPr>
        <w:footnoteRef/>
      </w:r>
      <w:r w:rsidR="008734F0">
        <w:rPr>
          <w:rFonts w:hint="cs"/>
          <w:rtl/>
        </w:rPr>
        <w:t xml:space="preserve"> ס"ח </w:t>
      </w:r>
      <w:proofErr w:type="spellStart"/>
      <w:r w:rsidR="008734F0">
        <w:rPr>
          <w:rFonts w:hint="cs"/>
          <w:rtl/>
        </w:rPr>
        <w:t>התשע"ו</w:t>
      </w:r>
      <w:proofErr w:type="spellEnd"/>
      <w:r w:rsidR="008734F0">
        <w:rPr>
          <w:rFonts w:hint="cs"/>
          <w:rtl/>
        </w:rPr>
        <w:t xml:space="preserve">, עמ' 90, </w:t>
      </w:r>
      <w:proofErr w:type="spellStart"/>
      <w:r>
        <w:rPr>
          <w:rFonts w:hint="cs"/>
          <w:rtl/>
        </w:rPr>
        <w:t>התשע"ח</w:t>
      </w:r>
      <w:proofErr w:type="spellEnd"/>
      <w:r>
        <w:rPr>
          <w:rFonts w:hint="cs"/>
          <w:rtl/>
        </w:rPr>
        <w:t>, עמ' 278</w:t>
      </w:r>
      <w:r>
        <w:t xml:space="preserve"> </w:t>
      </w:r>
      <w:r w:rsidR="008734F0">
        <w:rPr>
          <w:rFonts w:hint="cs"/>
          <w:rtl/>
        </w:rPr>
        <w:t>.</w:t>
      </w:r>
    </w:p>
  </w:footnote>
  <w:footnote w:id="2">
    <w:p w:rsidR="003348F4" w:rsidRDefault="003348F4" w:rsidP="008734F0">
      <w:pPr>
        <w:pStyle w:val="a5"/>
        <w:rPr>
          <w:rtl/>
        </w:rPr>
      </w:pPr>
      <w:r>
        <w:rPr>
          <w:rStyle w:val="a7"/>
        </w:rPr>
        <w:footnoteRef/>
      </w:r>
      <w:r>
        <w:t xml:space="preserve"> </w:t>
      </w:r>
      <w:proofErr w:type="spellStart"/>
      <w:r w:rsidRPr="00D978B6">
        <w:rPr>
          <w:rFonts w:hint="cs"/>
          <w:rtl/>
        </w:rPr>
        <w:t>ק"ת</w:t>
      </w:r>
      <w:proofErr w:type="spellEnd"/>
      <w:r w:rsidRPr="00D978B6">
        <w:rPr>
          <w:rFonts w:hint="cs"/>
          <w:rtl/>
        </w:rPr>
        <w:t xml:space="preserve"> </w:t>
      </w:r>
      <w:proofErr w:type="spellStart"/>
      <w:r w:rsidRPr="00D978B6">
        <w:rPr>
          <w:rFonts w:hint="cs"/>
          <w:rtl/>
        </w:rPr>
        <w:t>התש"ף</w:t>
      </w:r>
      <w:proofErr w:type="spellEnd"/>
      <w:r w:rsidRPr="00D978B6">
        <w:rPr>
          <w:rFonts w:hint="cs"/>
          <w:rtl/>
        </w:rPr>
        <w:t>, עמ'</w:t>
      </w:r>
      <w:r w:rsidR="004012DE">
        <w:rPr>
          <w:rFonts w:hint="cs"/>
          <w:rtl/>
        </w:rPr>
        <w:t xml:space="preserve"> 34.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6416DB"/>
    <w:multiLevelType w:val="multilevel"/>
    <w:tmpl w:val="D962279A"/>
    <w:lvl w:ilvl="0">
      <w:start w:val="1"/>
      <w:numFmt w:val="decimal"/>
      <w:lvlText w:val="%1."/>
      <w:lvlJc w:val="left"/>
      <w:pPr>
        <w:ind w:left="720" w:hanging="360"/>
      </w:pPr>
    </w:lvl>
    <w:lvl w:ilvl="1">
      <w:start w:val="1"/>
      <w:numFmt w:val="decimal"/>
      <w:isLgl/>
      <w:lvlText w:val="%1.%2"/>
      <w:lvlJc w:val="left"/>
      <w:pPr>
        <w:ind w:left="720" w:hanging="360"/>
      </w:pPr>
      <w:rPr>
        <w:rFonts w:cs="David"/>
        <w:b w:val="0"/>
        <w:bCs w:val="0"/>
        <w:sz w:val="26"/>
        <w:szCs w:val="26"/>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512125C9"/>
    <w:multiLevelType w:val="hybridMultilevel"/>
    <w:tmpl w:val="954AC5E0"/>
    <w:lvl w:ilvl="0" w:tplc="AD169304">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5B28A8"/>
    <w:multiLevelType w:val="hybridMultilevel"/>
    <w:tmpl w:val="DB8AC1FC"/>
    <w:lvl w:ilvl="0" w:tplc="C27EF006">
      <w:start w:val="1"/>
      <w:numFmt w:val="hebrew1"/>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66CC7F06"/>
    <w:multiLevelType w:val="multilevel"/>
    <w:tmpl w:val="B66CCA1A"/>
    <w:lvl w:ilvl="0">
      <w:start w:val="1"/>
      <w:numFmt w:val="bullet"/>
      <w:lvlText w:val=""/>
      <w:lvlJc w:val="left"/>
      <w:pPr>
        <w:ind w:left="720" w:hanging="360"/>
      </w:pPr>
      <w:rPr>
        <w:rFonts w:ascii="Wingdings" w:hAnsi="Wingdings" w:hint="default"/>
      </w:rPr>
    </w:lvl>
    <w:lvl w:ilvl="1">
      <w:start w:val="1"/>
      <w:numFmt w:val="decimal"/>
      <w:isLgl/>
      <w:lvlText w:val="%1.%2"/>
      <w:lvlJc w:val="left"/>
      <w:pPr>
        <w:ind w:left="720" w:hanging="360"/>
      </w:pPr>
      <w:rPr>
        <w:rFonts w:cs="David"/>
        <w:b w:val="0"/>
        <w:bCs w:val="0"/>
        <w:sz w:val="26"/>
        <w:szCs w:val="26"/>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8"/>
  </w:num>
  <w:num w:numId="5">
    <w:abstractNumId w:val="11"/>
  </w:num>
  <w:num w:numId="6">
    <w:abstractNumId w:val="19"/>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6"/>
  </w:num>
  <w:num w:numId="20">
    <w:abstractNumId w:val="15"/>
  </w:num>
  <w:num w:numId="21">
    <w:abstractNumId w:val="13"/>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F0"/>
    <w:rsid w:val="0008024F"/>
    <w:rsid w:val="0010619E"/>
    <w:rsid w:val="00171137"/>
    <w:rsid w:val="00215EF6"/>
    <w:rsid w:val="00216F05"/>
    <w:rsid w:val="002364EB"/>
    <w:rsid w:val="00274FE2"/>
    <w:rsid w:val="002C2CBF"/>
    <w:rsid w:val="003348F4"/>
    <w:rsid w:val="00337BEC"/>
    <w:rsid w:val="003968C6"/>
    <w:rsid w:val="003F6BF4"/>
    <w:rsid w:val="004012DE"/>
    <w:rsid w:val="004205C9"/>
    <w:rsid w:val="0044439F"/>
    <w:rsid w:val="00447576"/>
    <w:rsid w:val="00453151"/>
    <w:rsid w:val="004861F0"/>
    <w:rsid w:val="00492711"/>
    <w:rsid w:val="004F0BC0"/>
    <w:rsid w:val="005071E5"/>
    <w:rsid w:val="00515EBB"/>
    <w:rsid w:val="005361D4"/>
    <w:rsid w:val="00581423"/>
    <w:rsid w:val="005847C0"/>
    <w:rsid w:val="00585C04"/>
    <w:rsid w:val="005964F5"/>
    <w:rsid w:val="005B53A2"/>
    <w:rsid w:val="005E2AFF"/>
    <w:rsid w:val="00612BF0"/>
    <w:rsid w:val="00631466"/>
    <w:rsid w:val="00672D63"/>
    <w:rsid w:val="0067631A"/>
    <w:rsid w:val="006B66D0"/>
    <w:rsid w:val="007A624B"/>
    <w:rsid w:val="007B43ED"/>
    <w:rsid w:val="0082080F"/>
    <w:rsid w:val="00866D15"/>
    <w:rsid w:val="008734F0"/>
    <w:rsid w:val="00876E8A"/>
    <w:rsid w:val="008C356D"/>
    <w:rsid w:val="008D0801"/>
    <w:rsid w:val="0092282A"/>
    <w:rsid w:val="00943A09"/>
    <w:rsid w:val="00967765"/>
    <w:rsid w:val="009731F1"/>
    <w:rsid w:val="00986994"/>
    <w:rsid w:val="00A3396F"/>
    <w:rsid w:val="00A55B1D"/>
    <w:rsid w:val="00A91C5A"/>
    <w:rsid w:val="00AC095C"/>
    <w:rsid w:val="00AE2584"/>
    <w:rsid w:val="00B124E0"/>
    <w:rsid w:val="00B4652C"/>
    <w:rsid w:val="00B57105"/>
    <w:rsid w:val="00B9637C"/>
    <w:rsid w:val="00BC2C58"/>
    <w:rsid w:val="00C05005"/>
    <w:rsid w:val="00C142D4"/>
    <w:rsid w:val="00C71070"/>
    <w:rsid w:val="00C7160E"/>
    <w:rsid w:val="00C80AE6"/>
    <w:rsid w:val="00CC1257"/>
    <w:rsid w:val="00D051E9"/>
    <w:rsid w:val="00D20C8E"/>
    <w:rsid w:val="00DE6B27"/>
    <w:rsid w:val="00E06599"/>
    <w:rsid w:val="00E32083"/>
    <w:rsid w:val="00E47FAD"/>
    <w:rsid w:val="00ED3E43"/>
    <w:rsid w:val="00EF557D"/>
    <w:rsid w:val="00F009B8"/>
    <w:rsid w:val="00F27A0B"/>
    <w:rsid w:val="00FE41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36A0"/>
  <w15:chartTrackingRefBased/>
  <w15:docId w15:val="{5F851B04-2B59-4870-AA75-6868E5C7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BF0"/>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612BF0"/>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612BF0"/>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612BF0"/>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612BF0"/>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612BF0"/>
    <w:pPr>
      <w:spacing w:line="259" w:lineRule="auto"/>
      <w:outlineLvl w:val="4"/>
    </w:pPr>
    <w:rPr>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12BF0"/>
    <w:rPr>
      <w:rFonts w:asciiTheme="majorHAnsi" w:eastAsiaTheme="majorEastAsia" w:hAnsiTheme="majorHAnsi" w:cs="David"/>
      <w:bCs/>
      <w:sz w:val="32"/>
      <w:szCs w:val="36"/>
    </w:rPr>
  </w:style>
  <w:style w:type="character" w:customStyle="1" w:styleId="40">
    <w:name w:val="כותרת 4 תו"/>
    <w:basedOn w:val="a0"/>
    <w:link w:val="4"/>
    <w:uiPriority w:val="9"/>
    <w:rsid w:val="00612BF0"/>
    <w:rPr>
      <w:rFonts w:ascii="David" w:hAnsi="David" w:cs="David"/>
      <w:b/>
      <w:bCs/>
      <w:color w:val="000000" w:themeColor="text1"/>
      <w:sz w:val="24"/>
      <w:szCs w:val="28"/>
    </w:rPr>
  </w:style>
  <w:style w:type="paragraph" w:customStyle="1" w:styleId="TableText">
    <w:name w:val="Table Text"/>
    <w:basedOn w:val="a"/>
    <w:rsid w:val="00612BF0"/>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612BF0"/>
    <w:pPr>
      <w:outlineLvl w:val="2"/>
    </w:pPr>
  </w:style>
  <w:style w:type="paragraph" w:customStyle="1" w:styleId="TableBlock">
    <w:name w:val="Table Block"/>
    <w:basedOn w:val="TableText"/>
    <w:rsid w:val="00612BF0"/>
    <w:pPr>
      <w:jc w:val="both"/>
    </w:pPr>
  </w:style>
  <w:style w:type="paragraph" w:customStyle="1" w:styleId="TableHead">
    <w:name w:val="Table Head"/>
    <w:basedOn w:val="TableText"/>
    <w:rsid w:val="00612BF0"/>
    <w:pPr>
      <w:jc w:val="center"/>
      <w:outlineLvl w:val="1"/>
    </w:pPr>
    <w:rPr>
      <w:b/>
      <w:bCs/>
    </w:rPr>
  </w:style>
  <w:style w:type="paragraph" w:customStyle="1" w:styleId="HeadMitparsemetBaze">
    <w:name w:val="Head MitparsemetBaze"/>
    <w:basedOn w:val="a"/>
    <w:rsid w:val="00612BF0"/>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612BF0"/>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612BF0"/>
    <w:pPr>
      <w:tabs>
        <w:tab w:val="left" w:pos="680"/>
        <w:tab w:val="left" w:pos="1020"/>
      </w:tabs>
      <w:ind w:firstLine="0"/>
    </w:pPr>
  </w:style>
  <w:style w:type="paragraph" w:customStyle="1" w:styleId="HeadDivreiHesber">
    <w:name w:val="Head DivreiHesber"/>
    <w:basedOn w:val="a"/>
    <w:rsid w:val="00612BF0"/>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612BF0"/>
    <w:rPr>
      <w:rFonts w:asciiTheme="majorHAnsi" w:eastAsiaTheme="majorEastAsia" w:hAnsiTheme="majorHAnsi" w:cs="David"/>
      <w:bCs/>
      <w:sz w:val="26"/>
      <w:szCs w:val="36"/>
      <w:u w:val="single"/>
    </w:rPr>
  </w:style>
  <w:style w:type="character" w:customStyle="1" w:styleId="30">
    <w:name w:val="כותרת 3 תו"/>
    <w:basedOn w:val="a0"/>
    <w:link w:val="3"/>
    <w:rsid w:val="00612BF0"/>
    <w:rPr>
      <w:rFonts w:asciiTheme="majorHAnsi" w:eastAsiaTheme="majorEastAsia" w:hAnsiTheme="majorHAnsi" w:cs="David"/>
      <w:sz w:val="24"/>
      <w:szCs w:val="28"/>
      <w:u w:val="double"/>
    </w:rPr>
  </w:style>
  <w:style w:type="character" w:customStyle="1" w:styleId="50">
    <w:name w:val="כותרת 5 תו"/>
    <w:basedOn w:val="a0"/>
    <w:link w:val="5"/>
    <w:uiPriority w:val="9"/>
    <w:rsid w:val="00612BF0"/>
    <w:rPr>
      <w:rFonts w:ascii="David" w:hAnsi="David" w:cs="David"/>
      <w:color w:val="000000" w:themeColor="text1"/>
      <w:sz w:val="24"/>
      <w:szCs w:val="24"/>
    </w:rPr>
  </w:style>
  <w:style w:type="paragraph" w:customStyle="1" w:styleId="HeadHatzaotHok4Futer">
    <w:name w:val="Head HatzaotHok4Futer"/>
    <w:basedOn w:val="HeadHatzaotHok"/>
    <w:rsid w:val="00612BF0"/>
    <w:pPr>
      <w:spacing w:before="120" w:after="120"/>
    </w:pPr>
    <w:rPr>
      <w:color w:val="FF0000"/>
      <w:w w:val="80"/>
    </w:rPr>
  </w:style>
  <w:style w:type="paragraph" w:styleId="a3">
    <w:name w:val="endnote text"/>
    <w:basedOn w:val="a"/>
    <w:link w:val="a4"/>
    <w:semiHidden/>
    <w:rsid w:val="00612BF0"/>
    <w:pPr>
      <w:ind w:left="227" w:hanging="227"/>
    </w:pPr>
    <w:rPr>
      <w:sz w:val="14"/>
      <w:szCs w:val="22"/>
    </w:rPr>
  </w:style>
  <w:style w:type="character" w:customStyle="1" w:styleId="a4">
    <w:name w:val="טקסט הערת סיום תו"/>
    <w:basedOn w:val="a0"/>
    <w:link w:val="a3"/>
    <w:semiHidden/>
    <w:rsid w:val="00612BF0"/>
    <w:rPr>
      <w:rFonts w:ascii="David" w:hAnsi="David" w:cs="David"/>
      <w:sz w:val="14"/>
    </w:rPr>
  </w:style>
  <w:style w:type="paragraph" w:customStyle="1" w:styleId="TableInnerSideHeading">
    <w:name w:val="Table InnerSideHeading"/>
    <w:basedOn w:val="TableSideHeading"/>
    <w:rsid w:val="00612BF0"/>
    <w:pPr>
      <w:outlineLvl w:val="9"/>
    </w:pPr>
  </w:style>
  <w:style w:type="paragraph" w:customStyle="1" w:styleId="Hesber">
    <w:name w:val="Hesber"/>
    <w:basedOn w:val="a"/>
    <w:rsid w:val="00612BF0"/>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8734F0"/>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8734F0"/>
    <w:rPr>
      <w:rFonts w:ascii="Arial" w:eastAsia="Arial Unicode MS" w:hAnsi="Arial" w:cs="David"/>
      <w:snapToGrid w:val="0"/>
      <w:sz w:val="14"/>
      <w:szCs w:val="20"/>
    </w:rPr>
  </w:style>
  <w:style w:type="character" w:styleId="a7">
    <w:name w:val="footnote reference"/>
    <w:aliases w:val="Footnote Reference"/>
    <w:basedOn w:val="a0"/>
    <w:semiHidden/>
    <w:rsid w:val="00612BF0"/>
    <w:rPr>
      <w:vertAlign w:val="superscript"/>
    </w:rPr>
  </w:style>
  <w:style w:type="paragraph" w:customStyle="1" w:styleId="HesberHeading">
    <w:name w:val="Hesber Heading"/>
    <w:basedOn w:val="Hesber"/>
    <w:rsid w:val="00612BF0"/>
    <w:pPr>
      <w:tabs>
        <w:tab w:val="left" w:pos="624"/>
        <w:tab w:val="left" w:pos="1247"/>
      </w:tabs>
    </w:pPr>
    <w:rPr>
      <w:b/>
      <w:bCs/>
    </w:rPr>
  </w:style>
  <w:style w:type="paragraph" w:customStyle="1" w:styleId="HesberWriters">
    <w:name w:val="Hesber Writers"/>
    <w:basedOn w:val="Hesber"/>
    <w:rsid w:val="00612BF0"/>
    <w:pPr>
      <w:spacing w:before="120" w:after="120"/>
      <w:ind w:left="1418"/>
      <w:jc w:val="right"/>
    </w:pPr>
    <w:rPr>
      <w:b/>
      <w:bCs/>
    </w:rPr>
  </w:style>
  <w:style w:type="character" w:styleId="a8">
    <w:name w:val="endnote reference"/>
    <w:basedOn w:val="a0"/>
    <w:semiHidden/>
    <w:rsid w:val="00612BF0"/>
    <w:rPr>
      <w:vertAlign w:val="superscript"/>
    </w:rPr>
  </w:style>
  <w:style w:type="paragraph" w:customStyle="1" w:styleId="TableBlockOutdent">
    <w:name w:val="Table BlockOutdent"/>
    <w:basedOn w:val="TableBlock"/>
    <w:rsid w:val="00612BF0"/>
    <w:pPr>
      <w:ind w:left="624" w:hanging="624"/>
    </w:pPr>
  </w:style>
  <w:style w:type="paragraph" w:styleId="a9">
    <w:name w:val="header"/>
    <w:basedOn w:val="a"/>
    <w:link w:val="aa"/>
    <w:rsid w:val="00612BF0"/>
    <w:pPr>
      <w:tabs>
        <w:tab w:val="center" w:pos="4153"/>
        <w:tab w:val="right" w:pos="8306"/>
      </w:tabs>
    </w:pPr>
  </w:style>
  <w:style w:type="character" w:customStyle="1" w:styleId="aa">
    <w:name w:val="כותרת עליונה תו"/>
    <w:basedOn w:val="a0"/>
    <w:link w:val="a9"/>
    <w:rsid w:val="00612BF0"/>
    <w:rPr>
      <w:rFonts w:ascii="David" w:hAnsi="David" w:cs="David"/>
      <w:sz w:val="24"/>
      <w:szCs w:val="24"/>
    </w:rPr>
  </w:style>
  <w:style w:type="paragraph" w:styleId="ab">
    <w:name w:val="footer"/>
    <w:basedOn w:val="a"/>
    <w:link w:val="ac"/>
    <w:rsid w:val="00612BF0"/>
    <w:pPr>
      <w:tabs>
        <w:tab w:val="center" w:pos="4153"/>
        <w:tab w:val="right" w:pos="8306"/>
      </w:tabs>
    </w:pPr>
  </w:style>
  <w:style w:type="character" w:customStyle="1" w:styleId="ac">
    <w:name w:val="כותרת תחתונה תו"/>
    <w:basedOn w:val="a0"/>
    <w:link w:val="ab"/>
    <w:rsid w:val="00612BF0"/>
    <w:rPr>
      <w:rFonts w:ascii="David" w:hAnsi="David" w:cs="David"/>
      <w:sz w:val="24"/>
      <w:szCs w:val="24"/>
    </w:rPr>
  </w:style>
  <w:style w:type="character" w:styleId="ad">
    <w:name w:val="page number"/>
    <w:basedOn w:val="a0"/>
    <w:rsid w:val="00612BF0"/>
  </w:style>
  <w:style w:type="paragraph" w:customStyle="1" w:styleId="Cover1-Reshumot">
    <w:name w:val="Cover 1-Reshumot"/>
    <w:basedOn w:val="a"/>
    <w:rsid w:val="00612BF0"/>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612BF0"/>
    <w:rPr>
      <w:sz w:val="36"/>
      <w:szCs w:val="52"/>
    </w:rPr>
  </w:style>
  <w:style w:type="paragraph" w:customStyle="1" w:styleId="Cover3-Haknesset">
    <w:name w:val="Cover 3-Haknesset"/>
    <w:basedOn w:val="Cover1-Reshumot"/>
    <w:rsid w:val="00612BF0"/>
    <w:rPr>
      <w:b/>
      <w:bCs/>
      <w:spacing w:val="60"/>
    </w:rPr>
  </w:style>
  <w:style w:type="paragraph" w:customStyle="1" w:styleId="Cover4-Date">
    <w:name w:val="Cover 4-Date"/>
    <w:basedOn w:val="a"/>
    <w:rsid w:val="00612BF0"/>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612BF0"/>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612BF0"/>
    <w:pPr>
      <w:widowControl/>
      <w:spacing w:before="120" w:after="120"/>
      <w:outlineLvl w:val="9"/>
    </w:pPr>
    <w:rPr>
      <w:rtl/>
      <w:cs/>
    </w:rPr>
  </w:style>
  <w:style w:type="paragraph" w:styleId="TOC1">
    <w:name w:val="toc 1"/>
    <w:basedOn w:val="a"/>
    <w:next w:val="a"/>
    <w:autoRedefine/>
    <w:uiPriority w:val="39"/>
    <w:unhideWhenUsed/>
    <w:rsid w:val="00612BF0"/>
    <w:pPr>
      <w:tabs>
        <w:tab w:val="right" w:leader="dot" w:pos="9629"/>
      </w:tabs>
      <w:spacing w:after="100"/>
    </w:pPr>
    <w:rPr>
      <w:bCs/>
      <w:szCs w:val="22"/>
    </w:rPr>
  </w:style>
  <w:style w:type="paragraph" w:styleId="TOC2">
    <w:name w:val="toc 2"/>
    <w:basedOn w:val="a"/>
    <w:next w:val="a"/>
    <w:uiPriority w:val="39"/>
    <w:unhideWhenUsed/>
    <w:rsid w:val="00612BF0"/>
    <w:pPr>
      <w:tabs>
        <w:tab w:val="right" w:leader="dot" w:pos="9628"/>
      </w:tabs>
      <w:spacing w:after="100"/>
    </w:pPr>
    <w:rPr>
      <w:szCs w:val="22"/>
    </w:rPr>
  </w:style>
  <w:style w:type="character" w:styleId="Hyperlink">
    <w:name w:val="Hyperlink"/>
    <w:basedOn w:val="a0"/>
    <w:uiPriority w:val="99"/>
    <w:unhideWhenUsed/>
    <w:rsid w:val="00612BF0"/>
    <w:rPr>
      <w:color w:val="0563C1" w:themeColor="hyperlink"/>
      <w:u w:val="single"/>
    </w:rPr>
  </w:style>
  <w:style w:type="paragraph" w:styleId="TOC3">
    <w:name w:val="toc 3"/>
    <w:basedOn w:val="a"/>
    <w:next w:val="a"/>
    <w:uiPriority w:val="39"/>
    <w:unhideWhenUsed/>
    <w:rsid w:val="00612BF0"/>
    <w:pPr>
      <w:numPr>
        <w:numId w:val="19"/>
      </w:numPr>
      <w:tabs>
        <w:tab w:val="right" w:leader="dot" w:pos="9629"/>
      </w:tabs>
      <w:spacing w:after="100"/>
      <w:ind w:left="811" w:hanging="357"/>
    </w:pPr>
    <w:rPr>
      <w:szCs w:val="22"/>
    </w:rPr>
  </w:style>
  <w:style w:type="paragraph" w:styleId="TOC4">
    <w:name w:val="toc 4"/>
    <w:basedOn w:val="a"/>
    <w:next w:val="a"/>
    <w:autoRedefine/>
    <w:unhideWhenUsed/>
    <w:qFormat/>
    <w:rsid w:val="00612BF0"/>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612BF0"/>
    <w:pPr>
      <w:tabs>
        <w:tab w:val="right" w:leader="dot" w:pos="9628"/>
      </w:tabs>
      <w:spacing w:after="100"/>
      <w:ind w:left="567"/>
    </w:pPr>
    <w:rPr>
      <w:szCs w:val="22"/>
    </w:rPr>
  </w:style>
  <w:style w:type="paragraph" w:styleId="TOC6">
    <w:name w:val="toc 6"/>
    <w:basedOn w:val="a"/>
    <w:next w:val="a"/>
    <w:autoRedefine/>
    <w:semiHidden/>
    <w:unhideWhenUsed/>
    <w:rsid w:val="00612BF0"/>
    <w:pPr>
      <w:spacing w:after="100"/>
      <w:ind w:left="850"/>
    </w:pPr>
  </w:style>
  <w:style w:type="paragraph" w:styleId="TOC7">
    <w:name w:val="toc 7"/>
    <w:basedOn w:val="a"/>
    <w:next w:val="a"/>
    <w:autoRedefine/>
    <w:semiHidden/>
    <w:unhideWhenUsed/>
    <w:rsid w:val="00612BF0"/>
    <w:pPr>
      <w:spacing w:after="100"/>
      <w:ind w:left="1020"/>
    </w:pPr>
  </w:style>
  <w:style w:type="paragraph" w:styleId="TOC8">
    <w:name w:val="toc 8"/>
    <w:basedOn w:val="a"/>
    <w:next w:val="a"/>
    <w:autoRedefine/>
    <w:semiHidden/>
    <w:unhideWhenUsed/>
    <w:rsid w:val="00612BF0"/>
    <w:pPr>
      <w:spacing w:after="100"/>
      <w:ind w:left="1190"/>
    </w:pPr>
  </w:style>
  <w:style w:type="paragraph" w:styleId="TOC9">
    <w:name w:val="toc 9"/>
    <w:basedOn w:val="a"/>
    <w:next w:val="a"/>
    <w:autoRedefine/>
    <w:semiHidden/>
    <w:unhideWhenUsed/>
    <w:rsid w:val="00612BF0"/>
    <w:pPr>
      <w:spacing w:after="100"/>
      <w:ind w:left="1360"/>
    </w:pPr>
  </w:style>
  <w:style w:type="paragraph" w:customStyle="1" w:styleId="TableHead2">
    <w:name w:val="Table Head2"/>
    <w:basedOn w:val="TableHead"/>
    <w:qFormat/>
    <w:rsid w:val="00612BF0"/>
    <w:pPr>
      <w:outlineLvl w:val="9"/>
    </w:pPr>
  </w:style>
  <w:style w:type="paragraph" w:customStyle="1" w:styleId="TableSideHeading2">
    <w:name w:val="Table SideHeading2"/>
    <w:basedOn w:val="TableSideHeading"/>
    <w:autoRedefine/>
    <w:qFormat/>
    <w:rsid w:val="00612BF0"/>
    <w:pPr>
      <w:keepLines w:val="0"/>
      <w:outlineLvl w:val="9"/>
    </w:pPr>
  </w:style>
  <w:style w:type="paragraph" w:customStyle="1" w:styleId="0">
    <w:name w:val="סגנון שורה ראשונה:  0  ס''מ"/>
    <w:basedOn w:val="2"/>
    <w:rsid w:val="00612BF0"/>
    <w:rPr>
      <w:rFonts w:eastAsia="Times New Roman"/>
    </w:rPr>
  </w:style>
  <w:style w:type="paragraph" w:styleId="af">
    <w:name w:val="List Paragraph"/>
    <w:basedOn w:val="a"/>
    <w:uiPriority w:val="34"/>
    <w:qFormat/>
    <w:rsid w:val="00612BF0"/>
    <w:pPr>
      <w:widowControl/>
      <w:spacing w:line="259" w:lineRule="auto"/>
    </w:pPr>
    <w:rPr>
      <w:rFonts w:asciiTheme="minorHAnsi" w:hAnsiTheme="minorHAnsi"/>
      <w:sz w:val="22"/>
    </w:rPr>
  </w:style>
  <w:style w:type="table" w:styleId="af0">
    <w:name w:val="Table Grid"/>
    <w:basedOn w:val="a1"/>
    <w:rsid w:val="00612BF0"/>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612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612BF0"/>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612BF0"/>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612BF0"/>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10619E"/>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10619E"/>
    <w:rPr>
      <w:rFonts w:ascii="Tahoma" w:hAnsi="Tahoma" w:cs="Tahoma"/>
      <w:sz w:val="18"/>
      <w:szCs w:val="18"/>
    </w:rPr>
  </w:style>
  <w:style w:type="paragraph" w:styleId="af4">
    <w:name w:val="Revision"/>
    <w:hidden/>
    <w:uiPriority w:val="99"/>
    <w:semiHidden/>
    <w:rsid w:val="006B66D0"/>
    <w:pPr>
      <w:spacing w:after="0" w:line="240" w:lineRule="auto"/>
    </w:pPr>
    <w:rPr>
      <w:rFonts w:ascii="David" w:hAnsi="David" w:cs="David"/>
      <w:sz w:val="24"/>
      <w:szCs w:val="24"/>
    </w:rPr>
  </w:style>
  <w:style w:type="paragraph" w:styleId="NormalWeb">
    <w:name w:val="Normal (Web)"/>
    <w:basedOn w:val="a"/>
    <w:uiPriority w:val="99"/>
    <w:semiHidden/>
    <w:unhideWhenUsed/>
    <w:rsid w:val="00585C04"/>
    <w:pPr>
      <w:widowControl/>
      <w:bidi w:val="0"/>
      <w:spacing w:before="100" w:beforeAutospacing="1" w:after="100" w:afterAutospacing="1" w:line="240" w:lineRule="auto"/>
      <w:ind w:left="0"/>
      <w:contextualSpacing w:val="0"/>
      <w:jc w:val="left"/>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8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161B5BAE19C0A94ABF7F052772C71F14" ma:contentTypeVersion="1" ma:contentTypeDescription="צור מסמך חדש." ma:contentTypeScope="" ma:versionID="4c4e7c02a57e54f45d23c2b2cc14d8d5">
  <xsd:schema xmlns:xsd="http://www.w3.org/2001/XMLSchema" xmlns:p="http://schemas.microsoft.com/office/2006/metadata/properties" xmlns:ns2="d2589617-2f74-4077-aee7-f516ed639388" targetNamespace="http://schemas.microsoft.com/office/2006/metadata/properties" ma:root="true" ma:fieldsID="07cad186b484ecc037a0bd5112bdf38e" ns2:_="">
    <xsd:import namespace="d2589617-2f74-4077-aee7-f516ed639388"/>
    <xsd:element name="properties">
      <xsd:complexType>
        <xsd:sequence>
          <xsd:element name="documentManagement">
            <xsd:complexType>
              <xsd:all>
                <xsd:element ref="ns2:RefNumber" minOccurs="0"/>
              </xsd:all>
            </xsd:complexType>
          </xsd:element>
        </xsd:sequence>
      </xsd:complexType>
    </xsd:element>
  </xsd:schema>
  <xsd:schema xmlns:xsd="http://www.w3.org/2001/XMLSchema" xmlns:dms="http://schemas.microsoft.com/office/2006/documentManagement/types" targetNamespace="d2589617-2f74-4077-aee7-f516ed639388" elementFormDefault="qualified">
    <xsd:import namespace="http://schemas.microsoft.com/office/2006/documentManagement/types"/>
    <xsd:element name="RefNumber" ma:index="8" nillable="true" ma:displayName="RefNumber" ma:description="מס' טופס" ma:internalName="Ref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ma:readOnly="true"/>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RefNumber xmlns="d2589617-2f74-4077-aee7-f516ed639388">45315</RefNumber>
  </documentManagement>
</p:properties>
</file>

<file path=customXml/itemProps1.xml><?xml version="1.0" encoding="utf-8"?>
<ds:datastoreItem xmlns:ds="http://schemas.openxmlformats.org/officeDocument/2006/customXml" ds:itemID="{846451B4-AA9F-4129-AD47-7C0058DDE1A6}"/>
</file>

<file path=customXml/itemProps2.xml><?xml version="1.0" encoding="utf-8"?>
<ds:datastoreItem xmlns:ds="http://schemas.openxmlformats.org/officeDocument/2006/customXml" ds:itemID="{84EC70E7-3709-4641-A20E-DA3119AA2B38}"/>
</file>

<file path=customXml/itemProps3.xml><?xml version="1.0" encoding="utf-8"?>
<ds:datastoreItem xmlns:ds="http://schemas.openxmlformats.org/officeDocument/2006/customXml" ds:itemID="{43FA7147-ED5A-4EAC-952F-593C8D351CA0}"/>
</file>

<file path=customXml/itemProps4.xml><?xml version="1.0" encoding="utf-8"?>
<ds:datastoreItem xmlns:ds="http://schemas.openxmlformats.org/officeDocument/2006/customXml" ds:itemID="{2DA670BE-2F35-414B-843D-72E33DE55596}"/>
</file>

<file path=docProps/app.xml><?xml version="1.0" encoding="utf-8"?>
<Properties xmlns="http://schemas.openxmlformats.org/officeDocument/2006/extended-properties" xmlns:vt="http://schemas.openxmlformats.org/officeDocument/2006/docPropsVTypes">
  <Template>Normal</Template>
  <TotalTime>2</TotalTime>
  <Pages>6</Pages>
  <Words>1409</Words>
  <Characters>6540</Characters>
  <Application>Microsoft Office Word</Application>
  <DocSecurity>0</DocSecurity>
  <Lines>163</Lines>
  <Paragraphs>107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באוקטובר 2019 טיוטת תקנות הגנה על בריאות הציבור (מזון) (בדיקת משלוח של מזון רגיש ) התשף - 2019 לפרסום סופי.docx</dc:title>
  <dc:subject/>
  <dc:creator>טליה אגמון</dc:creator>
  <cp:keywords/>
  <dc:description/>
  <cp:lastModifiedBy>טליה אגמון</cp:lastModifiedBy>
  <cp:revision>4</cp:revision>
  <dcterms:created xsi:type="dcterms:W3CDTF">2019-10-28T12:24:00Z</dcterms:created>
  <dcterms:modified xsi:type="dcterms:W3CDTF">2019-10-28T12:25:00Z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0x010100161B5BAE19C0A94ABF7F052772C71F14</vt:lpwstr>
  </property>
</Properties>
</file>