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8" w:type="dxa"/>
        <w:tblLayout w:type="fixed"/>
        <w:tblCellMar>
          <w:left w:w="0" w:type="dxa"/>
          <w:right w:w="0" w:type="dxa"/>
        </w:tblCellMar>
        <w:tblLook w:val="0000" w:firstRow="0" w:lastRow="0" w:firstColumn="0" w:lastColumn="0" w:noHBand="0" w:noVBand="0"/>
      </w:tblPr>
      <w:tblGrid>
        <w:gridCol w:w="1432"/>
        <w:gridCol w:w="8144"/>
      </w:tblGrid>
      <w:tr w:rsidR="0052330E">
        <w:trPr>
          <w:cantSplit/>
        </w:trPr>
        <w:tc>
          <w:tcPr>
            <w:tcW w:w="1432" w:type="dxa"/>
          </w:tcPr>
          <w:p w:rsidR="0052330E" w:rsidRDefault="0052330E">
            <w:pPr>
              <w:pStyle w:val="tblHeading"/>
            </w:pPr>
          </w:p>
        </w:tc>
        <w:tc>
          <w:tcPr>
            <w:tcW w:w="8144" w:type="dxa"/>
          </w:tcPr>
          <w:p w:rsidR="0052330E" w:rsidRDefault="00F11FA6">
            <w:pPr>
              <w:pStyle w:val="tblText"/>
            </w:pPr>
            <w:bookmarkStart w:id="0" w:name="_GoBack"/>
            <w:r w:rsidRPr="004B17A1">
              <w:rPr>
                <w:sz w:val="40"/>
                <w:szCs w:val="40"/>
              </w:rPr>
              <w:t>HOW TO</w:t>
            </w:r>
            <w:bookmarkEnd w:id="0"/>
            <w:r>
              <w:t xml:space="preserve"> </w:t>
            </w:r>
            <w:r w:rsidR="00627F5E">
              <w:t xml:space="preserve"> form a Joint Venture between an Israeli company and a United States company</w:t>
            </w:r>
          </w:p>
        </w:tc>
      </w:tr>
      <w:tr w:rsidR="0052330E">
        <w:trPr>
          <w:cantSplit/>
        </w:trPr>
        <w:tc>
          <w:tcPr>
            <w:tcW w:w="1432" w:type="dxa"/>
            <w:tcBorders>
              <w:bottom w:val="single" w:sz="4" w:space="0" w:color="auto"/>
            </w:tcBorders>
          </w:tcPr>
          <w:p w:rsidR="0052330E" w:rsidRDefault="0052330E">
            <w:pPr>
              <w:pStyle w:val="tblHeading"/>
            </w:pPr>
          </w:p>
        </w:tc>
        <w:tc>
          <w:tcPr>
            <w:tcW w:w="8144" w:type="dxa"/>
            <w:tcBorders>
              <w:bottom w:val="single" w:sz="4" w:space="0" w:color="auto"/>
            </w:tcBorders>
          </w:tcPr>
          <w:p w:rsidR="0052330E" w:rsidRDefault="00F11FA6" w:rsidP="00F11FA6">
            <w:pPr>
              <w:pStyle w:val="tblText"/>
            </w:pPr>
            <w:r>
              <w:rPr>
                <w:noProof/>
              </w:rPr>
              <w:t>March,</w:t>
            </w:r>
            <w:r w:rsidR="00627F5E">
              <w:rPr>
                <w:noProof/>
              </w:rPr>
              <w:t xml:space="preserve"> 2014</w:t>
            </w:r>
          </w:p>
        </w:tc>
      </w:tr>
      <w:tr w:rsidR="0052330E">
        <w:tblPrEx>
          <w:tblCellMar>
            <w:left w:w="108" w:type="dxa"/>
            <w:right w:w="108" w:type="dxa"/>
          </w:tblCellMar>
        </w:tblPrEx>
        <w:tc>
          <w:tcPr>
            <w:tcW w:w="9576" w:type="dxa"/>
            <w:gridSpan w:val="2"/>
            <w:tcBorders>
              <w:top w:val="single" w:sz="4" w:space="0" w:color="auto"/>
            </w:tcBorders>
          </w:tcPr>
          <w:p w:rsidR="0052330E" w:rsidRDefault="0052330E"/>
        </w:tc>
      </w:tr>
    </w:tbl>
    <w:p w:rsidR="0052330E" w:rsidRDefault="00627F5E">
      <w:pPr>
        <w:pStyle w:val="BodyText"/>
        <w:numPr>
          <w:ilvl w:val="0"/>
          <w:numId w:val="1"/>
        </w:numPr>
        <w:ind w:left="720" w:hanging="720"/>
        <w:rPr>
          <w:szCs w:val="24"/>
        </w:rPr>
      </w:pPr>
      <w:r>
        <w:rPr>
          <w:szCs w:val="24"/>
        </w:rPr>
        <w:t>What is a joint venture?</w:t>
      </w:r>
    </w:p>
    <w:p w:rsidR="0052330E" w:rsidRDefault="00627F5E">
      <w:pPr>
        <w:pStyle w:val="BodyText"/>
        <w:numPr>
          <w:ilvl w:val="1"/>
          <w:numId w:val="1"/>
        </w:numPr>
        <w:ind w:left="1440" w:hanging="720"/>
        <w:rPr>
          <w:szCs w:val="24"/>
        </w:rPr>
      </w:pPr>
      <w:r>
        <w:rPr>
          <w:szCs w:val="24"/>
        </w:rPr>
        <w:t>Elements:</w:t>
      </w:r>
    </w:p>
    <w:p w:rsidR="0052330E" w:rsidRDefault="00627F5E">
      <w:pPr>
        <w:pStyle w:val="ListParagraph"/>
        <w:widowControl w:val="0"/>
        <w:numPr>
          <w:ilvl w:val="0"/>
          <w:numId w:val="9"/>
        </w:numPr>
        <w:autoSpaceDE w:val="0"/>
        <w:autoSpaceDN w:val="0"/>
        <w:adjustRightInd w:val="0"/>
        <w:ind w:left="1800"/>
        <w:jc w:val="both"/>
        <w:rPr>
          <w:color w:val="000000"/>
          <w:szCs w:val="24"/>
        </w:rPr>
      </w:pPr>
      <w:r>
        <w:rPr>
          <w:color w:val="000000"/>
          <w:szCs w:val="24"/>
        </w:rPr>
        <w:t>an agreement indicating an intention to undertake a joint venture;</w:t>
      </w:r>
    </w:p>
    <w:p w:rsidR="0052330E" w:rsidRDefault="00627F5E">
      <w:pPr>
        <w:pStyle w:val="ListParagraph"/>
        <w:widowControl w:val="0"/>
        <w:numPr>
          <w:ilvl w:val="0"/>
          <w:numId w:val="9"/>
        </w:numPr>
        <w:autoSpaceDE w:val="0"/>
        <w:autoSpaceDN w:val="0"/>
        <w:adjustRightInd w:val="0"/>
        <w:ind w:left="1800"/>
        <w:jc w:val="both"/>
        <w:rPr>
          <w:color w:val="000000"/>
          <w:szCs w:val="24"/>
        </w:rPr>
      </w:pPr>
      <w:r>
        <w:rPr>
          <w:color w:val="000000"/>
          <w:szCs w:val="24"/>
        </w:rPr>
        <w:t>a joint undertaking;</w:t>
      </w:r>
    </w:p>
    <w:p w:rsidR="0052330E" w:rsidRDefault="00627F5E">
      <w:pPr>
        <w:pStyle w:val="ListParagraph"/>
        <w:widowControl w:val="0"/>
        <w:numPr>
          <w:ilvl w:val="0"/>
          <w:numId w:val="9"/>
        </w:numPr>
        <w:autoSpaceDE w:val="0"/>
        <w:autoSpaceDN w:val="0"/>
        <w:adjustRightInd w:val="0"/>
        <w:ind w:left="1800"/>
        <w:jc w:val="both"/>
        <w:rPr>
          <w:color w:val="000000"/>
          <w:szCs w:val="24"/>
        </w:rPr>
      </w:pPr>
      <w:r>
        <w:rPr>
          <w:color w:val="000000"/>
          <w:szCs w:val="24"/>
        </w:rPr>
        <w:t>a single project for profit;</w:t>
      </w:r>
    </w:p>
    <w:p w:rsidR="0052330E" w:rsidRDefault="00627F5E">
      <w:pPr>
        <w:pStyle w:val="ListParagraph"/>
        <w:widowControl w:val="0"/>
        <w:numPr>
          <w:ilvl w:val="0"/>
          <w:numId w:val="9"/>
        </w:numPr>
        <w:autoSpaceDE w:val="0"/>
        <w:autoSpaceDN w:val="0"/>
        <w:adjustRightInd w:val="0"/>
        <w:ind w:left="1800"/>
        <w:jc w:val="both"/>
        <w:rPr>
          <w:color w:val="000000"/>
          <w:szCs w:val="24"/>
        </w:rPr>
      </w:pPr>
      <w:r>
        <w:rPr>
          <w:color w:val="000000"/>
          <w:szCs w:val="24"/>
        </w:rPr>
        <w:t>a sharing of profits as well as losses;</w:t>
      </w:r>
    </w:p>
    <w:p w:rsidR="0052330E" w:rsidRDefault="00627F5E">
      <w:pPr>
        <w:pStyle w:val="ListParagraph"/>
        <w:widowControl w:val="0"/>
        <w:numPr>
          <w:ilvl w:val="0"/>
          <w:numId w:val="9"/>
        </w:numPr>
        <w:autoSpaceDE w:val="0"/>
        <w:autoSpaceDN w:val="0"/>
        <w:adjustRightInd w:val="0"/>
        <w:ind w:left="1800"/>
        <w:jc w:val="both"/>
        <w:rPr>
          <w:color w:val="000000"/>
          <w:szCs w:val="24"/>
        </w:rPr>
      </w:pPr>
      <w:r>
        <w:rPr>
          <w:color w:val="000000"/>
          <w:szCs w:val="24"/>
        </w:rPr>
        <w:t>a contribution of skills or property by the parties; and</w:t>
      </w:r>
    </w:p>
    <w:p w:rsidR="0052330E" w:rsidRDefault="00627F5E">
      <w:pPr>
        <w:pStyle w:val="ListParagraph"/>
        <w:widowControl w:val="0"/>
        <w:numPr>
          <w:ilvl w:val="0"/>
          <w:numId w:val="9"/>
        </w:numPr>
        <w:autoSpaceDE w:val="0"/>
        <w:autoSpaceDN w:val="0"/>
        <w:adjustRightInd w:val="0"/>
        <w:ind w:left="1800"/>
        <w:jc w:val="both"/>
        <w:rPr>
          <w:color w:val="000000"/>
          <w:szCs w:val="24"/>
        </w:rPr>
      </w:pPr>
      <w:r>
        <w:rPr>
          <w:color w:val="000000"/>
          <w:szCs w:val="24"/>
        </w:rPr>
        <w:t>community interest and control over the subject matter of the enterprise.</w:t>
      </w:r>
    </w:p>
    <w:p w:rsidR="0052330E" w:rsidRDefault="0052330E">
      <w:pPr>
        <w:pStyle w:val="ListParagraph"/>
        <w:widowControl w:val="0"/>
        <w:autoSpaceDE w:val="0"/>
        <w:autoSpaceDN w:val="0"/>
        <w:adjustRightInd w:val="0"/>
        <w:ind w:left="1800"/>
        <w:jc w:val="both"/>
        <w:rPr>
          <w:color w:val="000000"/>
          <w:szCs w:val="24"/>
        </w:rPr>
      </w:pPr>
    </w:p>
    <w:p w:rsidR="0052330E" w:rsidRDefault="00627F5E">
      <w:pPr>
        <w:pStyle w:val="BodyText"/>
        <w:numPr>
          <w:ilvl w:val="1"/>
          <w:numId w:val="1"/>
        </w:numPr>
        <w:ind w:left="1440" w:hanging="720"/>
        <w:rPr>
          <w:szCs w:val="24"/>
        </w:rPr>
      </w:pPr>
      <w:r>
        <w:rPr>
          <w:szCs w:val="24"/>
        </w:rPr>
        <w:t>Common Venture Formats</w:t>
      </w:r>
    </w:p>
    <w:p w:rsidR="0052330E" w:rsidRDefault="00627F5E">
      <w:pPr>
        <w:pStyle w:val="BodyText"/>
        <w:numPr>
          <w:ilvl w:val="0"/>
          <w:numId w:val="10"/>
        </w:numPr>
        <w:ind w:left="1800"/>
        <w:rPr>
          <w:szCs w:val="24"/>
        </w:rPr>
      </w:pPr>
      <w:r>
        <w:rPr>
          <w:szCs w:val="24"/>
        </w:rPr>
        <w:t>Separate entity</w:t>
      </w:r>
    </w:p>
    <w:p w:rsidR="0052330E" w:rsidRDefault="00627F5E">
      <w:pPr>
        <w:pStyle w:val="BodyText"/>
        <w:ind w:left="1800" w:firstLine="0"/>
        <w:rPr>
          <w:szCs w:val="24"/>
        </w:rPr>
      </w:pPr>
      <w:r>
        <w:rPr>
          <w:color w:val="000000"/>
          <w:szCs w:val="24"/>
        </w:rPr>
        <w:t>Creation of a separate entity venture in the form of a corporation, a limited liability company, or a limited partnership is accomplished by a filing with the state. A separate entity venture using the partnership format may be formed by contract or implied by law, and may also be registered with the county under the Uniform Partnership Act (UPA)</w:t>
      </w:r>
    </w:p>
    <w:p w:rsidR="0052330E" w:rsidRDefault="00627F5E">
      <w:pPr>
        <w:pStyle w:val="BodyText"/>
        <w:numPr>
          <w:ilvl w:val="0"/>
          <w:numId w:val="10"/>
        </w:numPr>
        <w:ind w:left="1800"/>
        <w:rPr>
          <w:szCs w:val="24"/>
        </w:rPr>
      </w:pPr>
      <w:r>
        <w:rPr>
          <w:szCs w:val="24"/>
        </w:rPr>
        <w:t>Consortium</w:t>
      </w:r>
    </w:p>
    <w:p w:rsidR="0052330E" w:rsidRDefault="00627F5E">
      <w:pPr>
        <w:pStyle w:val="BodyText"/>
        <w:ind w:left="1800" w:firstLine="0"/>
        <w:rPr>
          <w:szCs w:val="24"/>
        </w:rPr>
      </w:pPr>
      <w:r>
        <w:rPr>
          <w:color w:val="000000"/>
          <w:szCs w:val="24"/>
        </w:rPr>
        <w:t>A consortium is a non-entity venture that is formed by contractual agreement.</w:t>
      </w:r>
    </w:p>
    <w:p w:rsidR="0052330E" w:rsidRDefault="00627F5E">
      <w:pPr>
        <w:pStyle w:val="BodyText"/>
        <w:numPr>
          <w:ilvl w:val="0"/>
          <w:numId w:val="10"/>
        </w:numPr>
        <w:ind w:left="1800"/>
        <w:rPr>
          <w:szCs w:val="24"/>
        </w:rPr>
      </w:pPr>
      <w:r>
        <w:rPr>
          <w:szCs w:val="24"/>
        </w:rPr>
        <w:t>Master Subcontract</w:t>
      </w:r>
    </w:p>
    <w:p w:rsidR="0052330E" w:rsidRDefault="00627F5E">
      <w:pPr>
        <w:pStyle w:val="BodyText"/>
        <w:ind w:left="1800" w:firstLine="0"/>
        <w:rPr>
          <w:szCs w:val="24"/>
        </w:rPr>
      </w:pPr>
      <w:r>
        <w:rPr>
          <w:color w:val="000000"/>
          <w:szCs w:val="24"/>
        </w:rPr>
        <w:t>A master subcontract is also a non-entity venture that is formed by contractual agreement.</w:t>
      </w:r>
    </w:p>
    <w:p w:rsidR="0052330E" w:rsidRDefault="00627F5E">
      <w:pPr>
        <w:pStyle w:val="BodyText"/>
        <w:numPr>
          <w:ilvl w:val="1"/>
          <w:numId w:val="1"/>
        </w:numPr>
        <w:ind w:left="1440" w:hanging="720"/>
        <w:rPr>
          <w:szCs w:val="24"/>
        </w:rPr>
      </w:pPr>
      <w:r>
        <w:rPr>
          <w:szCs w:val="24"/>
        </w:rPr>
        <w:t>General partnership principals apply to the entity and its participants:</w:t>
      </w:r>
    </w:p>
    <w:p w:rsidR="0052330E" w:rsidRDefault="00627F5E">
      <w:pPr>
        <w:widowControl w:val="0"/>
        <w:numPr>
          <w:ilvl w:val="0"/>
          <w:numId w:val="10"/>
        </w:numPr>
        <w:autoSpaceDE w:val="0"/>
        <w:autoSpaceDN w:val="0"/>
        <w:adjustRightInd w:val="0"/>
        <w:ind w:left="1800"/>
        <w:jc w:val="both"/>
        <w:rPr>
          <w:color w:val="000000"/>
          <w:szCs w:val="24"/>
        </w:rPr>
      </w:pPr>
      <w:r>
        <w:rPr>
          <w:color w:val="000000"/>
          <w:szCs w:val="24"/>
        </w:rPr>
        <w:t>The right and ability to bind and to create liabilities to third parties with respect to activities and transactions which are within the apparent scope of the business of the joint venture.</w:t>
      </w:r>
    </w:p>
    <w:p w:rsidR="0052330E" w:rsidRDefault="0052330E">
      <w:pPr>
        <w:widowControl w:val="0"/>
        <w:autoSpaceDE w:val="0"/>
        <w:autoSpaceDN w:val="0"/>
        <w:adjustRightInd w:val="0"/>
        <w:ind w:left="1800"/>
        <w:jc w:val="both"/>
        <w:rPr>
          <w:color w:val="000000"/>
          <w:szCs w:val="24"/>
        </w:rPr>
      </w:pPr>
    </w:p>
    <w:p w:rsidR="0052330E" w:rsidRDefault="00627F5E">
      <w:pPr>
        <w:widowControl w:val="0"/>
        <w:numPr>
          <w:ilvl w:val="0"/>
          <w:numId w:val="10"/>
        </w:numPr>
        <w:autoSpaceDE w:val="0"/>
        <w:autoSpaceDN w:val="0"/>
        <w:adjustRightInd w:val="0"/>
        <w:ind w:left="1800"/>
        <w:jc w:val="both"/>
        <w:rPr>
          <w:color w:val="000000"/>
          <w:szCs w:val="24"/>
        </w:rPr>
      </w:pPr>
      <w:r>
        <w:rPr>
          <w:color w:val="000000"/>
          <w:szCs w:val="24"/>
        </w:rPr>
        <w:t xml:space="preserve">Subject to unlimited liability from its own assets with respect to the obligations </w:t>
      </w:r>
      <w:r>
        <w:rPr>
          <w:color w:val="000000"/>
          <w:szCs w:val="24"/>
        </w:rPr>
        <w:lastRenderedPageBreak/>
        <w:t>of the joint venture. Limited liability is most appealing when the purpose of the venture is, by its nature, somewhat risky. Eliminating the unlimited liability of the joint venture form may not be possible if third party creditors seek guarantees from the shareholders for the obligations of the business.</w:t>
      </w:r>
    </w:p>
    <w:p w:rsidR="0052330E" w:rsidRDefault="0052330E">
      <w:pPr>
        <w:widowControl w:val="0"/>
        <w:autoSpaceDE w:val="0"/>
        <w:autoSpaceDN w:val="0"/>
        <w:adjustRightInd w:val="0"/>
        <w:ind w:left="1800"/>
        <w:jc w:val="both"/>
        <w:rPr>
          <w:color w:val="000000"/>
          <w:szCs w:val="24"/>
        </w:rPr>
      </w:pPr>
    </w:p>
    <w:p w:rsidR="0052330E" w:rsidRDefault="00627F5E">
      <w:pPr>
        <w:pStyle w:val="BodyText"/>
        <w:numPr>
          <w:ilvl w:val="0"/>
          <w:numId w:val="10"/>
        </w:numPr>
        <w:ind w:left="1800"/>
        <w:rPr>
          <w:szCs w:val="24"/>
        </w:rPr>
      </w:pPr>
      <w:r>
        <w:rPr>
          <w:color w:val="000000"/>
          <w:szCs w:val="24"/>
        </w:rPr>
        <w:t>Fiduciary obligations of good faith, honesty and fair dealing.</w:t>
      </w:r>
    </w:p>
    <w:p w:rsidR="0052330E" w:rsidRDefault="00627F5E">
      <w:pPr>
        <w:pStyle w:val="BodyText"/>
        <w:numPr>
          <w:ilvl w:val="0"/>
          <w:numId w:val="1"/>
        </w:numPr>
        <w:ind w:left="720" w:hanging="720"/>
        <w:rPr>
          <w:szCs w:val="24"/>
        </w:rPr>
      </w:pPr>
      <w:r>
        <w:rPr>
          <w:szCs w:val="24"/>
        </w:rPr>
        <w:t>What law governs joint ventures?</w:t>
      </w:r>
    </w:p>
    <w:p w:rsidR="0052330E" w:rsidRDefault="00627F5E">
      <w:pPr>
        <w:pStyle w:val="BodyText"/>
        <w:numPr>
          <w:ilvl w:val="1"/>
          <w:numId w:val="1"/>
        </w:numPr>
        <w:ind w:left="1440" w:hanging="720"/>
        <w:rPr>
          <w:szCs w:val="24"/>
        </w:rPr>
      </w:pPr>
      <w:r>
        <w:rPr>
          <w:szCs w:val="24"/>
        </w:rPr>
        <w:t>It is a matter for the contracting parties to decide. Where the parties have agreed upon a foreign law be applicable, an Israeli Court will usually apply such law. Israeli Courts will enforce substantive law as agreed upon in a contract, but in order to facilitate the trial, Israeli procedure will be applied.</w:t>
      </w:r>
    </w:p>
    <w:p w:rsidR="0052330E" w:rsidRDefault="00627F5E">
      <w:pPr>
        <w:pStyle w:val="BodyText"/>
        <w:numPr>
          <w:ilvl w:val="1"/>
          <w:numId w:val="1"/>
        </w:numPr>
        <w:ind w:left="1440" w:hanging="720"/>
        <w:rPr>
          <w:szCs w:val="24"/>
        </w:rPr>
      </w:pPr>
      <w:r>
        <w:rPr>
          <w:szCs w:val="24"/>
        </w:rPr>
        <w:t>With international joint ventures, arbitration may be the only acceptable and viable dispute resolution method where all relevant parties to a dispute can appear and resolve their differences.  Arbitration permits the resolution of international disputes in a neutral forum by independent decision makers.</w:t>
      </w:r>
    </w:p>
    <w:p w:rsidR="0052330E" w:rsidRDefault="00627F5E">
      <w:pPr>
        <w:pStyle w:val="BodyText"/>
        <w:numPr>
          <w:ilvl w:val="0"/>
          <w:numId w:val="1"/>
        </w:numPr>
        <w:ind w:left="720" w:hanging="720"/>
        <w:rPr>
          <w:szCs w:val="24"/>
        </w:rPr>
      </w:pPr>
      <w:r>
        <w:rPr>
          <w:szCs w:val="24"/>
        </w:rPr>
        <w:t>What is an international joint venture?</w:t>
      </w:r>
    </w:p>
    <w:p w:rsidR="0052330E" w:rsidRDefault="00627F5E">
      <w:pPr>
        <w:pStyle w:val="BodyText"/>
        <w:ind w:left="720" w:firstLine="0"/>
        <w:rPr>
          <w:szCs w:val="24"/>
        </w:rPr>
      </w:pPr>
      <w:r>
        <w:rPr>
          <w:szCs w:val="24"/>
        </w:rPr>
        <w:t>International joint ventures involve joint venture partners from different countries who may conduct the venture in one of partner countries, in a third world country, or in multiple countries.</w:t>
      </w:r>
    </w:p>
    <w:p w:rsidR="0052330E" w:rsidRDefault="00627F5E">
      <w:pPr>
        <w:pStyle w:val="BodyText"/>
        <w:ind w:left="720" w:firstLine="0"/>
        <w:rPr>
          <w:szCs w:val="24"/>
        </w:rPr>
      </w:pPr>
      <w:r>
        <w:rPr>
          <w:szCs w:val="24"/>
        </w:rPr>
        <w:t>If the joint venture partner is a foreign entity joining with a United States company in a United States venture, the choice is between operating in the United States through a domestic branch of a foreign corporation or as a United States subsidiary.</w:t>
      </w:r>
    </w:p>
    <w:p w:rsidR="0052330E" w:rsidRDefault="00627F5E">
      <w:pPr>
        <w:pStyle w:val="BodyText"/>
        <w:numPr>
          <w:ilvl w:val="0"/>
          <w:numId w:val="1"/>
        </w:numPr>
        <w:ind w:left="720" w:hanging="720"/>
        <w:rPr>
          <w:szCs w:val="24"/>
        </w:rPr>
      </w:pPr>
      <w:r>
        <w:rPr>
          <w:szCs w:val="24"/>
        </w:rPr>
        <w:t>How to terminate an international joint venture?</w:t>
      </w:r>
    </w:p>
    <w:p w:rsidR="0052330E" w:rsidRDefault="00627F5E">
      <w:pPr>
        <w:pStyle w:val="BodyText"/>
        <w:numPr>
          <w:ilvl w:val="1"/>
          <w:numId w:val="1"/>
        </w:numPr>
        <w:ind w:left="1440" w:hanging="720"/>
        <w:rPr>
          <w:szCs w:val="24"/>
        </w:rPr>
      </w:pPr>
      <w:r>
        <w:rPr>
          <w:szCs w:val="24"/>
        </w:rPr>
        <w:t>Transfer of joint venture interest.</w:t>
      </w:r>
    </w:p>
    <w:p w:rsidR="0052330E" w:rsidRDefault="00627F5E">
      <w:pPr>
        <w:pStyle w:val="BodyText"/>
        <w:numPr>
          <w:ilvl w:val="2"/>
          <w:numId w:val="1"/>
        </w:numPr>
        <w:ind w:left="1800" w:hanging="360"/>
        <w:rPr>
          <w:szCs w:val="24"/>
        </w:rPr>
      </w:pPr>
      <w:r>
        <w:rPr>
          <w:szCs w:val="24"/>
        </w:rPr>
        <w:t xml:space="preserve">The bases to transfer shares should be addressed in the joint venture agreement. </w:t>
      </w:r>
    </w:p>
    <w:p w:rsidR="0052330E" w:rsidRDefault="00627F5E">
      <w:pPr>
        <w:pStyle w:val="BodyText"/>
        <w:numPr>
          <w:ilvl w:val="1"/>
          <w:numId w:val="1"/>
        </w:numPr>
        <w:ind w:left="1440" w:hanging="720"/>
        <w:rPr>
          <w:szCs w:val="24"/>
        </w:rPr>
      </w:pPr>
      <w:r>
        <w:rPr>
          <w:szCs w:val="24"/>
        </w:rPr>
        <w:t>Sale of the company.</w:t>
      </w:r>
    </w:p>
    <w:p w:rsidR="0052330E" w:rsidRDefault="00627F5E">
      <w:pPr>
        <w:pStyle w:val="BodyText"/>
        <w:numPr>
          <w:ilvl w:val="2"/>
          <w:numId w:val="1"/>
        </w:numPr>
        <w:tabs>
          <w:tab w:val="left" w:pos="2970"/>
        </w:tabs>
        <w:ind w:left="1800" w:hanging="360"/>
        <w:rPr>
          <w:szCs w:val="24"/>
        </w:rPr>
      </w:pPr>
      <w:r>
        <w:rPr>
          <w:szCs w:val="24"/>
        </w:rPr>
        <w:t>Sale of interests tends to maximize shareholder value since it requires independent valuations and appraisals for sources outside of the joint venture.</w:t>
      </w:r>
    </w:p>
    <w:p w:rsidR="0052330E" w:rsidRDefault="00627F5E">
      <w:pPr>
        <w:pStyle w:val="BodyText"/>
        <w:numPr>
          <w:ilvl w:val="1"/>
          <w:numId w:val="1"/>
        </w:numPr>
        <w:ind w:left="1440" w:hanging="720"/>
        <w:rPr>
          <w:szCs w:val="24"/>
        </w:rPr>
      </w:pPr>
      <w:r>
        <w:rPr>
          <w:szCs w:val="24"/>
        </w:rPr>
        <w:t>Dissolution of the company.</w:t>
      </w:r>
    </w:p>
    <w:p w:rsidR="0052330E" w:rsidRDefault="00627F5E">
      <w:pPr>
        <w:pStyle w:val="BodyText"/>
        <w:numPr>
          <w:ilvl w:val="2"/>
          <w:numId w:val="1"/>
        </w:numPr>
        <w:ind w:left="1800" w:hanging="360"/>
        <w:rPr>
          <w:szCs w:val="24"/>
        </w:rPr>
      </w:pPr>
      <w:r>
        <w:rPr>
          <w:szCs w:val="24"/>
        </w:rPr>
        <w:t>Accomplished through arbitration.</w:t>
      </w:r>
    </w:p>
    <w:p w:rsidR="0052330E" w:rsidRDefault="00627F5E">
      <w:pPr>
        <w:pStyle w:val="BodyText"/>
        <w:numPr>
          <w:ilvl w:val="0"/>
          <w:numId w:val="1"/>
        </w:numPr>
        <w:ind w:left="720" w:hanging="720"/>
        <w:rPr>
          <w:szCs w:val="24"/>
        </w:rPr>
      </w:pPr>
      <w:r>
        <w:rPr>
          <w:szCs w:val="24"/>
        </w:rPr>
        <w:t>What are the risks to consider with an international joint venture?</w:t>
      </w:r>
    </w:p>
    <w:p w:rsidR="0052330E" w:rsidRDefault="00627F5E">
      <w:pPr>
        <w:pStyle w:val="BodyText"/>
        <w:numPr>
          <w:ilvl w:val="1"/>
          <w:numId w:val="1"/>
        </w:numPr>
        <w:ind w:left="1440" w:hanging="720"/>
        <w:rPr>
          <w:szCs w:val="24"/>
        </w:rPr>
      </w:pPr>
      <w:r>
        <w:rPr>
          <w:szCs w:val="24"/>
        </w:rPr>
        <w:t>Political – Consider the stability of the government in the country where the venture is to be performed.</w:t>
      </w:r>
    </w:p>
    <w:p w:rsidR="0052330E" w:rsidRDefault="00627F5E">
      <w:pPr>
        <w:pStyle w:val="BodyText"/>
        <w:numPr>
          <w:ilvl w:val="1"/>
          <w:numId w:val="1"/>
        </w:numPr>
        <w:ind w:left="1440" w:hanging="720"/>
        <w:rPr>
          <w:szCs w:val="24"/>
        </w:rPr>
      </w:pPr>
      <w:r>
        <w:rPr>
          <w:szCs w:val="24"/>
        </w:rPr>
        <w:lastRenderedPageBreak/>
        <w:t>Currency – Does exchange control currency laws of the jurisdiction restrict payment of dividends or movement of capital?</w:t>
      </w:r>
    </w:p>
    <w:p w:rsidR="0052330E" w:rsidRDefault="00627F5E">
      <w:pPr>
        <w:pStyle w:val="BodyText"/>
        <w:numPr>
          <w:ilvl w:val="1"/>
          <w:numId w:val="1"/>
        </w:numPr>
        <w:ind w:left="1440" w:hanging="720"/>
        <w:rPr>
          <w:szCs w:val="24"/>
        </w:rPr>
      </w:pPr>
      <w:r>
        <w:rPr>
          <w:szCs w:val="24"/>
        </w:rPr>
        <w:t>Local business – Existing or potential local competitors that the government provides special privileges to the detriment of the joint venture.  Address risks by working with a politically connected local partner to obtain fairness in investment and local support.</w:t>
      </w:r>
    </w:p>
    <w:p w:rsidR="0052330E" w:rsidRDefault="00627F5E">
      <w:pPr>
        <w:pStyle w:val="BodyText"/>
        <w:numPr>
          <w:ilvl w:val="1"/>
          <w:numId w:val="1"/>
        </w:numPr>
        <w:ind w:left="1440" w:hanging="720"/>
        <w:rPr>
          <w:szCs w:val="24"/>
        </w:rPr>
      </w:pPr>
      <w:r>
        <w:rPr>
          <w:szCs w:val="24"/>
        </w:rPr>
        <w:t xml:space="preserve">Legal – Contractual safeguards should be included the joint venture agreement, such as a choice of law provision. </w:t>
      </w:r>
    </w:p>
    <w:p w:rsidR="0052330E" w:rsidRDefault="00627F5E">
      <w:pPr>
        <w:pStyle w:val="BodyText"/>
        <w:numPr>
          <w:ilvl w:val="1"/>
          <w:numId w:val="1"/>
        </w:numPr>
        <w:ind w:left="1440" w:hanging="720"/>
        <w:rPr>
          <w:szCs w:val="24"/>
        </w:rPr>
      </w:pPr>
      <w:r>
        <w:rPr>
          <w:szCs w:val="24"/>
        </w:rPr>
        <w:t>Selection of entity – Is the form of joint venture going to be a corporation, limited liability company or partnership?</w:t>
      </w:r>
    </w:p>
    <w:p w:rsidR="0052330E" w:rsidRDefault="00627F5E">
      <w:pPr>
        <w:pStyle w:val="BodyText"/>
        <w:numPr>
          <w:ilvl w:val="0"/>
          <w:numId w:val="1"/>
        </w:numPr>
        <w:ind w:left="720" w:hanging="720"/>
        <w:rPr>
          <w:szCs w:val="24"/>
        </w:rPr>
      </w:pPr>
      <w:r>
        <w:rPr>
          <w:szCs w:val="24"/>
        </w:rPr>
        <w:t>What are some common contract provisions to include in international joint venture agreements?</w:t>
      </w:r>
    </w:p>
    <w:p w:rsidR="0052330E" w:rsidRDefault="00627F5E">
      <w:pPr>
        <w:pStyle w:val="BodyText"/>
        <w:numPr>
          <w:ilvl w:val="1"/>
          <w:numId w:val="1"/>
        </w:numPr>
        <w:ind w:left="1440" w:hanging="720"/>
        <w:rPr>
          <w:szCs w:val="24"/>
        </w:rPr>
      </w:pPr>
      <w:r>
        <w:rPr>
          <w:szCs w:val="24"/>
        </w:rPr>
        <w:t>Division of ownership shares.</w:t>
      </w:r>
    </w:p>
    <w:p w:rsidR="0052330E" w:rsidRDefault="00627F5E">
      <w:pPr>
        <w:pStyle w:val="BodyText"/>
        <w:numPr>
          <w:ilvl w:val="1"/>
          <w:numId w:val="1"/>
        </w:numPr>
        <w:ind w:left="1440" w:hanging="720"/>
        <w:rPr>
          <w:szCs w:val="24"/>
        </w:rPr>
      </w:pPr>
      <w:r>
        <w:rPr>
          <w:szCs w:val="24"/>
        </w:rPr>
        <w:t>Financial contribution of the parties to the capital.</w:t>
      </w:r>
    </w:p>
    <w:p w:rsidR="0052330E" w:rsidRDefault="00627F5E">
      <w:pPr>
        <w:pStyle w:val="BodyText"/>
        <w:numPr>
          <w:ilvl w:val="1"/>
          <w:numId w:val="1"/>
        </w:numPr>
        <w:ind w:left="1440" w:hanging="720"/>
        <w:rPr>
          <w:szCs w:val="24"/>
        </w:rPr>
      </w:pPr>
      <w:r>
        <w:rPr>
          <w:szCs w:val="24"/>
        </w:rPr>
        <w:t>The jurisdiction where the joint venture is going to be formed (usually this determines the governing law).</w:t>
      </w:r>
    </w:p>
    <w:p w:rsidR="0052330E" w:rsidRDefault="00627F5E">
      <w:pPr>
        <w:pStyle w:val="BodyText"/>
        <w:numPr>
          <w:ilvl w:val="1"/>
          <w:numId w:val="1"/>
        </w:numPr>
        <w:ind w:left="1440" w:hanging="720"/>
        <w:rPr>
          <w:szCs w:val="24"/>
        </w:rPr>
      </w:pPr>
      <w:r>
        <w:rPr>
          <w:szCs w:val="24"/>
        </w:rPr>
        <w:t>Identification of the business plan.</w:t>
      </w:r>
    </w:p>
    <w:p w:rsidR="0052330E" w:rsidRDefault="00627F5E">
      <w:pPr>
        <w:pStyle w:val="BodyText"/>
        <w:numPr>
          <w:ilvl w:val="1"/>
          <w:numId w:val="1"/>
        </w:numPr>
        <w:ind w:left="1440" w:hanging="720"/>
        <w:rPr>
          <w:szCs w:val="24"/>
        </w:rPr>
      </w:pPr>
      <w:r>
        <w:rPr>
          <w:szCs w:val="24"/>
        </w:rPr>
        <w:t>Description of any ancillary contracts which are involved as a result of a contribution of assets, property, technology or services.</w:t>
      </w:r>
    </w:p>
    <w:p w:rsidR="0052330E" w:rsidRDefault="00627F5E">
      <w:pPr>
        <w:pStyle w:val="BodyText"/>
        <w:numPr>
          <w:ilvl w:val="1"/>
          <w:numId w:val="1"/>
        </w:numPr>
        <w:ind w:left="1440" w:hanging="720"/>
        <w:rPr>
          <w:szCs w:val="24"/>
        </w:rPr>
      </w:pPr>
      <w:r>
        <w:rPr>
          <w:szCs w:val="24"/>
        </w:rPr>
        <w:t>Clarification of the balance of decision making powers between (i) the shareholders, (ii) board of directors, and (iii) individual executives of the joint venture.</w:t>
      </w:r>
    </w:p>
    <w:p w:rsidR="0052330E" w:rsidRDefault="00627F5E">
      <w:pPr>
        <w:pStyle w:val="BodyText"/>
        <w:numPr>
          <w:ilvl w:val="1"/>
          <w:numId w:val="1"/>
        </w:numPr>
        <w:ind w:left="1440" w:hanging="720"/>
        <w:rPr>
          <w:szCs w:val="24"/>
        </w:rPr>
      </w:pPr>
      <w:r>
        <w:rPr>
          <w:szCs w:val="24"/>
        </w:rPr>
        <w:t>Terms for a party to sell its shares in the joint venture.</w:t>
      </w:r>
    </w:p>
    <w:p w:rsidR="0052330E" w:rsidRDefault="00627F5E">
      <w:pPr>
        <w:pStyle w:val="BodyText"/>
        <w:numPr>
          <w:ilvl w:val="1"/>
          <w:numId w:val="1"/>
        </w:numPr>
        <w:ind w:left="1440" w:hanging="720"/>
        <w:rPr>
          <w:szCs w:val="24"/>
        </w:rPr>
      </w:pPr>
      <w:r>
        <w:rPr>
          <w:szCs w:val="24"/>
        </w:rPr>
        <w:t>Terms for bringing the joint venture to an end.</w:t>
      </w:r>
    </w:p>
    <w:p w:rsidR="0052330E" w:rsidRDefault="0052330E">
      <w:pPr>
        <w:pStyle w:val="BodyText"/>
        <w:ind w:firstLine="0"/>
        <w:rPr>
          <w:szCs w:val="24"/>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52330E">
        <w:tc>
          <w:tcPr>
            <w:tcW w:w="4860" w:type="dxa"/>
          </w:tcPr>
          <w:p w:rsidR="0052330E" w:rsidRDefault="00627F5E">
            <w:pPr>
              <w:pStyle w:val="BodyText"/>
              <w:spacing w:after="0"/>
              <w:ind w:firstLine="162"/>
              <w:jc w:val="center"/>
              <w:rPr>
                <w:szCs w:val="24"/>
              </w:rPr>
            </w:pPr>
            <w:r>
              <w:rPr>
                <w:szCs w:val="24"/>
              </w:rPr>
              <w:t>Michael H. Traison</w:t>
            </w:r>
          </w:p>
          <w:p w:rsidR="0052330E" w:rsidRDefault="00627F5E">
            <w:pPr>
              <w:pStyle w:val="BodyText"/>
              <w:spacing w:after="0"/>
              <w:ind w:firstLine="162"/>
              <w:jc w:val="center"/>
              <w:rPr>
                <w:szCs w:val="24"/>
              </w:rPr>
            </w:pPr>
            <w:r>
              <w:rPr>
                <w:szCs w:val="24"/>
              </w:rPr>
              <w:t>Miller, Canfield, Paddock and Stone, PLC</w:t>
            </w:r>
          </w:p>
          <w:p w:rsidR="0052330E" w:rsidRDefault="00383019">
            <w:pPr>
              <w:pStyle w:val="BodyText"/>
              <w:spacing w:after="0"/>
              <w:ind w:firstLine="162"/>
              <w:jc w:val="center"/>
              <w:rPr>
                <w:szCs w:val="24"/>
              </w:rPr>
            </w:pPr>
            <w:hyperlink r:id="rId8" w:history="1">
              <w:r w:rsidR="00627F5E">
                <w:rPr>
                  <w:rStyle w:val="Hyperlink"/>
                  <w:szCs w:val="24"/>
                </w:rPr>
                <w:t>traison@millercanfield.com</w:t>
              </w:r>
            </w:hyperlink>
          </w:p>
          <w:p w:rsidR="0052330E" w:rsidRDefault="0052330E">
            <w:pPr>
              <w:pStyle w:val="BodyText"/>
              <w:spacing w:after="0"/>
              <w:ind w:firstLine="162"/>
              <w:jc w:val="center"/>
              <w:rPr>
                <w:szCs w:val="24"/>
              </w:rPr>
            </w:pPr>
          </w:p>
          <w:p w:rsidR="0052330E" w:rsidRDefault="00627F5E">
            <w:pPr>
              <w:pStyle w:val="BodyText"/>
              <w:spacing w:after="0"/>
              <w:ind w:firstLine="162"/>
              <w:jc w:val="center"/>
              <w:rPr>
                <w:szCs w:val="24"/>
              </w:rPr>
            </w:pPr>
            <w:r>
              <w:rPr>
                <w:szCs w:val="24"/>
              </w:rPr>
              <w:t>225 W. Washington, Suite 2600</w:t>
            </w:r>
          </w:p>
          <w:p w:rsidR="0052330E" w:rsidRDefault="00627F5E">
            <w:pPr>
              <w:pStyle w:val="BodyText"/>
              <w:spacing w:after="0"/>
              <w:ind w:firstLine="162"/>
              <w:jc w:val="center"/>
              <w:rPr>
                <w:szCs w:val="24"/>
              </w:rPr>
            </w:pPr>
            <w:r>
              <w:rPr>
                <w:szCs w:val="24"/>
              </w:rPr>
              <w:t>Chicago, IL 60606</w:t>
            </w:r>
          </w:p>
          <w:p w:rsidR="0052330E" w:rsidRDefault="00627F5E">
            <w:pPr>
              <w:pStyle w:val="BodyText"/>
              <w:spacing w:after="0"/>
              <w:ind w:firstLine="162"/>
              <w:jc w:val="center"/>
              <w:rPr>
                <w:szCs w:val="24"/>
              </w:rPr>
            </w:pPr>
            <w:r>
              <w:rPr>
                <w:szCs w:val="24"/>
              </w:rPr>
              <w:t>(312) 460-4230</w:t>
            </w:r>
          </w:p>
          <w:p w:rsidR="0052330E" w:rsidRDefault="0052330E">
            <w:pPr>
              <w:pStyle w:val="BodyText"/>
              <w:spacing w:after="0"/>
              <w:ind w:firstLine="162"/>
              <w:jc w:val="center"/>
              <w:rPr>
                <w:szCs w:val="24"/>
              </w:rPr>
            </w:pPr>
          </w:p>
          <w:p w:rsidR="0052330E" w:rsidRDefault="00627F5E">
            <w:pPr>
              <w:pStyle w:val="BodyText"/>
              <w:spacing w:after="0"/>
              <w:ind w:firstLine="162"/>
              <w:jc w:val="center"/>
              <w:rPr>
                <w:szCs w:val="24"/>
              </w:rPr>
            </w:pPr>
            <w:r>
              <w:t>רחוב 177 Hanaasi הרצליה פיתוח 45399 ישראל +972.544.71.71.27</w:t>
            </w:r>
          </w:p>
        </w:tc>
        <w:tc>
          <w:tcPr>
            <w:tcW w:w="4770" w:type="dxa"/>
          </w:tcPr>
          <w:p w:rsidR="0052330E" w:rsidRDefault="00627F5E">
            <w:pPr>
              <w:pStyle w:val="BodyText"/>
              <w:spacing w:after="0"/>
              <w:ind w:firstLine="162"/>
              <w:jc w:val="center"/>
              <w:rPr>
                <w:szCs w:val="24"/>
              </w:rPr>
            </w:pPr>
            <w:r>
              <w:rPr>
                <w:szCs w:val="24"/>
              </w:rPr>
              <w:t>Marc N. Swanson</w:t>
            </w:r>
          </w:p>
          <w:p w:rsidR="0052330E" w:rsidRDefault="00627F5E">
            <w:pPr>
              <w:pStyle w:val="BodyText"/>
              <w:spacing w:after="0"/>
              <w:ind w:firstLine="162"/>
              <w:jc w:val="center"/>
              <w:rPr>
                <w:szCs w:val="24"/>
              </w:rPr>
            </w:pPr>
            <w:r>
              <w:rPr>
                <w:szCs w:val="24"/>
              </w:rPr>
              <w:t>Miller, Canfield, Paddock and Stone, PLC</w:t>
            </w:r>
          </w:p>
          <w:p w:rsidR="0052330E" w:rsidRDefault="00627F5E">
            <w:pPr>
              <w:pStyle w:val="BodyText"/>
              <w:spacing w:after="0"/>
              <w:ind w:firstLine="162"/>
              <w:jc w:val="center"/>
              <w:rPr>
                <w:szCs w:val="24"/>
              </w:rPr>
            </w:pPr>
            <w:r>
              <w:rPr>
                <w:szCs w:val="24"/>
              </w:rPr>
              <w:t>150 West Jefferson, Suite 2500</w:t>
            </w:r>
          </w:p>
          <w:p w:rsidR="0052330E" w:rsidRDefault="00627F5E">
            <w:pPr>
              <w:pStyle w:val="BodyText"/>
              <w:spacing w:after="0"/>
              <w:ind w:firstLine="162"/>
              <w:jc w:val="center"/>
              <w:rPr>
                <w:szCs w:val="24"/>
              </w:rPr>
            </w:pPr>
            <w:r>
              <w:rPr>
                <w:szCs w:val="24"/>
              </w:rPr>
              <w:t>Detroit, MI 48226-4415</w:t>
            </w:r>
          </w:p>
          <w:p w:rsidR="0052330E" w:rsidRDefault="00627F5E">
            <w:pPr>
              <w:pStyle w:val="BodyText"/>
              <w:spacing w:after="0"/>
              <w:ind w:firstLine="162"/>
              <w:jc w:val="center"/>
              <w:rPr>
                <w:szCs w:val="24"/>
              </w:rPr>
            </w:pPr>
            <w:r>
              <w:rPr>
                <w:szCs w:val="24"/>
              </w:rPr>
              <w:t>(313) 496-7591</w:t>
            </w:r>
          </w:p>
          <w:p w:rsidR="0052330E" w:rsidRDefault="00627F5E">
            <w:pPr>
              <w:pStyle w:val="BodyText"/>
              <w:spacing w:after="0"/>
              <w:ind w:firstLine="162"/>
              <w:jc w:val="center"/>
              <w:rPr>
                <w:szCs w:val="24"/>
              </w:rPr>
            </w:pPr>
            <w:r>
              <w:rPr>
                <w:szCs w:val="24"/>
              </w:rPr>
              <w:t>swansonm@millercanfield.com</w:t>
            </w:r>
          </w:p>
        </w:tc>
      </w:tr>
    </w:tbl>
    <w:p w:rsidR="0052330E" w:rsidRDefault="0052330E">
      <w:pPr>
        <w:spacing w:line="200" w:lineRule="exact"/>
      </w:pPr>
    </w:p>
    <w:sectPr w:rsidR="0052330E">
      <w:footerReference w:type="default" r:id="rId9"/>
      <w:headerReference w:type="first" r:id="rId10"/>
      <w:footerReference w:type="first" r:id="rId11"/>
      <w:pgSz w:w="12240" w:h="15840" w:code="1"/>
      <w:pgMar w:top="1152"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19" w:rsidRDefault="00383019">
      <w:r>
        <w:separator/>
      </w:r>
    </w:p>
  </w:endnote>
  <w:endnote w:type="continuationSeparator" w:id="0">
    <w:p w:rsidR="00383019" w:rsidRDefault="0038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0E" w:rsidRDefault="00627F5E">
    <w:pPr>
      <w:pStyle w:val="Footer"/>
      <w:tabs>
        <w:tab w:val="clear" w:pos="4320"/>
        <w:tab w:val="clear" w:pos="8640"/>
        <w:tab w:val="center" w:pos="4680"/>
        <w:tab w:val="right" w:pos="9360"/>
      </w:tabs>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4B17A1">
      <w:rPr>
        <w:rStyle w:val="PageNumber"/>
        <w:noProof/>
      </w:rPr>
      <w:t>3</w:t>
    </w:r>
    <w:r>
      <w:rPr>
        <w:rStyle w:val="PageNumber"/>
      </w:rPr>
      <w:fldChar w:fldCharType="end"/>
    </w:r>
    <w:r>
      <w:rPr>
        <w:rStyle w:val="PageNumber"/>
      </w:rPr>
      <w:t>-</w:t>
    </w:r>
  </w:p>
  <w:p w:rsidR="0052330E" w:rsidRDefault="00627F5E">
    <w:pPr>
      <w:pStyle w:val="Footer"/>
      <w:tabs>
        <w:tab w:val="clear" w:pos="4320"/>
        <w:tab w:val="clear" w:pos="8640"/>
        <w:tab w:val="center" w:pos="4680"/>
        <w:tab w:val="right" w:pos="9360"/>
      </w:tabs>
      <w:spacing w:line="200" w:lineRule="exact"/>
      <w:rPr>
        <w:rStyle w:val="PageNumber"/>
      </w:rPr>
    </w:pPr>
    <w:r>
      <w:rPr>
        <w:rStyle w:val="zzmpTrailerItem"/>
      </w:rPr>
      <w:t>21913852.2\088888-03438</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0E" w:rsidRDefault="00627F5E">
    <w:pPr>
      <w:pStyle w:val="Footer"/>
      <w:spacing w:line="200" w:lineRule="exact"/>
    </w:pPr>
    <w:r>
      <w:rPr>
        <w:rStyle w:val="zzmpTrailerItem"/>
      </w:rPr>
      <w:t>21913852.2\088888-03438</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19" w:rsidRDefault="00383019">
      <w:r>
        <w:separator/>
      </w:r>
    </w:p>
  </w:footnote>
  <w:footnote w:type="continuationSeparator" w:id="0">
    <w:p w:rsidR="00383019" w:rsidRDefault="0038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zzmpFIXED_LHFirstPage"/>
  <w:p w:rsidR="0052330E" w:rsidRDefault="00F11FA6">
    <w:pPr>
      <w:pStyle w:val="Header"/>
      <w:spacing w:after="1728"/>
    </w:pPr>
    <w:r>
      <w:rPr>
        <w:noProof/>
        <w:sz w:val="20"/>
      </w:rPr>
      <mc:AlternateContent>
        <mc:Choice Requires="wps">
          <w:drawing>
            <wp:anchor distT="0" distB="0" distL="114300" distR="114300" simplePos="0" relativeHeight="251660288" behindDoc="0" locked="0" layoutInCell="1" allowOverlap="1">
              <wp:simplePos x="0" y="0"/>
              <wp:positionH relativeFrom="page">
                <wp:posOffset>914400</wp:posOffset>
              </wp:positionH>
              <wp:positionV relativeFrom="page">
                <wp:posOffset>457200</wp:posOffset>
              </wp:positionV>
              <wp:extent cx="103822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30E" w:rsidRDefault="0052330E">
                          <w:pPr>
                            <w:pStyle w:val="LetterheadAutho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36pt;width:81.7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MhrQ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" filled="f" stroked="f">
              <v:textbox inset="0,0,0,0">
                <w:txbxContent>
                  <w:p w:rsidR="0052330E" w:rsidRDefault="0052330E">
                    <w:pPr>
                      <w:pStyle w:val="LetterheadAuthor"/>
                      <w:rPr>
                        <w:color w:val="FFFFFF"/>
                      </w:rPr>
                    </w:pPr>
                  </w:p>
                </w:txbxContent>
              </v:textbox>
              <w10:wrap anchorx="page" anchory="page"/>
            </v:shape>
          </w:pict>
        </mc:Fallback>
      </mc:AlternateConten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5F8337"/>
    <w:multiLevelType w:val="singleLevel"/>
    <w:tmpl w:val="79FBB62A"/>
    <w:lvl w:ilvl="0">
      <w:numFmt w:val="decimal"/>
      <w:lvlText w:val=" "/>
      <w:lvlJc w:val="left"/>
    </w:lvl>
  </w:abstractNum>
  <w:abstractNum w:abstractNumId="1">
    <w:nsid w:val="9B316EBD"/>
    <w:multiLevelType w:val="singleLevel"/>
    <w:tmpl w:val="E64F4B0C"/>
    <w:lvl w:ilvl="0">
      <w:numFmt w:val="decimal"/>
      <w:lvlText w:val=" "/>
      <w:lvlJc w:val="left"/>
    </w:lvl>
  </w:abstractNum>
  <w:abstractNum w:abstractNumId="2">
    <w:nsid w:val="A3DFECD1"/>
    <w:multiLevelType w:val="singleLevel"/>
    <w:tmpl w:val="E6CDBAD3"/>
    <w:lvl w:ilvl="0">
      <w:numFmt w:val="decimal"/>
      <w:lvlText w:val=" "/>
      <w:lvlJc w:val="left"/>
    </w:lvl>
  </w:abstractNum>
  <w:abstractNum w:abstractNumId="3">
    <w:nsid w:val="D3F49DAA"/>
    <w:multiLevelType w:val="singleLevel"/>
    <w:tmpl w:val="673B236F"/>
    <w:lvl w:ilvl="0">
      <w:numFmt w:val="decimal"/>
      <w:lvlText w:val=" "/>
      <w:lvlJc w:val="left"/>
    </w:lvl>
  </w:abstractNum>
  <w:abstractNum w:abstractNumId="4">
    <w:nsid w:val="E288DB11"/>
    <w:multiLevelType w:val="singleLevel"/>
    <w:tmpl w:val="E342BD12"/>
    <w:lvl w:ilvl="0">
      <w:numFmt w:val="decimal"/>
      <w:lvlText w:val=" "/>
      <w:lvlJc w:val="left"/>
    </w:lvl>
  </w:abstractNum>
  <w:abstractNum w:abstractNumId="5">
    <w:nsid w:val="0A5B4BD6"/>
    <w:multiLevelType w:val="singleLevel"/>
    <w:tmpl w:val="CEB963B5"/>
    <w:lvl w:ilvl="0">
      <w:numFmt w:val="decimal"/>
      <w:lvlText w:val=" "/>
      <w:lvlJc w:val="left"/>
    </w:lvl>
  </w:abstractNum>
  <w:abstractNum w:abstractNumId="6">
    <w:nsid w:val="22FE77CF"/>
    <w:multiLevelType w:val="singleLevel"/>
    <w:tmpl w:val="05ECCED6"/>
    <w:lvl w:ilvl="0">
      <w:numFmt w:val="decimal"/>
      <w:lvlText w:val=" "/>
      <w:lvlJc w:val="left"/>
    </w:lvl>
  </w:abstractNum>
  <w:abstractNum w:abstractNumId="7">
    <w:nsid w:val="555E49C3"/>
    <w:multiLevelType w:val="hybridMultilevel"/>
    <w:tmpl w:val="39D40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753FE7"/>
    <w:multiLevelType w:val="singleLevel"/>
    <w:tmpl w:val="8A42506E"/>
    <w:lvl w:ilvl="0">
      <w:numFmt w:val="decimal"/>
      <w:lvlText w:val=" "/>
      <w:lvlJc w:val="left"/>
    </w:lvl>
  </w:abstractNum>
  <w:abstractNum w:abstractNumId="9">
    <w:nsid w:val="65BD0B4E"/>
    <w:multiLevelType w:val="singleLevel"/>
    <w:tmpl w:val="9BA224CE"/>
    <w:lvl w:ilvl="0">
      <w:numFmt w:val="decimal"/>
      <w:lvlText w:val=" "/>
      <w:lvlJc w:val="left"/>
    </w:lvl>
  </w:abstractNum>
  <w:abstractNum w:abstractNumId="10">
    <w:nsid w:val="69675E20"/>
    <w:multiLevelType w:val="hybridMultilevel"/>
    <w:tmpl w:val="5C64F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A0B069B"/>
    <w:multiLevelType w:val="hybridMultilevel"/>
    <w:tmpl w:val="4978FB8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nsid w:val="6A6A23FC"/>
    <w:multiLevelType w:val="hybridMultilevel"/>
    <w:tmpl w:val="7388A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6"/>
  </w:num>
  <w:num w:numId="4">
    <w:abstractNumId w:val="8"/>
  </w:num>
  <w:num w:numId="5">
    <w:abstractNumId w:val="1"/>
  </w:num>
  <w:num w:numId="6">
    <w:abstractNumId w:val="2"/>
  </w:num>
  <w:num w:numId="7">
    <w:abstractNumId w:val="5"/>
  </w:num>
  <w:num w:numId="8">
    <w:abstractNumId w:val="4"/>
  </w:num>
  <w:num w:numId="9">
    <w:abstractNumId w:val="11"/>
  </w:num>
  <w:num w:numId="10">
    <w:abstractNumId w:val="10"/>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bpfile" w:val="Memo.mbp"/>
    <w:docVar w:name="Memo_1_Alignment" w:val="3"/>
    <w:docVar w:name="Memo_1_Author" w:val="540"/>
    <w:docVar w:name="Memo_1_AuthorName" w:val="Marc N. Swanson"/>
    <w:docVar w:name="Memo_1_CC" w:val="Michael H. Traison"/>
    <w:docVar w:name="Memo_1_DateType" w:val="mmmm d, yyyy"/>
    <w:docVar w:name="Memo_1_FirstLineIndent" w:val="0.5"/>
    <w:docVar w:name="Memo_1_FontName" w:val="Times New Roman"/>
    <w:docVar w:name="Memo_1_FontSize" w:val="12"/>
    <w:docVar w:name="Memo_1_From" w:val="Marc N. Swanson"/>
    <w:docVar w:name="Memo_1_HeaderAdditionalText" w:val="Howard I. Bernstein"/>
    <w:docVar w:name="Memo_1_IncludeDPhrases2InHeader" w:val="0"/>
    <w:docVar w:name="Memo_1_IncludeDPhrasesInHeader" w:val="0"/>
    <w:docVar w:name="Memo_1_Recipients" w:val="Howard I. Bernstein"/>
    <w:docVar w:name="Memo_1_Reline" w:val="How to form a Joint Venture between an Israeli company and an United States company"/>
    <w:docVar w:name="MemoLH_1_Author" w:val="540"/>
    <w:docVar w:name="MemoLH_1_IncludeLetterheadAdmittedIn" w:val="0"/>
    <w:docVar w:name="MemoLH_1_IncludeLetterheadCustom1" w:val="0"/>
    <w:docVar w:name="MemoLH_1_IncludeLetterheadCustom2" w:val="0"/>
    <w:docVar w:name="MemoLH_1_IncludeLetterheadCustom3" w:val="0"/>
    <w:docVar w:name="MemoLH_1_IncludeLetterheadEMail" w:val="-1"/>
    <w:docVar w:name="MemoLH_1_IncludeLetterheadFax" w:val="0"/>
    <w:docVar w:name="MemoLH_1_IncludeLetterheadName" w:val="-1"/>
    <w:docVar w:name="MemoLH_1_IncludeLetterheadPhone" w:val="-1"/>
    <w:docVar w:name="MemoLH_1_IncludeLetterheadTitle" w:val="0"/>
    <w:docVar w:name="MemoLH_1_LetterheadEMail" w:val="swansonm@millercanfield.com"/>
    <w:docVar w:name="MemoLH_1_LetterheadFax" w:val="(313) 496-8451"/>
    <w:docVar w:name="MemoLH_1_LetterheadFirmAddress1" w:val="150 West Jefferson, Suite 2500"/>
    <w:docVar w:name="MemoLH_1_LetterheadFirmCity" w:val="Detroit"/>
    <w:docVar w:name="MemoLH_1_LetterheadFirmCountry" w:val="U.S.A."/>
    <w:docVar w:name="MemoLH_1_LetterheadFirmDisplayName" w:val="Detroit"/>
    <w:docVar w:name="MemoLH_1_LetterheadFirmFax" w:val="(313) 496-7500"/>
    <w:docVar w:name="MemoLH_1_LetterheadFirmID" w:val="44444"/>
    <w:docVar w:name="MemoLH_1_LetterheadFirmName" w:val="Miller, Canfield, Paddock and Stone, P.L.C."/>
    <w:docVar w:name="MemoLH_1_LetterheadFirmPhone" w:val="(313) 963-6420"/>
    <w:docVar w:name="MemoLH_1_LetterheadFirmState" w:val="Michigan"/>
    <w:docVar w:name="MemoLH_1_LetterheadFirmStateAbbr" w:val="MI"/>
    <w:docVar w:name="MemoLH_1_LetterheadFirmURL" w:val="www.millercanfield.com"/>
    <w:docVar w:name="MemoLH_1_LetterheadFirmZip" w:val="48226"/>
    <w:docVar w:name="MemoLH_1_LetterheadName" w:val="Marc N. Swanson"/>
    <w:docVar w:name="MemoLH_1_LetterheadPhone" w:val="(313) 496-7591"/>
    <w:docVar w:name="MemoLH_1_LetterheadType" w:val="4"/>
    <w:docVar w:name="MPDocID" w:val="21913852.2\088888-03438"/>
    <w:docVar w:name="MPDocIDLibrary" w:val="ACTIVE"/>
    <w:docVar w:name="MPDocIDTemplate" w:val="%n|.%v|\%c|-%m"/>
    <w:docVar w:name="MPDocIDTemplateDefault" w:val="%n|.%v|\%c|-%m"/>
    <w:docVar w:name="NewDocStampType" w:val="1"/>
    <w:docVar w:name="ReUseAuthor" w:val="540|Swanson, Marc N.|swansonm@millercanfield.com|(313) 496-8451|Marc|Marc N. Swanson|Marc Swanson|MNS|2652\\P71149\True|True|Swanson|N.|4|(313) 496-7591||zzmpAdmittedIn??|fldUserNumber??3438"/>
    <w:docVar w:name="ReuseAuthorOptions" w:val="fldID??-99999999|fldLastEditTime??1/20/2000 5:38:25 PM|cmbLetterheadType??4|chkIncludeLetterheadName??-1|chkIncludeLetterheadPhone??-1|chkIncludeLetterheadEMail??-1|chkIncludeLetterheadTitle??0|chkIncludeLetterheadFax??0|chkIncludeLetterheadAdmittedIn??0|chkIncludeLetterheadCustom1??0|chkIncludeLetterheadCustom2??0|chkIncludeLetterheadCustom3??0|cmbDateType??mmmm d, yyyy|cmbBodyTextAlignment??3|spnBodyTextFirstLineIndent??0.5|cmbNormalFontName??Times New Roman|spnNormalFontSize??12"/>
    <w:docVar w:name="zzmpFixed_MacPacVersion" w:val="9.0"/>
  </w:docVars>
  <w:rsids>
    <w:rsidRoot w:val="0052330E"/>
    <w:rsid w:val="00383019"/>
    <w:rsid w:val="004B17A1"/>
    <w:rsid w:val="0052330E"/>
    <w:rsid w:val="00627F5E"/>
    <w:rsid w:val="00F1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DDDEF-E760-410C-93B7-D2E4F7D4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1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rFonts w:ascii="Times New Roman" w:eastAsiaTheme="minorHAnsi" w:hAnsi="Times New Roman" w:cs="Times New Roman"/>
      <w:sz w:val="24"/>
      <w:szCs w:val="24"/>
      <w:lang w:eastAsia="en-US"/>
    </w:rPr>
  </w:style>
  <w:style w:type="paragraph" w:customStyle="1" w:styleId="BodyTextContinued">
    <w:name w:val="Body Text Continued"/>
    <w:basedOn w:val="BodyText"/>
    <w:next w:val="BodyText"/>
    <w:pPr>
      <w:ind w:firstLine="0"/>
    </w:p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heme="minorHAnsi" w:hAnsi="Times New Roman" w:cs="Times New Roman"/>
      <w:sz w:val="24"/>
      <w:szCs w:val="24"/>
      <w:lang w:eastAsia="en-US"/>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heme="minorHAnsi" w:hAnsi="Times New Roman" w:cs="Times New Roman"/>
      <w:sz w:val="24"/>
      <w:szCs w:val="24"/>
      <w:lang w:eastAsia="en-US"/>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heme="minorHAnsi" w:hAnsi="Times New Roman" w:cs="Arial"/>
      <w:sz w:val="24"/>
      <w:szCs w:val="24"/>
      <w:lang w:eastAsia="en-US"/>
    </w:rPr>
  </w:style>
  <w:style w:type="character" w:styleId="BookTitle">
    <w:name w:val="Book Title"/>
    <w:basedOn w:val="DefaultParagraphFont"/>
    <w:uiPriority w:val="99"/>
    <w:rPr>
      <w:b/>
      <w:bCs/>
      <w:smallCaps/>
      <w:spacing w:val="5"/>
    </w:rPr>
  </w:style>
  <w:style w:type="paragraph" w:customStyle="1" w:styleId="Centered">
    <w:name w:val="Centered"/>
    <w:basedOn w:val="Normal"/>
    <w:next w:val="BodyText"/>
    <w:uiPriority w:val="11"/>
    <w:pPr>
      <w:spacing w:after="240" w:line="240" w:lineRule="exact"/>
      <w:jc w:val="center"/>
    </w:pPr>
  </w:style>
  <w:style w:type="character" w:styleId="Emphasis">
    <w:name w:val="Emphasis"/>
    <w:basedOn w:val="DefaultParagraphFont"/>
    <w:uiPriority w:val="11"/>
    <w:rPr>
      <w:i/>
      <w:iC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character" w:styleId="FootnoteReference">
    <w:name w:val="footnote reference"/>
    <w:basedOn w:val="DefaultParagraphFont"/>
    <w:uiPriority w:val="6"/>
    <w:semiHidden/>
    <w:unhideWhenUsed/>
    <w:rPr>
      <w:vertAlign w:val="superscript"/>
    </w:rPr>
  </w:style>
  <w:style w:type="paragraph" w:styleId="FootnoteText">
    <w:name w:val="footnote text"/>
    <w:basedOn w:val="Normal"/>
    <w:link w:val="FootnoteTextChar"/>
    <w:uiPriority w:val="6"/>
    <w:unhideWhenUsed/>
    <w:pPr>
      <w:spacing w:after="120"/>
    </w:pPr>
  </w:style>
  <w:style w:type="character" w:customStyle="1" w:styleId="FootnoteTextChar">
    <w:name w:val="Footnote Text Char"/>
    <w:basedOn w:val="DefaultParagraphFont"/>
    <w:link w:val="FootnoteText"/>
    <w:uiPriority w:val="6"/>
    <w:rPr>
      <w:rFonts w:ascii="Times New Roman" w:eastAsiaTheme="minorHAnsi" w:hAnsi="Times New Roman" w:cs="Times New Roman"/>
      <w:sz w:val="24"/>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US"/>
    </w:rPr>
  </w:style>
  <w:style w:type="character" w:customStyle="1" w:styleId="Heading1Char">
    <w:name w:val="Heading 1 Char"/>
    <w:basedOn w:val="DefaultParagraphFont"/>
    <w:link w:val="Heading1"/>
    <w:uiPriority w:val="2"/>
    <w:rPr>
      <w:rFonts w:ascii="Times New Roman" w:eastAsiaTheme="minorHAnsi" w:hAnsi="Times New Roman" w:cs="Times New Roman"/>
      <w:b/>
      <w:kern w:val="28"/>
      <w:sz w:val="28"/>
      <w:szCs w:val="24"/>
      <w:lang w:eastAsia="en-US"/>
    </w:rPr>
  </w:style>
  <w:style w:type="character" w:customStyle="1" w:styleId="Heading2Char">
    <w:name w:val="Heading 2 Char"/>
    <w:basedOn w:val="DefaultParagraphFont"/>
    <w:link w:val="Heading2"/>
    <w:uiPriority w:val="2"/>
    <w:rPr>
      <w:rFonts w:ascii="Arial" w:eastAsiaTheme="minorHAnsi" w:hAnsi="Arial" w:cs="Times New Roman"/>
      <w:b/>
      <w:sz w:val="24"/>
      <w:szCs w:val="24"/>
      <w:lang w:eastAsia="en-US"/>
    </w:rPr>
  </w:style>
  <w:style w:type="character" w:customStyle="1" w:styleId="Heading3Char">
    <w:name w:val="Heading 3 Char"/>
    <w:basedOn w:val="DefaultParagraphFont"/>
    <w:link w:val="Heading3"/>
    <w:uiPriority w:val="2"/>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2"/>
    <w:rPr>
      <w:rFonts w:ascii="Times New Roman" w:eastAsiaTheme="minorHAnsi" w:hAnsi="Times New Roman" w:cs="Times New Roman"/>
      <w:b/>
      <w:sz w:val="26"/>
      <w:szCs w:val="24"/>
      <w:lang w:eastAsia="en-US"/>
    </w:rPr>
  </w:style>
  <w:style w:type="character" w:customStyle="1" w:styleId="Heading5Char">
    <w:name w:val="Heading 5 Char"/>
    <w:basedOn w:val="DefaultParagraphFont"/>
    <w:link w:val="Heading5"/>
    <w:uiPriority w:val="2"/>
    <w:rPr>
      <w:rFonts w:ascii="Times New Roman" w:eastAsiaTheme="minorHAnsi" w:hAnsi="Times New Roman" w:cs="Times New Roman"/>
      <w:szCs w:val="24"/>
      <w:lang w:eastAsia="en-US"/>
    </w:rPr>
  </w:style>
  <w:style w:type="character" w:customStyle="1" w:styleId="Heading6Char">
    <w:name w:val="Heading 6 Char"/>
    <w:basedOn w:val="DefaultParagraphFont"/>
    <w:link w:val="Heading6"/>
    <w:uiPriority w:val="2"/>
    <w:rPr>
      <w:rFonts w:ascii="Times New Roman" w:eastAsiaTheme="minorHAnsi" w:hAnsi="Times New Roman" w:cs="Times New Roman"/>
      <w:i/>
      <w:szCs w:val="24"/>
      <w:lang w:eastAsia="en-US"/>
    </w:rPr>
  </w:style>
  <w:style w:type="character" w:customStyle="1" w:styleId="Heading7Char">
    <w:name w:val="Heading 7 Char"/>
    <w:basedOn w:val="DefaultParagraphFont"/>
    <w:link w:val="Heading7"/>
    <w:uiPriority w:val="2"/>
    <w:rPr>
      <w:rFonts w:ascii="Times New Roman" w:eastAsiaTheme="minorHAnsi" w:hAnsi="Times New Roman" w:cs="Times New Roman"/>
      <w:sz w:val="24"/>
      <w:szCs w:val="24"/>
      <w:lang w:eastAsia="en-US"/>
    </w:rPr>
  </w:style>
  <w:style w:type="character" w:customStyle="1" w:styleId="Heading8Char">
    <w:name w:val="Heading 8 Char"/>
    <w:basedOn w:val="DefaultParagraphFont"/>
    <w:link w:val="Heading8"/>
    <w:uiPriority w:val="2"/>
    <w:rPr>
      <w:rFonts w:ascii="Times New Roman" w:eastAsiaTheme="minorHAnsi" w:hAnsi="Times New Roman" w:cs="Times New Roman"/>
      <w:i/>
      <w:sz w:val="24"/>
      <w:szCs w:val="24"/>
      <w:lang w:eastAsia="en-US"/>
    </w:rPr>
  </w:style>
  <w:style w:type="character" w:customStyle="1" w:styleId="Heading9Char">
    <w:name w:val="Heading 9 Char"/>
    <w:basedOn w:val="DefaultParagraphFont"/>
    <w:link w:val="Heading9"/>
    <w:uiPriority w:val="2"/>
    <w:rPr>
      <w:rFonts w:ascii="Times New Roman" w:eastAsiaTheme="minorHAnsi" w:hAnsi="Times New Roman" w:cs="Times New Roman"/>
      <w:b/>
      <w:i/>
      <w:sz w:val="18"/>
      <w:szCs w:val="24"/>
      <w:lang w:eastAsia="en-US"/>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IndentLeft">
    <w:name w:val="IndentLeft"/>
    <w:basedOn w:val="Normal"/>
    <w:qFormat/>
    <w:pPr>
      <w:spacing w:before="240"/>
      <w:ind w:left="720"/>
    </w:pPr>
    <w:rPr>
      <w:sz w:val="26"/>
    </w:rPr>
  </w:style>
  <w:style w:type="character" w:styleId="IntenseEmphasis">
    <w:name w:val="Intense Emphasis"/>
    <w:basedOn w:val="DefaultParagraphFont"/>
    <w:uiPriority w:val="99"/>
    <w:rPr>
      <w:b/>
      <w:bCs/>
      <w:i/>
      <w:iCs/>
      <w:color w:val="4F81BD" w:themeColor="accent1"/>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eastAsiaTheme="minorHAnsi"/>
      <w:b/>
      <w:bCs/>
      <w:i/>
      <w:iCs/>
      <w:color w:val="4F81BD" w:themeColor="accent1"/>
      <w:sz w:val="24"/>
      <w:lang w:eastAsia="en-US"/>
    </w:rPr>
  </w:style>
  <w:style w:type="character" w:styleId="IntenseReference">
    <w:name w:val="Intense Reference"/>
    <w:basedOn w:val="DefaultParagraphFont"/>
    <w:uiPriority w:val="99"/>
    <w:rPr>
      <w:b/>
      <w:bCs/>
      <w:smallCaps/>
      <w:color w:val="C0504D" w:themeColor="accent2"/>
      <w:spacing w:val="5"/>
      <w:u w:val="single"/>
    </w:rPr>
  </w:style>
  <w:style w:type="paragraph" w:customStyle="1" w:styleId="LeftHeading">
    <w:name w:val="Left Heading"/>
    <w:basedOn w:val="Normal"/>
    <w:next w:val="Normal"/>
    <w:qFormat/>
    <w:rPr>
      <w:b/>
    </w:rPr>
  </w:style>
  <w:style w:type="paragraph" w:styleId="ListParagraph">
    <w:name w:val="List Paragraph"/>
    <w:basedOn w:val="Normal"/>
    <w:uiPriority w:val="99"/>
    <w:pPr>
      <w:ind w:left="720"/>
    </w:pPr>
  </w:style>
  <w:style w:type="paragraph" w:styleId="NoSpacing">
    <w:name w:val="No Spacing"/>
    <w:uiPriority w:val="11"/>
    <w:unhideWhenUsed/>
    <w:pPr>
      <w:spacing w:after="0" w:line="240" w:lineRule="auto"/>
    </w:pPr>
    <w:rPr>
      <w:rFonts w:ascii="Times New Roman" w:eastAsiaTheme="minorHAnsi" w:hAnsi="Times New Roman" w:cs="Times New Roman"/>
      <w:sz w:val="24"/>
      <w:szCs w:val="20"/>
      <w:lang w:eastAsia="en-US"/>
    </w:rPr>
  </w:style>
  <w:style w:type="character" w:styleId="PageNumber">
    <w:name w:val="page number"/>
    <w:basedOn w:val="DefaultParagraphFont"/>
  </w:style>
  <w:style w:type="paragraph" w:styleId="Quote">
    <w:name w:val="Quote"/>
    <w:basedOn w:val="Normal"/>
    <w:next w:val="BodyTextContinued"/>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cs="Times New Roman"/>
      <w:sz w:val="24"/>
      <w:szCs w:val="20"/>
      <w:lang w:eastAsia="en-US"/>
    </w:r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heme="minorHAnsi" w:hAnsi="Times New Roman" w:cs="Times New Roman"/>
      <w:b/>
      <w:sz w:val="24"/>
      <w:szCs w:val="24"/>
      <w:lang w:eastAsia="en-US"/>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table" w:styleId="TableGrid">
    <w:name w:val="Table Grid"/>
    <w:basedOn w:val="TableNormal"/>
    <w:pPr>
      <w:spacing w:after="0" w:line="240" w:lineRule="auto"/>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before="120" w:after="240"/>
      <w:jc w:val="center"/>
      <w:outlineLvl w:val="0"/>
    </w:pPr>
    <w:rPr>
      <w:b/>
      <w:smallCaps/>
      <w:sz w:val="36"/>
    </w:rPr>
  </w:style>
  <w:style w:type="character" w:customStyle="1" w:styleId="TitleChar">
    <w:name w:val="Title Char"/>
    <w:basedOn w:val="DefaultParagraphFont"/>
    <w:link w:val="Title"/>
    <w:rPr>
      <w:rFonts w:ascii="Times New Roman" w:eastAsia="Times New Roman" w:hAnsi="Times New Roman" w:cs="Times New Roman"/>
      <w:b/>
      <w:smallCaps/>
      <w:sz w:val="36"/>
      <w:szCs w:val="20"/>
      <w:lang w:eastAsia="en-US"/>
    </w:rPr>
  </w:style>
  <w:style w:type="paragraph" w:customStyle="1" w:styleId="Letterhead">
    <w:name w:val="Letterhead"/>
    <w:pPr>
      <w:spacing w:after="0" w:line="240" w:lineRule="auto"/>
      <w:jc w:val="center"/>
    </w:pPr>
    <w:rPr>
      <w:rFonts w:ascii="Times New Roman" w:eastAsia="Times New Roman" w:hAnsi="Times New Roman" w:cs="Times New Roman"/>
      <w:noProof/>
      <w:spacing w:val="2"/>
      <w:sz w:val="20"/>
      <w:szCs w:val="16"/>
      <w:lang w:eastAsia="en-US"/>
    </w:rPr>
  </w:style>
  <w:style w:type="paragraph" w:customStyle="1" w:styleId="DeliveryPhrase">
    <w:name w:val="Delivery Phrase"/>
    <w:basedOn w:val="Normal"/>
    <w:pPr>
      <w:spacing w:after="240"/>
    </w:pPr>
    <w:rPr>
      <w:b/>
      <w:caps/>
    </w:rPr>
  </w:style>
  <w:style w:type="paragraph" w:customStyle="1" w:styleId="tblText">
    <w:name w:val="tbl Text"/>
    <w:basedOn w:val="Normal"/>
    <w:pPr>
      <w:spacing w:after="120"/>
      <w:ind w:right="216"/>
    </w:pPr>
  </w:style>
  <w:style w:type="paragraph" w:customStyle="1" w:styleId="MemoDate">
    <w:name w:val="Memo Date"/>
    <w:basedOn w:val="tblText"/>
  </w:style>
  <w:style w:type="paragraph" w:customStyle="1" w:styleId="MemoSignatureSub">
    <w:name w:val="Memo Signature Sub"/>
    <w:basedOn w:val="Normal"/>
    <w:pPr>
      <w:spacing w:after="240"/>
      <w:ind w:left="720" w:hanging="720"/>
    </w:pPr>
  </w:style>
  <w:style w:type="paragraph" w:customStyle="1" w:styleId="tblHeading">
    <w:name w:val="tbl Heading"/>
    <w:basedOn w:val="tblText"/>
    <w:rPr>
      <w:caps/>
      <w:szCs w:val="24"/>
    </w:rPr>
  </w:style>
  <w:style w:type="paragraph" w:customStyle="1" w:styleId="MemoSignature">
    <w:name w:val="Memo Signature"/>
    <w:basedOn w:val="Normal"/>
    <w:pPr>
      <w:keepNext/>
      <w:keepLines/>
      <w:ind w:left="4680"/>
    </w:pPr>
  </w:style>
  <w:style w:type="paragraph" w:customStyle="1" w:styleId="LetterheadAuthor">
    <w:name w:val="Letterhead Author"/>
    <w:basedOn w:val="Letterhead"/>
    <w:pPr>
      <w:jc w:val="left"/>
    </w:pPr>
    <w:rPr>
      <w:spacing w:val="0"/>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eastAsia="en-US"/>
    </w:rPr>
  </w:style>
  <w:style w:type="paragraph" w:customStyle="1" w:styleId="LetterheadOffices">
    <w:name w:val="LetterheadOffices"/>
    <w:basedOn w:val="Letterhead"/>
    <w:qFormat/>
    <w:pPr>
      <w:spacing w:before="60" w:line="180" w:lineRule="exact"/>
      <w:ind w:left="360" w:right="86"/>
      <w:jc w:val="right"/>
    </w:pPr>
    <w:rPr>
      <w:spacing w:val="0"/>
      <w:sz w:val="18"/>
    </w:rPr>
  </w:style>
  <w:style w:type="paragraph" w:customStyle="1" w:styleId="LetterheadFirmName">
    <w:name w:val="Letterhead Firm Name"/>
    <w:basedOn w:val="Letterhead"/>
    <w:qFormat/>
    <w:rPr>
      <w:b/>
    </w:rPr>
  </w:style>
  <w:style w:type="paragraph" w:customStyle="1" w:styleId="LetterSignatureSub">
    <w:name w:val="Letter Signature Sub"/>
    <w:basedOn w:val="Normal"/>
    <w:pPr>
      <w:keepNext/>
      <w:keepLines/>
      <w:spacing w:before="240"/>
      <w:ind w:left="720" w:hanging="720"/>
    </w:pPr>
  </w:style>
  <w:style w:type="paragraph" w:customStyle="1" w:styleId="Circular230">
    <w:name w:val="Circular230"/>
    <w:basedOn w:val="Normal"/>
    <w:qFormat/>
    <w:pPr>
      <w:keepLines/>
      <w:spacing w:before="240"/>
      <w:jc w:val="both"/>
    </w:pPr>
    <w:rPr>
      <w:noProof/>
      <w:sz w:val="20"/>
      <w:szCs w:val="2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son@millercanfie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26A8-BB12-4F07-9F32-C7EE88A0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O'Hara, Carolynne</dc:creator>
  <cp:lastModifiedBy>Howard</cp:lastModifiedBy>
  <cp:revision>2</cp:revision>
  <cp:lastPrinted>2014-02-23T16:45:00Z</cp:lastPrinted>
  <dcterms:created xsi:type="dcterms:W3CDTF">2014-02-23T16:45:00Z</dcterms:created>
  <dcterms:modified xsi:type="dcterms:W3CDTF">2014-02-23T16:45:00Z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UFAAPw6bUgrQkNH/wNwjxKRS5N8ke/0n4Gc56iu8de3wk6u2aj/mFY1mqoskrog7bMle+QeqLq+pbij4
OzP3ex92D3iVGUL2IHskVleLaWQC+wo6uDKnbbLOmoi4XKOvGz3hrmP8C5p6Do1h0Ep+srAklnxe
N3HIGSlavHnTj8yJMMm9MFULB0h4vkcb2rFQAg89S8HPVIF5G3YxESYfKjZuJP9trlygmnLvcrP5
kNTC3qqs7rkhvklrC</vt:lpwstr>
  </property>
  <property fmtid="{D5CDD505-2E9C-101B-9397-08002B2CF9AE}" pid="3" name="MAIL_MSG_ID2">
    <vt:lpwstr>3SYcMB7Sn/H/liUibu4u+rPZFfuzRZMYYarVucx2wJoKdMOjPy6Wlz+DVJc
3f2qya+vcMQoS3+YE3QGy6EYqRM=</vt:lpwstr>
  </property>
  <property fmtid="{D5CDD505-2E9C-101B-9397-08002B2CF9AE}" pid="4" name="RESPONSE_SENDER_NAME">
    <vt:lpwstr>sAAA2RgG6J6jCJ3uLOWdNHfV6gAFGCOhTT3m+f9IwqAInk8=</vt:lpwstr>
  </property>
  <property fmtid="{D5CDD505-2E9C-101B-9397-08002B2CF9AE}" pid="5" name="EMAIL_OWNER_ADDRESS">
    <vt:lpwstr>4AAA9DNYQidmug6OoCVIE/zFieIgPuwXHpTQqHB/d85zq037eu6kBs/OLw==</vt:lpwstr>
  </property>
</Properties>
</file>