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55" w:rsidRDefault="00CF0A55" w:rsidP="00CF0A55">
      <w:bookmarkStart w:id="0" w:name="_GoBack"/>
      <w:bookmarkEnd w:id="0"/>
    </w:p>
    <w:p w:rsidR="00CF0A55" w:rsidRDefault="00CF0A55" w:rsidP="00CF0A55">
      <w:pPr>
        <w:rPr>
          <w:color w:val="1F497D"/>
        </w:rPr>
      </w:pPr>
      <w:r>
        <w:rPr>
          <w:noProof/>
          <w:color w:val="1F497D"/>
        </w:rPr>
        <w:drawing>
          <wp:inline distT="0" distB="0" distL="0" distR="0">
            <wp:extent cx="6667500" cy="1238250"/>
            <wp:effectExtent l="19050" t="0" r="0" b="0"/>
            <wp:docPr id="1" name="Picture 3" descr="Description: Description: Description: Description: Description: Description: Description: cid:image002.jpg@01CE5D21.E401F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cid:image002.jpg@01CE5D21.E401F300"/>
                    <pic:cNvPicPr>
                      <a:picLocks noChangeAspect="1" noChangeArrowheads="1"/>
                    </pic:cNvPicPr>
                  </pic:nvPicPr>
                  <pic:blipFill>
                    <a:blip r:embed="rId4" r:link="rId5" cstate="print"/>
                    <a:srcRect/>
                    <a:stretch>
                      <a:fillRect/>
                    </a:stretch>
                  </pic:blipFill>
                  <pic:spPr bwMode="auto">
                    <a:xfrm>
                      <a:off x="0" y="0"/>
                      <a:ext cx="6667500" cy="1238250"/>
                    </a:xfrm>
                    <a:prstGeom prst="rect">
                      <a:avLst/>
                    </a:prstGeom>
                    <a:noFill/>
                    <a:ln w="9525">
                      <a:noFill/>
                      <a:miter lim="800000"/>
                      <a:headEnd/>
                      <a:tailEnd/>
                    </a:ln>
                  </pic:spPr>
                </pic:pic>
              </a:graphicData>
            </a:graphic>
          </wp:inline>
        </w:drawing>
      </w:r>
    </w:p>
    <w:p w:rsidR="00CF0A55" w:rsidRDefault="00CF0A55" w:rsidP="00CF0A55">
      <w:pPr>
        <w:rPr>
          <w:rFonts w:ascii="Arial" w:hAnsi="Arial" w:cs="Arial"/>
          <w:i/>
          <w:iCs/>
          <w:color w:val="0066CC"/>
          <w:sz w:val="24"/>
          <w:szCs w:val="24"/>
        </w:rPr>
      </w:pPr>
    </w:p>
    <w:p w:rsidR="00CF0A55" w:rsidRDefault="00CF0A55" w:rsidP="00CF0A55">
      <w:pPr>
        <w:spacing w:line="240" w:lineRule="exact"/>
        <w:rPr>
          <w:rFonts w:ascii="Arial" w:hAnsi="Arial" w:cs="Arial"/>
          <w:i/>
          <w:iCs/>
          <w:color w:val="1F497D"/>
        </w:rPr>
      </w:pPr>
      <w:r>
        <w:rPr>
          <w:rFonts w:ascii="Arial" w:hAnsi="Arial" w:cs="Arial"/>
          <w:color w:val="1F497D"/>
          <w:rtl/>
        </w:rPr>
        <w:t xml:space="preserve">  </w:t>
      </w:r>
      <w:r>
        <w:rPr>
          <w:rFonts w:ascii="Arial" w:hAnsi="Arial" w:cs="Arial"/>
          <w:i/>
          <w:iCs/>
          <w:color w:val="1F497D"/>
          <w:rtl/>
        </w:rPr>
        <w:t>יום חמישי 1 לאוגוסט 2013</w:t>
      </w:r>
    </w:p>
    <w:p w:rsidR="00CF0A55" w:rsidRDefault="00CF0A55" w:rsidP="00CF0A55">
      <w:pPr>
        <w:spacing w:line="240" w:lineRule="exact"/>
        <w:rPr>
          <w:rFonts w:ascii="Arial" w:hAnsi="Arial" w:cs="Arial"/>
          <w:b/>
          <w:bCs/>
          <w:color w:val="1F497D"/>
          <w:sz w:val="24"/>
          <w:szCs w:val="24"/>
          <w:u w:val="single"/>
        </w:rPr>
      </w:pPr>
      <w:r>
        <w:rPr>
          <w:rFonts w:cs="Guttman David" w:hint="cs"/>
          <w:b/>
          <w:bCs/>
          <w:color w:val="0066CC"/>
          <w:sz w:val="24"/>
          <w:szCs w:val="24"/>
          <w:rtl/>
        </w:rPr>
        <w:t>      </w:t>
      </w:r>
    </w:p>
    <w:p w:rsidR="00CF0A55" w:rsidRDefault="00CF0A55" w:rsidP="00CF0A55">
      <w:pPr>
        <w:spacing w:line="240" w:lineRule="exact"/>
        <w:ind w:left="1440"/>
        <w:rPr>
          <w:b/>
          <w:bCs/>
          <w:color w:val="073395"/>
          <w:sz w:val="26"/>
          <w:szCs w:val="26"/>
          <w:u w:val="single"/>
        </w:rPr>
      </w:pPr>
      <w:r>
        <w:rPr>
          <w:rFonts w:cs="Guttman David" w:hint="cs"/>
          <w:b/>
          <w:bCs/>
          <w:color w:val="1F497D"/>
          <w:sz w:val="26"/>
          <w:szCs w:val="26"/>
          <w:rtl/>
        </w:rPr>
        <w:t xml:space="preserve">  </w:t>
      </w:r>
      <w:r>
        <w:rPr>
          <w:rFonts w:cs="Guttman David" w:hint="cs"/>
          <w:b/>
          <w:bCs/>
          <w:color w:val="073395"/>
          <w:sz w:val="26"/>
          <w:szCs w:val="26"/>
          <w:u w:val="single"/>
          <w:rtl/>
        </w:rPr>
        <w:t>הנספחות המסחרית למוסדות האיחוד האירופי, בריסל</w:t>
      </w:r>
    </w:p>
    <w:p w:rsidR="00CF0A55" w:rsidRDefault="00CF0A55" w:rsidP="00CF0A55">
      <w:pPr>
        <w:spacing w:line="340" w:lineRule="exact"/>
        <w:ind w:left="720" w:firstLine="720"/>
        <w:rPr>
          <w:b/>
          <w:bCs/>
          <w:color w:val="073395"/>
          <w:sz w:val="26"/>
          <w:szCs w:val="26"/>
          <w:u w:val="single"/>
        </w:rPr>
      </w:pPr>
      <w:r>
        <w:rPr>
          <w:rFonts w:cs="Guttman David" w:hint="cs"/>
          <w:b/>
          <w:bCs/>
          <w:color w:val="073395"/>
          <w:sz w:val="26"/>
          <w:szCs w:val="26"/>
          <w:rtl/>
        </w:rPr>
        <w:t xml:space="preserve">  </w:t>
      </w:r>
      <w:r>
        <w:rPr>
          <w:rFonts w:cs="Guttman David" w:hint="cs"/>
          <w:b/>
          <w:bCs/>
          <w:color w:val="1F497D"/>
          <w:sz w:val="26"/>
          <w:szCs w:val="26"/>
          <w:rtl/>
        </w:rPr>
        <w:t>  </w:t>
      </w:r>
      <w:r>
        <w:rPr>
          <w:rFonts w:cs="Guttman David" w:hint="cs"/>
          <w:b/>
          <w:bCs/>
          <w:color w:val="073395"/>
          <w:sz w:val="26"/>
          <w:szCs w:val="26"/>
          <w:rtl/>
        </w:rPr>
        <w:t>     </w:t>
      </w:r>
      <w:r>
        <w:rPr>
          <w:rFonts w:cs="Guttman David" w:hint="cs"/>
          <w:b/>
          <w:bCs/>
          <w:color w:val="073395"/>
          <w:sz w:val="26"/>
          <w:szCs w:val="26"/>
          <w:u w:val="single"/>
          <w:rtl/>
        </w:rPr>
        <w:t xml:space="preserve">עיקרי השבוע האחרון באיחוד האירופי </w:t>
      </w:r>
    </w:p>
    <w:p w:rsidR="00CF0A55" w:rsidRDefault="00CF0A55" w:rsidP="00CF0A55">
      <w:pPr>
        <w:rPr>
          <w:rFonts w:ascii="Arial" w:hAnsi="Arial" w:cs="Arial"/>
          <w:b/>
          <w:bCs/>
          <w:sz w:val="28"/>
          <w:szCs w:val="28"/>
        </w:rPr>
      </w:pPr>
      <w:r>
        <w:rPr>
          <w:rFonts w:ascii="Arial" w:hAnsi="Arial" w:cs="Arial"/>
          <w:b/>
          <w:bCs/>
          <w:i/>
          <w:iCs/>
          <w:color w:val="0033CC"/>
          <w:sz w:val="28"/>
          <w:szCs w:val="28"/>
          <w:rtl/>
        </w:rPr>
        <w:t xml:space="preserve">  </w:t>
      </w:r>
      <w:r>
        <w:rPr>
          <w:rFonts w:ascii="Arial" w:hAnsi="Arial" w:cs="Arial"/>
          <w:b/>
          <w:bCs/>
          <w:i/>
          <w:iCs/>
          <w:sz w:val="24"/>
          <w:szCs w:val="24"/>
          <w:rtl/>
        </w:rPr>
        <w:t>   </w:t>
      </w:r>
    </w:p>
    <w:tbl>
      <w:tblPr>
        <w:bidiVisual/>
        <w:tblW w:w="0" w:type="auto"/>
        <w:tblInd w:w="435" w:type="dxa"/>
        <w:tblCellMar>
          <w:left w:w="0" w:type="dxa"/>
          <w:right w:w="0" w:type="dxa"/>
        </w:tblCellMar>
        <w:tblLook w:val="04A0" w:firstRow="1" w:lastRow="0" w:firstColumn="1" w:lastColumn="0" w:noHBand="0" w:noVBand="1"/>
      </w:tblPr>
      <w:tblGrid>
        <w:gridCol w:w="281"/>
        <w:gridCol w:w="7713"/>
      </w:tblGrid>
      <w:tr w:rsidR="00CF0A55" w:rsidTr="00CF0A55">
        <w:trPr>
          <w:trHeight w:val="465"/>
        </w:trPr>
        <w:tc>
          <w:tcPr>
            <w:tcW w:w="300"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81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נכנס לתוקף הסכם הסחר החופשי בין האיחוד האירופי לקולומביה ופרו</w:t>
            </w:r>
          </w:p>
        </w:tc>
      </w:tr>
      <w:tr w:rsidR="00CF0A55" w:rsidTr="00CF0A55">
        <w:trPr>
          <w:trHeight w:val="1602"/>
        </w:trPr>
        <w:tc>
          <w:tcPr>
            <w:tcW w:w="300" w:type="dxa"/>
            <w:tcBorders>
              <w:top w:val="nil"/>
              <w:left w:val="single" w:sz="12" w:space="0" w:color="auto"/>
              <w:bottom w:val="nil"/>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810" w:type="dxa"/>
            <w:vMerge w:val="restart"/>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היום, ה-1 לאוגוסט נכנס לתוקף הסכם סחר והשקעות בין האיחוד האירופי לקולומביה ופרו. ההסכם אשר בתום תקופת מעבר, יסיר את כלל המכסים על מוצרי תעשייה ודיג ויאפשר סחר חקלאי באופן חופשי יותר משמעותית, צפוי להביא לחסכון שנתי של כחצי מיליארד אירו במכסים בלבד ליצואנים משלושת הצדדים. מטרתו של ההסכם בין האיחוד האירופי, קולומביה ופרו היא הרחבת האינטגרציה האזורית בין המדינות </w:t>
            </w:r>
            <w:proofErr w:type="spellStart"/>
            <w:r>
              <w:rPr>
                <w:rFonts w:ascii="Arial" w:hAnsi="Arial" w:cs="Arial"/>
                <w:i/>
                <w:iCs/>
                <w:rtl/>
              </w:rPr>
              <w:t>האנדיות</w:t>
            </w:r>
            <w:proofErr w:type="spellEnd"/>
            <w:r>
              <w:rPr>
                <w:rFonts w:ascii="Arial" w:hAnsi="Arial" w:cs="Arial"/>
                <w:i/>
                <w:iCs/>
                <w:rtl/>
              </w:rPr>
              <w:t xml:space="preserve"> והוא עדיין משאיר את הדלת פתוחה למדינות </w:t>
            </w:r>
            <w:proofErr w:type="spellStart"/>
            <w:r>
              <w:rPr>
                <w:rFonts w:ascii="Arial" w:hAnsi="Arial" w:cs="Arial"/>
                <w:i/>
                <w:iCs/>
                <w:rtl/>
              </w:rPr>
              <w:t>אנדיות</w:t>
            </w:r>
            <w:proofErr w:type="spellEnd"/>
            <w:r>
              <w:rPr>
                <w:rFonts w:ascii="Arial" w:hAnsi="Arial" w:cs="Arial"/>
                <w:i/>
                <w:iCs/>
                <w:rtl/>
              </w:rPr>
              <w:t xml:space="preserve"> נוספות כגון אקוודור ובוליביה, להיכנס לשותפות. סך הסחר בין </w:t>
            </w:r>
            <w:proofErr w:type="spellStart"/>
            <w:r>
              <w:rPr>
                <w:rFonts w:ascii="Arial" w:hAnsi="Arial" w:cs="Arial"/>
                <w:i/>
                <w:iCs/>
                <w:rtl/>
              </w:rPr>
              <w:t>הא"א</w:t>
            </w:r>
            <w:proofErr w:type="spellEnd"/>
            <w:r>
              <w:rPr>
                <w:rFonts w:ascii="Arial" w:hAnsi="Arial" w:cs="Arial"/>
                <w:i/>
                <w:iCs/>
                <w:rtl/>
              </w:rPr>
              <w:t xml:space="preserve"> לקולומביה הציג גידול משמעותי בשנים האחרונות והוא עומד על כ- 14 מיליארדי אירו בשנה האחרונה.</w:t>
            </w:r>
          </w:p>
          <w:p w:rsidR="00CF0A55" w:rsidRDefault="00D63F3B">
            <w:pPr>
              <w:spacing w:line="276" w:lineRule="auto"/>
              <w:rPr>
                <w:i/>
                <w:iCs/>
                <w:color w:val="1F497D"/>
              </w:rPr>
            </w:pPr>
            <w:hyperlink r:id="rId6" w:history="1">
              <w:r w:rsidR="00CF0A55">
                <w:rPr>
                  <w:rStyle w:val="Hyperlink"/>
                  <w:rFonts w:ascii="Arial" w:hAnsi="Arial" w:cs="Arial"/>
                  <w:i/>
                  <w:iCs/>
                  <w:color w:val="auto"/>
                  <w:rtl/>
                </w:rPr>
                <w:t>לקריאת ההסכם המלא, לחץ/י כאן.</w:t>
              </w:r>
            </w:hyperlink>
          </w:p>
        </w:tc>
      </w:tr>
      <w:tr w:rsidR="00CF0A55" w:rsidTr="00CF0A55">
        <w:trPr>
          <w:trHeight w:val="50"/>
        </w:trPr>
        <w:tc>
          <w:tcPr>
            <w:tcW w:w="300"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0" w:type="auto"/>
            <w:vMerge/>
            <w:tcBorders>
              <w:top w:val="nil"/>
              <w:left w:val="nil"/>
              <w:bottom w:val="single" w:sz="12" w:space="0" w:color="auto"/>
              <w:right w:val="single" w:sz="12" w:space="0" w:color="auto"/>
            </w:tcBorders>
            <w:vAlign w:val="center"/>
            <w:hideMark/>
          </w:tcPr>
          <w:p w:rsidR="00CF0A55" w:rsidRDefault="00CF0A55">
            <w:pPr>
              <w:bidi w:val="0"/>
              <w:rPr>
                <w:i/>
                <w:iCs/>
                <w:color w:val="1F497D"/>
              </w:rPr>
            </w:pPr>
          </w:p>
        </w:tc>
      </w:tr>
    </w:tbl>
    <w:p w:rsidR="00CF0A55" w:rsidRDefault="00CF0A55" w:rsidP="00CF0A55">
      <w:pPr>
        <w:rPr>
          <w:rFonts w:ascii="Arial" w:hAnsi="Arial" w:cs="Arial"/>
          <w:b/>
          <w:bCs/>
          <w:sz w:val="28"/>
          <w:szCs w:val="28"/>
        </w:rPr>
      </w:pPr>
    </w:p>
    <w:tbl>
      <w:tblPr>
        <w:bidiVisual/>
        <w:tblW w:w="0" w:type="auto"/>
        <w:tblInd w:w="405" w:type="dxa"/>
        <w:tblCellMar>
          <w:left w:w="0" w:type="dxa"/>
          <w:right w:w="0" w:type="dxa"/>
        </w:tblCellMar>
        <w:tblLook w:val="04A0" w:firstRow="1" w:lastRow="0" w:firstColumn="1" w:lastColumn="0" w:noHBand="0" w:noVBand="1"/>
      </w:tblPr>
      <w:tblGrid>
        <w:gridCol w:w="233"/>
        <w:gridCol w:w="7884"/>
      </w:tblGrid>
      <w:tr w:rsidR="00CF0A55" w:rsidTr="00CF0A55">
        <w:trPr>
          <w:trHeight w:val="470"/>
        </w:trPr>
        <w:tc>
          <w:tcPr>
            <w:tcW w:w="236"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885"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האיחוד האירופי מעלה הילוך בנוגע להקמת מערכת פטנטים אחידה לאירופה</w:t>
            </w:r>
          </w:p>
        </w:tc>
      </w:tr>
      <w:tr w:rsidR="00CF0A55" w:rsidTr="00CF0A55">
        <w:trPr>
          <w:trHeight w:val="1440"/>
        </w:trPr>
        <w:tc>
          <w:tcPr>
            <w:tcW w:w="236"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885"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הנציבות האירופית מפרסמת השבוע את הצעתה לצמצום פערי החקיקה הנדרשים בכדי להסדיר את הקמת מערכת אחידה אירופית לרישום פטנטים. נזכיר כי המחלוקות לגבי הנושא אשר נמשכו מעל ל- 30 שנים הסתיימו בדצמבר 2012, עת הוסכם לבסוף על הסכם שיאפשר יצירת מערכת פטנטים אחידה לשוק האירופי. משמעות הדבר, הוא שממציא יחיד או חברה שיבקשו לעגן משפטית את זכויות הקניין שלהם על רעיון או מוצר במדינה אחת, יזכו להכרה הדדית גם בכל אחת בשאר המדינות החברות באיחוד האירופי, בניגוד למצב כיום בו הרישום במשרד הפטנטים האירופי (ה- </w:t>
            </w:r>
            <w:r>
              <w:rPr>
                <w:rFonts w:ascii="Arial" w:hAnsi="Arial" w:cs="Arial"/>
                <w:i/>
                <w:iCs/>
              </w:rPr>
              <w:t>EPO</w:t>
            </w:r>
            <w:r>
              <w:rPr>
                <w:rFonts w:ascii="Arial" w:hAnsi="Arial" w:cs="Arial"/>
                <w:i/>
                <w:iCs/>
                <w:rtl/>
              </w:rPr>
              <w:t>) מעניק תוקף משפטי וזכויות הקניין לבעליו רק במדינה הספציפית בו נרשם. המערכת האחידה גם צפויה לקצר הליכים מנהלתיים ולחסוך כ- 80% מעלויות הרישום שנדרשו ממציאים ובעלי פטנטים. הצעת החקיקה צריכה עדיין לקבל את אישור הפרלמנט והמועצה האירופיות.</w:t>
            </w:r>
          </w:p>
          <w:p w:rsidR="00CF0A55" w:rsidRDefault="00D63F3B">
            <w:pPr>
              <w:spacing w:line="276" w:lineRule="auto"/>
              <w:rPr>
                <w:i/>
                <w:iCs/>
              </w:rPr>
            </w:pPr>
            <w:hyperlink r:id="rId7" w:history="1">
              <w:r w:rsidR="00CF0A55">
                <w:rPr>
                  <w:rStyle w:val="Hyperlink"/>
                  <w:rFonts w:ascii="Arial" w:hAnsi="Arial" w:cs="Arial"/>
                  <w:i/>
                  <w:iCs/>
                  <w:rtl/>
                </w:rPr>
                <w:t>להמשך קריאה – לחץ/י כאן</w:t>
              </w:r>
            </w:hyperlink>
          </w:p>
        </w:tc>
      </w:tr>
    </w:tbl>
    <w:p w:rsidR="00CF0A55" w:rsidRDefault="00CF0A55" w:rsidP="00CF0A55">
      <w:pPr>
        <w:rPr>
          <w:rFonts w:ascii="Arial" w:hAnsi="Arial" w:cs="Arial"/>
          <w:b/>
          <w:bCs/>
          <w:sz w:val="28"/>
          <w:szCs w:val="28"/>
        </w:rPr>
      </w:pPr>
      <w:r>
        <w:rPr>
          <w:rFonts w:ascii="Arial" w:hAnsi="Arial" w:cs="Arial"/>
          <w:b/>
          <w:bCs/>
          <w:i/>
          <w:iCs/>
          <w:color w:val="0033CC"/>
          <w:sz w:val="28"/>
          <w:szCs w:val="28"/>
          <w:rtl/>
        </w:rPr>
        <w:t xml:space="preserve">  </w:t>
      </w:r>
      <w:r>
        <w:rPr>
          <w:rFonts w:ascii="Arial" w:hAnsi="Arial" w:cs="Arial"/>
          <w:b/>
          <w:bCs/>
          <w:i/>
          <w:iCs/>
          <w:sz w:val="24"/>
          <w:szCs w:val="24"/>
          <w:rtl/>
        </w:rPr>
        <w:t>   </w:t>
      </w:r>
    </w:p>
    <w:tbl>
      <w:tblPr>
        <w:bidiVisual/>
        <w:tblW w:w="0" w:type="auto"/>
        <w:tblInd w:w="360" w:type="dxa"/>
        <w:tblCellMar>
          <w:left w:w="0" w:type="dxa"/>
          <w:right w:w="0" w:type="dxa"/>
        </w:tblCellMar>
        <w:tblLook w:val="04A0" w:firstRow="1" w:lastRow="0" w:firstColumn="1" w:lastColumn="0" w:noHBand="0" w:noVBand="1"/>
      </w:tblPr>
      <w:tblGrid>
        <w:gridCol w:w="258"/>
        <w:gridCol w:w="7811"/>
      </w:tblGrid>
      <w:tr w:rsidR="00CF0A55" w:rsidTr="00CF0A55">
        <w:trPr>
          <w:trHeight w:val="465"/>
        </w:trPr>
        <w:tc>
          <w:tcPr>
            <w:tcW w:w="270"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87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 xml:space="preserve">קול קורא אירופי לארגונים התומכים ביצירת שותפויות עסקיות ובהשקעות באזורי </w:t>
            </w:r>
            <w:proofErr w:type="spellStart"/>
            <w:r>
              <w:rPr>
                <w:rFonts w:ascii="Tahoma" w:hAnsi="Tahoma" w:cs="Tahoma"/>
                <w:b/>
                <w:bCs/>
                <w:i/>
                <w:iCs/>
                <w:color w:val="1F497D"/>
                <w:rtl/>
              </w:rPr>
              <w:t>הימ"ת</w:t>
            </w:r>
            <w:proofErr w:type="spellEnd"/>
          </w:p>
        </w:tc>
      </w:tr>
      <w:tr w:rsidR="00CF0A55" w:rsidTr="00CF0A55">
        <w:trPr>
          <w:trHeight w:val="1602"/>
        </w:trPr>
        <w:tc>
          <w:tcPr>
            <w:tcW w:w="270" w:type="dxa"/>
            <w:tcBorders>
              <w:top w:val="nil"/>
              <w:left w:val="single" w:sz="12" w:space="0" w:color="auto"/>
              <w:bottom w:val="nil"/>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870" w:type="dxa"/>
            <w:vMerge w:val="restart"/>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השבוע מפרסם האיחוד האירופי קול קורא המיועד לארגונים שאינם למטרות רווח במדינות </w:t>
            </w:r>
            <w:proofErr w:type="spellStart"/>
            <w:r>
              <w:rPr>
                <w:rFonts w:ascii="Arial" w:hAnsi="Arial" w:cs="Arial"/>
                <w:i/>
                <w:iCs/>
                <w:rtl/>
              </w:rPr>
              <w:t>הימ"ת</w:t>
            </w:r>
            <w:proofErr w:type="spellEnd"/>
            <w:r>
              <w:rPr>
                <w:rFonts w:ascii="Arial" w:hAnsi="Arial" w:cs="Arial"/>
                <w:i/>
                <w:iCs/>
                <w:rtl/>
              </w:rPr>
              <w:t xml:space="preserve"> (בהן ישראל ושכנותיה), עבור תמיכה בפרויקטים המכוונים לקידום שותפויות, יצירת רשתות ומפגשים ענפיים אזוריים, מתן שירותים תומכים בעסקי מיקרו וחברות קטנות ובינוניות ועידוד השקעות. היקף המימון המוצע הוא כ- 4 מיליוני אירו, בכפוף לעמידה בסעיפים התקציבים המוגדרים בקריטריונים. המועד האחרון להגשת הצעות הינו ה- 13 </w:t>
            </w:r>
            <w:r>
              <w:rPr>
                <w:rFonts w:ascii="Arial" w:hAnsi="Arial" w:cs="Arial"/>
                <w:i/>
                <w:iCs/>
                <w:rtl/>
              </w:rPr>
              <w:lastRenderedPageBreak/>
              <w:t>לספטמבר 2013.</w:t>
            </w:r>
          </w:p>
          <w:p w:rsidR="00CF0A55" w:rsidRDefault="00D63F3B">
            <w:pPr>
              <w:spacing w:line="276" w:lineRule="auto"/>
              <w:rPr>
                <w:rFonts w:ascii="Arial" w:hAnsi="Arial" w:cs="Arial"/>
                <w:i/>
                <w:iCs/>
                <w:color w:val="1F497D"/>
                <w:u w:val="single"/>
              </w:rPr>
            </w:pPr>
            <w:hyperlink r:id="rId8" w:anchor="usefuldocs" w:history="1">
              <w:r w:rsidR="00CF0A55">
                <w:rPr>
                  <w:rStyle w:val="Hyperlink"/>
                  <w:rFonts w:ascii="Arial" w:hAnsi="Arial" w:cs="Arial"/>
                  <w:i/>
                  <w:iCs/>
                  <w:rtl/>
                </w:rPr>
                <w:t>לפרטים נוספים, לחץ/י כאן.</w:t>
              </w:r>
            </w:hyperlink>
          </w:p>
        </w:tc>
      </w:tr>
      <w:tr w:rsidR="00CF0A55" w:rsidTr="00CF0A55">
        <w:trPr>
          <w:trHeight w:val="50"/>
        </w:trPr>
        <w:tc>
          <w:tcPr>
            <w:tcW w:w="270"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0" w:type="auto"/>
            <w:vMerge/>
            <w:tcBorders>
              <w:top w:val="nil"/>
              <w:left w:val="nil"/>
              <w:bottom w:val="single" w:sz="12" w:space="0" w:color="auto"/>
              <w:right w:val="single" w:sz="12" w:space="0" w:color="auto"/>
            </w:tcBorders>
            <w:vAlign w:val="center"/>
            <w:hideMark/>
          </w:tcPr>
          <w:p w:rsidR="00CF0A55" w:rsidRDefault="00CF0A55">
            <w:pPr>
              <w:bidi w:val="0"/>
              <w:rPr>
                <w:rFonts w:ascii="Arial" w:hAnsi="Arial" w:cs="Arial"/>
                <w:i/>
                <w:iCs/>
                <w:color w:val="1F497D"/>
                <w:u w:val="single"/>
              </w:rPr>
            </w:pPr>
          </w:p>
        </w:tc>
      </w:tr>
    </w:tbl>
    <w:p w:rsidR="00CF0A55" w:rsidRDefault="00CF0A55" w:rsidP="00CF0A55">
      <w:pPr>
        <w:rPr>
          <w:rFonts w:ascii="Arial" w:hAnsi="Arial" w:cs="Arial"/>
          <w:b/>
          <w:bCs/>
          <w:sz w:val="28"/>
          <w:szCs w:val="28"/>
          <w:rtl/>
        </w:rPr>
      </w:pPr>
    </w:p>
    <w:tbl>
      <w:tblPr>
        <w:bidiVisual/>
        <w:tblW w:w="0" w:type="auto"/>
        <w:tblInd w:w="345" w:type="dxa"/>
        <w:tblCellMar>
          <w:left w:w="0" w:type="dxa"/>
          <w:right w:w="0" w:type="dxa"/>
        </w:tblCellMar>
        <w:tblLook w:val="04A0" w:firstRow="1" w:lastRow="0" w:firstColumn="1" w:lastColumn="0" w:noHBand="0" w:noVBand="1"/>
      </w:tblPr>
      <w:tblGrid>
        <w:gridCol w:w="259"/>
        <w:gridCol w:w="7825"/>
      </w:tblGrid>
      <w:tr w:rsidR="00CF0A55" w:rsidTr="00CF0A55">
        <w:trPr>
          <w:trHeight w:val="465"/>
        </w:trPr>
        <w:tc>
          <w:tcPr>
            <w:tcW w:w="270"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87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 xml:space="preserve">יוזמה אירופית לעדכון נושא תשלומים עבור שירותים מקוונים </w:t>
            </w:r>
          </w:p>
        </w:tc>
      </w:tr>
      <w:tr w:rsidR="00CF0A55" w:rsidTr="00CF0A55">
        <w:trPr>
          <w:trHeight w:val="1602"/>
        </w:trPr>
        <w:tc>
          <w:tcPr>
            <w:tcW w:w="270" w:type="dxa"/>
            <w:tcBorders>
              <w:top w:val="nil"/>
              <w:left w:val="single" w:sz="12" w:space="0" w:color="auto"/>
              <w:bottom w:val="nil"/>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870" w:type="dxa"/>
            <w:vMerge w:val="restart"/>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color w:val="1F497D"/>
              </w:rPr>
            </w:pPr>
            <w:r>
              <w:rPr>
                <w:rFonts w:ascii="Arial" w:hAnsi="Arial" w:cs="Arial"/>
                <w:i/>
                <w:iCs/>
                <w:rtl/>
              </w:rPr>
              <w:t>בעקבות התגברות מגמת השימוש בכלי מסחר מקוונים ובעיקר אמצעי תשלום סלולריים וכן בהמשך לדירקטיבה המסדירה את נושא התשלומים עבור שירותים משנת 2007 (</w:t>
            </w:r>
            <w:r>
              <w:rPr>
                <w:rFonts w:ascii="Arial" w:hAnsi="Arial" w:cs="Arial"/>
                <w:i/>
                <w:iCs/>
              </w:rPr>
              <w:t>PSD</w:t>
            </w:r>
            <w:r>
              <w:rPr>
                <w:rFonts w:ascii="Arial" w:hAnsi="Arial" w:cs="Arial"/>
                <w:i/>
                <w:iCs/>
                <w:rtl/>
              </w:rPr>
              <w:t xml:space="preserve">), מפרסמת הנציבות האירופית נייר עמדה בשם </w:t>
            </w:r>
            <w:r>
              <w:rPr>
                <w:rFonts w:ascii="Arial" w:hAnsi="Arial" w:cs="Arial"/>
                <w:b/>
                <w:bCs/>
                <w:i/>
                <w:iCs/>
                <w:rtl/>
              </w:rPr>
              <w:t>"לכיוון שוק אירופי משולב עבור כרטיסים, אינטרנט ותשלומים ניידים</w:t>
            </w:r>
            <w:r>
              <w:rPr>
                <w:rFonts w:ascii="Arial" w:hAnsi="Arial" w:cs="Arial"/>
                <w:i/>
                <w:iCs/>
                <w:rtl/>
              </w:rPr>
              <w:t xml:space="preserve">". הנייר מבקש להתמודד עם אתגרי המעבר לתשלומים באמצעות טלפונים חכמים על גבי הרשת, לפעול להסרת חסמי כניסה ויציאה לספקי שירותים למסחר מקוון, להגביר את אבטחת המידע ולהגן על נתונים אישיים, לעודד שקיפות בתמחור ועוד. להערכת הנציבות האירופית, מהווה שוק המסחר המקוון אתגר שמציבה הטכנולוגיה על שיטות התשלום המסורתיות, אך גם הזדמנות לצמיחה ולשיתוף פעולה בין גבולות האיחוד ולהערכתה צפוי היקף המסחר בשנת 2014 לעמוד על כ- 190 מיליארדי אירו. </w:t>
            </w:r>
            <w:hyperlink r:id="rId9" w:history="1">
              <w:r>
                <w:rPr>
                  <w:rStyle w:val="Hyperlink"/>
                  <w:rFonts w:ascii="Arial" w:hAnsi="Arial" w:cs="Arial"/>
                  <w:i/>
                  <w:iCs/>
                  <w:color w:val="000000"/>
                  <w:rtl/>
                </w:rPr>
                <w:t>לקריאה נוספת, לחץ/י כאן.</w:t>
              </w:r>
            </w:hyperlink>
          </w:p>
        </w:tc>
      </w:tr>
      <w:tr w:rsidR="00CF0A55" w:rsidTr="00CF0A55">
        <w:trPr>
          <w:trHeight w:val="50"/>
        </w:trPr>
        <w:tc>
          <w:tcPr>
            <w:tcW w:w="270"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0" w:type="auto"/>
            <w:vMerge/>
            <w:tcBorders>
              <w:top w:val="nil"/>
              <w:left w:val="nil"/>
              <w:bottom w:val="single" w:sz="12" w:space="0" w:color="auto"/>
              <w:right w:val="single" w:sz="12" w:space="0" w:color="auto"/>
            </w:tcBorders>
            <w:vAlign w:val="center"/>
            <w:hideMark/>
          </w:tcPr>
          <w:p w:rsidR="00CF0A55" w:rsidRDefault="00CF0A55">
            <w:pPr>
              <w:bidi w:val="0"/>
              <w:rPr>
                <w:rFonts w:ascii="Arial" w:hAnsi="Arial" w:cs="Arial"/>
                <w:i/>
                <w:iCs/>
                <w:color w:val="1F497D"/>
              </w:rPr>
            </w:pPr>
          </w:p>
        </w:tc>
      </w:tr>
    </w:tbl>
    <w:p w:rsidR="00CF0A55" w:rsidRDefault="00CF0A55" w:rsidP="00CF0A55">
      <w:pPr>
        <w:rPr>
          <w:rFonts w:ascii="Arial" w:hAnsi="Arial" w:cs="Arial"/>
          <w:b/>
          <w:bCs/>
          <w:sz w:val="28"/>
          <w:szCs w:val="28"/>
        </w:rPr>
      </w:pPr>
    </w:p>
    <w:tbl>
      <w:tblPr>
        <w:bidiVisual/>
        <w:tblW w:w="0" w:type="auto"/>
        <w:tblInd w:w="345" w:type="dxa"/>
        <w:tblCellMar>
          <w:left w:w="0" w:type="dxa"/>
          <w:right w:w="0" w:type="dxa"/>
        </w:tblCellMar>
        <w:tblLook w:val="04A0" w:firstRow="1" w:lastRow="0" w:firstColumn="1" w:lastColumn="0" w:noHBand="0" w:noVBand="1"/>
      </w:tblPr>
      <w:tblGrid>
        <w:gridCol w:w="259"/>
        <w:gridCol w:w="7825"/>
      </w:tblGrid>
      <w:tr w:rsidR="00CF0A55" w:rsidTr="00CF0A55">
        <w:trPr>
          <w:trHeight w:val="465"/>
        </w:trPr>
        <w:tc>
          <w:tcPr>
            <w:tcW w:w="270"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87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אושרה תוספת של 12 חומרים מסוכנים לרשימת החומרים האסורים במי שתיה</w:t>
            </w:r>
          </w:p>
        </w:tc>
      </w:tr>
      <w:tr w:rsidR="00CF0A55" w:rsidTr="00CF0A55">
        <w:trPr>
          <w:trHeight w:val="1602"/>
        </w:trPr>
        <w:tc>
          <w:tcPr>
            <w:tcW w:w="270" w:type="dxa"/>
            <w:tcBorders>
              <w:top w:val="nil"/>
              <w:left w:val="single" w:sz="12" w:space="0" w:color="auto"/>
              <w:bottom w:val="nil"/>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870" w:type="dxa"/>
            <w:vMerge w:val="restart"/>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בשבוע שעבר אישרה המועצה האירופית (תוך ביצוע ריכוך ותיקונים) את הצעת הנציבות המבקשת להכניס 12 חומרים אסורים לרשימה המופיעה בנספח לדירקטיבת המים האירופית משנת 2001. במקור כללה דירקטיבת המים רשימה של 33 כימיקלים וחומרי הדברה תעשייתיים </w:t>
            </w:r>
            <w:hyperlink r:id="rId10" w:history="1">
              <w:r>
                <w:rPr>
                  <w:rStyle w:val="Hyperlink"/>
                  <w:rFonts w:ascii="Arial" w:hAnsi="Arial" w:cs="Arial"/>
                  <w:i/>
                  <w:iCs/>
                  <w:rtl/>
                </w:rPr>
                <w:t>ובשנת 2008, פורסמה דירקטיבה אשר קבעה תקני איכות סביבה ל- 33 חומרים אלו ול-8 חומרים מזהמים נוספים</w:t>
              </w:r>
            </w:hyperlink>
            <w:r>
              <w:rPr>
                <w:rFonts w:ascii="Arial" w:hAnsi="Arial" w:cs="Arial"/>
                <w:i/>
                <w:iCs/>
                <w:rtl/>
              </w:rPr>
              <w:t xml:space="preserve">. כאמור, האיחוד האירופי מציג תיקון חקיקה על מנת להבטיח הגנה טובה יותר על איכות הסביבה ועל בריאות אדם, מידע טוב יותר לציבור לגבי ההתקדמות בשיפור איכות המים, ואיסוף חוות דעת על מנת לשפר את החקיקה העתידית. בעקבות סקירה יסודית המבוססת על ראיות מדעיות שנאספו מאז, אושרה, בשבוע שעבר, רשימה שניה הכוללת 12 חומרים נוספים, שחשודים כרעילים או מהווים סיכון משמעותי לבריאות האדם ולאיכות הסביבה </w:t>
            </w:r>
          </w:p>
          <w:p w:rsidR="00CF0A55" w:rsidRDefault="00CF0A55">
            <w:pPr>
              <w:spacing w:line="276" w:lineRule="auto"/>
              <w:rPr>
                <w:rFonts w:ascii="Arial" w:hAnsi="Arial" w:cs="Arial"/>
                <w:i/>
                <w:iCs/>
                <w:color w:val="1F497D"/>
              </w:rPr>
            </w:pPr>
            <w:r>
              <w:rPr>
                <w:rFonts w:ascii="Arial" w:hAnsi="Arial" w:cs="Arial"/>
                <w:i/>
                <w:iCs/>
                <w:rtl/>
              </w:rPr>
              <w:t>פרטים מלאים לגבי רשימת החומרים יופיעו בקרוב ב</w:t>
            </w:r>
            <w:hyperlink r:id="rId11" w:history="1">
              <w:r>
                <w:rPr>
                  <w:rStyle w:val="Hyperlink"/>
                  <w:rFonts w:ascii="Arial" w:hAnsi="Arial" w:cs="Arial"/>
                  <w:i/>
                  <w:iCs/>
                  <w:rtl/>
                </w:rPr>
                <w:t>קישור זה.</w:t>
              </w:r>
            </w:hyperlink>
          </w:p>
        </w:tc>
      </w:tr>
      <w:tr w:rsidR="00CF0A55" w:rsidTr="00CF0A55">
        <w:trPr>
          <w:trHeight w:val="50"/>
        </w:trPr>
        <w:tc>
          <w:tcPr>
            <w:tcW w:w="270"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0" w:type="auto"/>
            <w:vMerge/>
            <w:tcBorders>
              <w:top w:val="nil"/>
              <w:left w:val="nil"/>
              <w:bottom w:val="single" w:sz="12" w:space="0" w:color="auto"/>
              <w:right w:val="single" w:sz="12" w:space="0" w:color="auto"/>
            </w:tcBorders>
            <w:vAlign w:val="center"/>
            <w:hideMark/>
          </w:tcPr>
          <w:p w:rsidR="00CF0A55" w:rsidRDefault="00CF0A55">
            <w:pPr>
              <w:bidi w:val="0"/>
              <w:rPr>
                <w:rFonts w:ascii="Arial" w:hAnsi="Arial" w:cs="Arial"/>
                <w:i/>
                <w:iCs/>
                <w:color w:val="1F497D"/>
              </w:rPr>
            </w:pPr>
          </w:p>
        </w:tc>
      </w:tr>
    </w:tbl>
    <w:p w:rsidR="00CF0A55" w:rsidRDefault="00CF0A55" w:rsidP="00CF0A55">
      <w:pPr>
        <w:rPr>
          <w:rFonts w:ascii="Arial" w:hAnsi="Arial" w:cs="Arial"/>
          <w:b/>
          <w:bCs/>
          <w:sz w:val="28"/>
          <w:szCs w:val="28"/>
        </w:rPr>
      </w:pPr>
      <w:r>
        <w:rPr>
          <w:rFonts w:ascii="Arial" w:hAnsi="Arial" w:cs="Arial"/>
          <w:b/>
          <w:bCs/>
          <w:i/>
          <w:iCs/>
          <w:color w:val="0033CC"/>
          <w:sz w:val="28"/>
          <w:szCs w:val="28"/>
          <w:rtl/>
        </w:rPr>
        <w:t xml:space="preserve">  </w:t>
      </w:r>
      <w:r>
        <w:rPr>
          <w:rFonts w:ascii="Arial" w:hAnsi="Arial" w:cs="Arial"/>
          <w:b/>
          <w:bCs/>
          <w:i/>
          <w:iCs/>
          <w:sz w:val="24"/>
          <w:szCs w:val="24"/>
          <w:rtl/>
        </w:rPr>
        <w:t>   </w:t>
      </w:r>
    </w:p>
    <w:tbl>
      <w:tblPr>
        <w:bidiVisual/>
        <w:tblW w:w="0" w:type="auto"/>
        <w:tblInd w:w="330" w:type="dxa"/>
        <w:tblCellMar>
          <w:left w:w="0" w:type="dxa"/>
          <w:right w:w="0" w:type="dxa"/>
        </w:tblCellMar>
        <w:tblLook w:val="04A0" w:firstRow="1" w:lastRow="0" w:firstColumn="1" w:lastColumn="0" w:noHBand="0" w:noVBand="1"/>
      </w:tblPr>
      <w:tblGrid>
        <w:gridCol w:w="247"/>
        <w:gridCol w:w="7945"/>
      </w:tblGrid>
      <w:tr w:rsidR="00CF0A55" w:rsidTr="00CF0A55">
        <w:trPr>
          <w:trHeight w:val="470"/>
        </w:trPr>
        <w:tc>
          <w:tcPr>
            <w:tcW w:w="255"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90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המשך מגמת ירידה בהיקף ההשקעות הקבועות של חברות אירופיות</w:t>
            </w:r>
          </w:p>
        </w:tc>
      </w:tr>
      <w:tr w:rsidR="00CF0A55" w:rsidTr="00CF0A55">
        <w:trPr>
          <w:trHeight w:val="1458"/>
        </w:trPr>
        <w:tc>
          <w:tcPr>
            <w:tcW w:w="255"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900"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על פי ניתוח נתונים של הלשכה לסטטיסטיקה האירופית, ממשיכה מגמת הירידה בהיקף ההשקעות בנכסים קבועים על ידי חברות אירופיות מאז הרבעון השני של שנת 2008 והיא עומדת ברבעון הראשון של שנת 2013 על 17.4% (בהשוואה ל- 19.6% ברבעון הקודם ו- 19.3% ברבעון המקביל אשתקד). מאידך, מציגות החברות האירופיות (שאינן פיננסיות) האטה מתונה בלבד בשיעור הרווחיות ברבעון הראשון (37.2% בהשוואה ל- 37.4% ברבעון המקביל אשתקד). נזכיר כי שיעור הרווחיות משקף את הערך המוסף והתמורה לעבודת שכירים (שכר והפרשות סוציאליות) בתוספת מסים פחות סובסידיות לייצור. </w:t>
            </w:r>
          </w:p>
          <w:p w:rsidR="00CF0A55" w:rsidRDefault="00D63F3B">
            <w:pPr>
              <w:spacing w:line="276" w:lineRule="auto"/>
              <w:rPr>
                <w:rFonts w:ascii="Arial" w:hAnsi="Arial" w:cs="Arial"/>
                <w:i/>
                <w:iCs/>
                <w:color w:val="1F497D"/>
              </w:rPr>
            </w:pPr>
            <w:hyperlink r:id="rId12" w:history="1">
              <w:r w:rsidR="00CF0A55">
                <w:rPr>
                  <w:rStyle w:val="Hyperlink"/>
                  <w:rFonts w:ascii="Arial" w:hAnsi="Arial" w:cs="Arial"/>
                  <w:i/>
                  <w:iCs/>
                  <w:rtl/>
                </w:rPr>
                <w:t>לקריאה נוספת, לחץ/י כאן.</w:t>
              </w:r>
            </w:hyperlink>
          </w:p>
        </w:tc>
      </w:tr>
    </w:tbl>
    <w:p w:rsidR="00CF0A55" w:rsidRDefault="00CF0A55" w:rsidP="00CF0A55">
      <w:pPr>
        <w:rPr>
          <w:rFonts w:ascii="Arial" w:hAnsi="Arial" w:cs="Arial"/>
          <w:b/>
          <w:bCs/>
          <w:sz w:val="28"/>
          <w:szCs w:val="28"/>
        </w:rPr>
      </w:pPr>
    </w:p>
    <w:tbl>
      <w:tblPr>
        <w:bidiVisual/>
        <w:tblW w:w="0" w:type="auto"/>
        <w:tblInd w:w="360" w:type="dxa"/>
        <w:shd w:val="clear" w:color="auto" w:fill="BFBFBF"/>
        <w:tblCellMar>
          <w:left w:w="0" w:type="dxa"/>
          <w:right w:w="0" w:type="dxa"/>
        </w:tblCellMar>
        <w:tblLook w:val="04A0" w:firstRow="1" w:lastRow="0" w:firstColumn="1" w:lastColumn="0" w:noHBand="0" w:noVBand="1"/>
      </w:tblPr>
      <w:tblGrid>
        <w:gridCol w:w="340"/>
        <w:gridCol w:w="7822"/>
      </w:tblGrid>
      <w:tr w:rsidR="00CF0A55" w:rsidTr="00CF0A55">
        <w:trPr>
          <w:trHeight w:val="470"/>
        </w:trPr>
        <w:tc>
          <w:tcPr>
            <w:tcW w:w="375" w:type="dxa"/>
            <w:tcBorders>
              <w:top w:val="single" w:sz="12" w:space="0" w:color="auto"/>
              <w:left w:val="single" w:sz="12" w:space="0" w:color="auto"/>
              <w:bottom w:val="nil"/>
              <w:right w:val="nil"/>
            </w:tcBorders>
            <w:shd w:val="clear" w:color="auto" w:fill="F2F2F2"/>
            <w:tcMar>
              <w:top w:w="0" w:type="dxa"/>
              <w:left w:w="108" w:type="dxa"/>
              <w:bottom w:w="0" w:type="dxa"/>
              <w:right w:w="108" w:type="dxa"/>
            </w:tcMar>
            <w:vAlign w:val="center"/>
            <w:hideMark/>
          </w:tcPr>
          <w:p w:rsidR="00CF0A55" w:rsidRDefault="00CF0A55">
            <w:pPr>
              <w:rPr>
                <w:rFonts w:asciiTheme="minorHAnsi" w:eastAsiaTheme="minorEastAsia" w:hAnsiTheme="minorHAnsi" w:cstheme="minorBidi"/>
              </w:rPr>
            </w:pPr>
          </w:p>
        </w:tc>
        <w:tc>
          <w:tcPr>
            <w:tcW w:w="9780" w:type="dxa"/>
            <w:tcBorders>
              <w:top w:val="single" w:sz="12" w:space="0" w:color="auto"/>
              <w:left w:val="nil"/>
              <w:bottom w:val="nil"/>
              <w:right w:val="single" w:sz="12" w:space="0" w:color="auto"/>
            </w:tcBorders>
            <w:shd w:val="clear" w:color="auto" w:fill="F2F2F2"/>
            <w:tcMar>
              <w:top w:w="0" w:type="dxa"/>
              <w:left w:w="108" w:type="dxa"/>
              <w:bottom w:w="0" w:type="dxa"/>
              <w:right w:w="108" w:type="dxa"/>
            </w:tcMar>
            <w:vAlign w:val="center"/>
            <w:hideMark/>
          </w:tcPr>
          <w:p w:rsidR="00CF0A55" w:rsidRDefault="00CF0A55">
            <w:pPr>
              <w:spacing w:line="276" w:lineRule="auto"/>
              <w:rPr>
                <w:rFonts w:ascii="Tahoma" w:hAnsi="Tahoma" w:cs="Tahoma"/>
                <w:b/>
                <w:bCs/>
                <w:i/>
                <w:iCs/>
                <w:color w:val="C0504D"/>
              </w:rPr>
            </w:pPr>
            <w:r>
              <w:rPr>
                <w:rFonts w:ascii="Tahoma" w:hAnsi="Tahoma" w:cs="Tahoma"/>
                <w:b/>
                <w:bCs/>
                <w:i/>
                <w:iCs/>
                <w:color w:val="1F497D"/>
                <w:rtl/>
              </w:rPr>
              <w:t xml:space="preserve">מגמות חשובות בסחר הגלובלי ב- 2013 על פי הדו"ח השנתי של ארגון הסחר העולמי </w:t>
            </w:r>
          </w:p>
        </w:tc>
      </w:tr>
      <w:tr w:rsidR="00CF0A55" w:rsidTr="00CF0A55">
        <w:trPr>
          <w:trHeight w:val="1323"/>
        </w:trPr>
        <w:tc>
          <w:tcPr>
            <w:tcW w:w="375" w:type="dxa"/>
            <w:tcBorders>
              <w:top w:val="nil"/>
              <w:left w:val="single" w:sz="12" w:space="0" w:color="auto"/>
              <w:bottom w:val="single" w:sz="12" w:space="0" w:color="auto"/>
              <w:right w:val="nil"/>
            </w:tcBorders>
            <w:shd w:val="clear" w:color="auto" w:fill="D9D9D9"/>
            <w:tcMar>
              <w:top w:w="0" w:type="dxa"/>
              <w:left w:w="108" w:type="dxa"/>
              <w:bottom w:w="0" w:type="dxa"/>
              <w:right w:w="108" w:type="dxa"/>
            </w:tcMar>
            <w:hideMark/>
          </w:tcPr>
          <w:p w:rsidR="00CF0A55" w:rsidRDefault="00CF0A55">
            <w:pPr>
              <w:rPr>
                <w:rFonts w:asciiTheme="minorHAnsi" w:eastAsiaTheme="minorEastAsia" w:hAnsiTheme="minorHAnsi" w:cstheme="minorBidi"/>
              </w:rPr>
            </w:pPr>
          </w:p>
        </w:tc>
        <w:tc>
          <w:tcPr>
            <w:tcW w:w="9780"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CF0A55" w:rsidRDefault="00CF0A55">
            <w:pPr>
              <w:spacing w:line="276" w:lineRule="auto"/>
              <w:rPr>
                <w:rFonts w:ascii="Arial" w:hAnsi="Arial" w:cs="Arial"/>
                <w:i/>
                <w:iCs/>
                <w:rtl/>
              </w:rPr>
            </w:pPr>
            <w:r>
              <w:rPr>
                <w:rFonts w:ascii="Arial" w:hAnsi="Arial" w:cs="Arial"/>
                <w:i/>
                <w:iCs/>
                <w:rtl/>
              </w:rPr>
              <w:t xml:space="preserve">ארגון הסחר העולמי מפרסם דו"ח שנתי הכולל מגמות מרכזיות בתחום הסחר העולמי. הדו"ח מדגיש את חשיבותה של סביבה פתוחה ודינמית להשגת גידול בהיקפי סחר והשפעתם של כוחות מניעים נוספים כגון הירידה הדרמטית בעלויות תובלה ותקשורת, וכן כוחות גיאופוליטיים ודמוגרפים לעיצוב וחיזוק המגמות המבניות במערכת הסחר הגלובלית.  על פי הדו"ח, חלק מהמגמות העיקריות אשר צפויות להשפיע על הסחר העולמי בעשורים הקרובים הן צמיחת הסחר בשירותים, גידול בשכיחות הופעתם של חסמים בלתי </w:t>
            </w:r>
            <w:proofErr w:type="spellStart"/>
            <w:r>
              <w:rPr>
                <w:rFonts w:ascii="Arial" w:hAnsi="Arial" w:cs="Arial"/>
                <w:i/>
                <w:iCs/>
                <w:rtl/>
              </w:rPr>
              <w:t>מכסיים</w:t>
            </w:r>
            <w:proofErr w:type="spellEnd"/>
            <w:r>
              <w:rPr>
                <w:rFonts w:ascii="Arial" w:hAnsi="Arial" w:cs="Arial"/>
                <w:i/>
                <w:iCs/>
                <w:rtl/>
              </w:rPr>
              <w:t xml:space="preserve">, עלייה ותנודתיות של מחירי סחורות, גידול בסחר אזורי ויצירת שרשרת אספקה וערך בינלאומי חדשות, גידול בהשפעתם ובנתח בסחר העולמי של משקים מתעוררים, התכנסות של פערי רגולציה בין מדינות וכן המשך התפתחות הזיקה בין נושאי הסחר, חוקי עבודה ואיכות הסביבה. </w:t>
            </w:r>
          </w:p>
          <w:p w:rsidR="00CF0A55" w:rsidRDefault="00D63F3B">
            <w:pPr>
              <w:spacing w:line="276" w:lineRule="auto"/>
              <w:rPr>
                <w:rFonts w:ascii="Arial" w:hAnsi="Arial" w:cs="Arial"/>
                <w:i/>
                <w:iCs/>
                <w:color w:val="0000FF"/>
              </w:rPr>
            </w:pPr>
            <w:hyperlink r:id="rId13" w:history="1">
              <w:r w:rsidR="00CF0A55">
                <w:rPr>
                  <w:rStyle w:val="Hyperlink"/>
                  <w:rFonts w:ascii="Arial" w:hAnsi="Arial" w:cs="Arial"/>
                  <w:i/>
                  <w:iCs/>
                  <w:color w:val="auto"/>
                  <w:rtl/>
                </w:rPr>
                <w:t>לקריאת הדו"ח המלא</w:t>
              </w:r>
              <w:r w:rsidR="00CF0A55">
                <w:rPr>
                  <w:rStyle w:val="Hyperlink"/>
                  <w:rFonts w:ascii="Arial" w:hAnsi="Arial" w:cs="Arial"/>
                  <w:i/>
                  <w:iCs/>
                  <w:color w:val="000000"/>
                  <w:rtl/>
                </w:rPr>
                <w:t>, לחץ/י כאן.</w:t>
              </w:r>
            </w:hyperlink>
          </w:p>
        </w:tc>
      </w:tr>
    </w:tbl>
    <w:p w:rsidR="00CF0A55" w:rsidRDefault="00CF0A55" w:rsidP="00CF0A55">
      <w:pPr>
        <w:rPr>
          <w:rFonts w:ascii="Arial" w:hAnsi="Arial" w:cs="Arial"/>
          <w:b/>
          <w:bCs/>
          <w:i/>
          <w:iCs/>
          <w:color w:val="1F497D"/>
          <w:sz w:val="24"/>
          <w:szCs w:val="24"/>
        </w:rPr>
      </w:pPr>
    </w:p>
    <w:p w:rsidR="00435D58" w:rsidRPr="00CF0A55" w:rsidRDefault="00435D58">
      <w:pPr>
        <w:rPr>
          <w:rtl/>
        </w:rPr>
      </w:pPr>
    </w:p>
    <w:sectPr w:rsidR="00435D58" w:rsidRPr="00CF0A55" w:rsidSect="003163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David">
    <w:panose1 w:val="020003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55"/>
    <w:rsid w:val="00011276"/>
    <w:rsid w:val="00014323"/>
    <w:rsid w:val="000227E1"/>
    <w:rsid w:val="000264D1"/>
    <w:rsid w:val="000333EE"/>
    <w:rsid w:val="00033D93"/>
    <w:rsid w:val="000401C3"/>
    <w:rsid w:val="00043ACF"/>
    <w:rsid w:val="000444EA"/>
    <w:rsid w:val="00052234"/>
    <w:rsid w:val="000524C2"/>
    <w:rsid w:val="000640A0"/>
    <w:rsid w:val="0007229C"/>
    <w:rsid w:val="00083B76"/>
    <w:rsid w:val="0008423A"/>
    <w:rsid w:val="00084894"/>
    <w:rsid w:val="0009458C"/>
    <w:rsid w:val="00095071"/>
    <w:rsid w:val="000B1224"/>
    <w:rsid w:val="000B7F03"/>
    <w:rsid w:val="000C046A"/>
    <w:rsid w:val="000C05FA"/>
    <w:rsid w:val="000C21C6"/>
    <w:rsid w:val="000C323C"/>
    <w:rsid w:val="000C36DE"/>
    <w:rsid w:val="000C48AE"/>
    <w:rsid w:val="000D44AC"/>
    <w:rsid w:val="000D72AD"/>
    <w:rsid w:val="000E1B7A"/>
    <w:rsid w:val="000E6F8C"/>
    <w:rsid w:val="000F0DD5"/>
    <w:rsid w:val="000F2F1C"/>
    <w:rsid w:val="00104A87"/>
    <w:rsid w:val="00114E70"/>
    <w:rsid w:val="00117876"/>
    <w:rsid w:val="00117BF4"/>
    <w:rsid w:val="00125653"/>
    <w:rsid w:val="0012611B"/>
    <w:rsid w:val="00130C47"/>
    <w:rsid w:val="001361FC"/>
    <w:rsid w:val="00140AC5"/>
    <w:rsid w:val="0014270F"/>
    <w:rsid w:val="00152AE4"/>
    <w:rsid w:val="001605E9"/>
    <w:rsid w:val="0016392E"/>
    <w:rsid w:val="001666AF"/>
    <w:rsid w:val="00167046"/>
    <w:rsid w:val="00175044"/>
    <w:rsid w:val="00176894"/>
    <w:rsid w:val="00177E42"/>
    <w:rsid w:val="001808C5"/>
    <w:rsid w:val="001A279E"/>
    <w:rsid w:val="001B21D0"/>
    <w:rsid w:val="001B42DB"/>
    <w:rsid w:val="001B7705"/>
    <w:rsid w:val="001B7C52"/>
    <w:rsid w:val="001C175F"/>
    <w:rsid w:val="001C1D87"/>
    <w:rsid w:val="001C5D37"/>
    <w:rsid w:val="001C7172"/>
    <w:rsid w:val="001D0275"/>
    <w:rsid w:val="001D33A2"/>
    <w:rsid w:val="001D37F1"/>
    <w:rsid w:val="001E0D7E"/>
    <w:rsid w:val="001E2A05"/>
    <w:rsid w:val="001E55AB"/>
    <w:rsid w:val="001E65B0"/>
    <w:rsid w:val="001E7CD8"/>
    <w:rsid w:val="001F013E"/>
    <w:rsid w:val="001F0936"/>
    <w:rsid w:val="00206B84"/>
    <w:rsid w:val="00210DCE"/>
    <w:rsid w:val="00220968"/>
    <w:rsid w:val="00224625"/>
    <w:rsid w:val="00224E62"/>
    <w:rsid w:val="00233776"/>
    <w:rsid w:val="002410C6"/>
    <w:rsid w:val="00241FA2"/>
    <w:rsid w:val="00241FF2"/>
    <w:rsid w:val="00254630"/>
    <w:rsid w:val="0025781B"/>
    <w:rsid w:val="0026006B"/>
    <w:rsid w:val="002602DA"/>
    <w:rsid w:val="002616FF"/>
    <w:rsid w:val="00263173"/>
    <w:rsid w:val="00263389"/>
    <w:rsid w:val="00264314"/>
    <w:rsid w:val="002675D0"/>
    <w:rsid w:val="0027218B"/>
    <w:rsid w:val="00277300"/>
    <w:rsid w:val="00281920"/>
    <w:rsid w:val="00285000"/>
    <w:rsid w:val="0029222D"/>
    <w:rsid w:val="00293E87"/>
    <w:rsid w:val="002A2115"/>
    <w:rsid w:val="002A6975"/>
    <w:rsid w:val="002B2C98"/>
    <w:rsid w:val="002B6BCD"/>
    <w:rsid w:val="002B6CF7"/>
    <w:rsid w:val="002B7D92"/>
    <w:rsid w:val="002B7FA9"/>
    <w:rsid w:val="002C13CF"/>
    <w:rsid w:val="002C3B1E"/>
    <w:rsid w:val="002D412A"/>
    <w:rsid w:val="002D4A61"/>
    <w:rsid w:val="002E46B1"/>
    <w:rsid w:val="002F57F6"/>
    <w:rsid w:val="0031222C"/>
    <w:rsid w:val="003163E1"/>
    <w:rsid w:val="00316A3B"/>
    <w:rsid w:val="0032106E"/>
    <w:rsid w:val="003225ED"/>
    <w:rsid w:val="00324AE7"/>
    <w:rsid w:val="00325E9B"/>
    <w:rsid w:val="00342814"/>
    <w:rsid w:val="00347CEF"/>
    <w:rsid w:val="0035180B"/>
    <w:rsid w:val="00357424"/>
    <w:rsid w:val="00357B7D"/>
    <w:rsid w:val="003603F7"/>
    <w:rsid w:val="003621DD"/>
    <w:rsid w:val="00371464"/>
    <w:rsid w:val="0037466E"/>
    <w:rsid w:val="00376C43"/>
    <w:rsid w:val="00380A3F"/>
    <w:rsid w:val="00380E99"/>
    <w:rsid w:val="0038464B"/>
    <w:rsid w:val="00386E3D"/>
    <w:rsid w:val="00393CCE"/>
    <w:rsid w:val="00394A51"/>
    <w:rsid w:val="00395F29"/>
    <w:rsid w:val="003A1DC5"/>
    <w:rsid w:val="003A577B"/>
    <w:rsid w:val="003B020A"/>
    <w:rsid w:val="003D0643"/>
    <w:rsid w:val="003D2CE9"/>
    <w:rsid w:val="003D651E"/>
    <w:rsid w:val="003E1F7B"/>
    <w:rsid w:val="003E75BB"/>
    <w:rsid w:val="003F01E9"/>
    <w:rsid w:val="003F787E"/>
    <w:rsid w:val="0040084D"/>
    <w:rsid w:val="0040402B"/>
    <w:rsid w:val="00411B03"/>
    <w:rsid w:val="00413B74"/>
    <w:rsid w:val="00420112"/>
    <w:rsid w:val="00421C98"/>
    <w:rsid w:val="00422742"/>
    <w:rsid w:val="00435B8E"/>
    <w:rsid w:val="00435D58"/>
    <w:rsid w:val="004467FD"/>
    <w:rsid w:val="00455060"/>
    <w:rsid w:val="00456E7D"/>
    <w:rsid w:val="00457F52"/>
    <w:rsid w:val="0046581B"/>
    <w:rsid w:val="004671F9"/>
    <w:rsid w:val="0047160D"/>
    <w:rsid w:val="00471F58"/>
    <w:rsid w:val="00473147"/>
    <w:rsid w:val="00474C66"/>
    <w:rsid w:val="0047557B"/>
    <w:rsid w:val="00477F73"/>
    <w:rsid w:val="00481C39"/>
    <w:rsid w:val="00486A5B"/>
    <w:rsid w:val="00486BDE"/>
    <w:rsid w:val="00494219"/>
    <w:rsid w:val="00494C84"/>
    <w:rsid w:val="004973E9"/>
    <w:rsid w:val="004A1276"/>
    <w:rsid w:val="004A32DC"/>
    <w:rsid w:val="004A3656"/>
    <w:rsid w:val="004A7EF4"/>
    <w:rsid w:val="004B13D5"/>
    <w:rsid w:val="004B2DD7"/>
    <w:rsid w:val="004B34BF"/>
    <w:rsid w:val="004B58DA"/>
    <w:rsid w:val="004B7410"/>
    <w:rsid w:val="004C3B33"/>
    <w:rsid w:val="004C6B81"/>
    <w:rsid w:val="004C6CC4"/>
    <w:rsid w:val="004D03C7"/>
    <w:rsid w:val="004D0D9E"/>
    <w:rsid w:val="004D189D"/>
    <w:rsid w:val="004D7ED4"/>
    <w:rsid w:val="004E0093"/>
    <w:rsid w:val="004E1645"/>
    <w:rsid w:val="004E2B29"/>
    <w:rsid w:val="004E2E91"/>
    <w:rsid w:val="004E3982"/>
    <w:rsid w:val="004E3992"/>
    <w:rsid w:val="004E5ABE"/>
    <w:rsid w:val="004E5BA4"/>
    <w:rsid w:val="004E607A"/>
    <w:rsid w:val="004E6354"/>
    <w:rsid w:val="004F16E6"/>
    <w:rsid w:val="005029FE"/>
    <w:rsid w:val="00504B27"/>
    <w:rsid w:val="005053FD"/>
    <w:rsid w:val="0050676B"/>
    <w:rsid w:val="00507D58"/>
    <w:rsid w:val="005121E6"/>
    <w:rsid w:val="00512972"/>
    <w:rsid w:val="005130BE"/>
    <w:rsid w:val="005149B9"/>
    <w:rsid w:val="00516DDF"/>
    <w:rsid w:val="005170E6"/>
    <w:rsid w:val="00517F95"/>
    <w:rsid w:val="005212B9"/>
    <w:rsid w:val="0052587D"/>
    <w:rsid w:val="00530A19"/>
    <w:rsid w:val="00531690"/>
    <w:rsid w:val="0053233B"/>
    <w:rsid w:val="00541A5D"/>
    <w:rsid w:val="00542D84"/>
    <w:rsid w:val="005440C8"/>
    <w:rsid w:val="00544199"/>
    <w:rsid w:val="005442CD"/>
    <w:rsid w:val="005471AF"/>
    <w:rsid w:val="00554AC4"/>
    <w:rsid w:val="0056295B"/>
    <w:rsid w:val="00564546"/>
    <w:rsid w:val="00565D1C"/>
    <w:rsid w:val="00567F43"/>
    <w:rsid w:val="0057387D"/>
    <w:rsid w:val="00574418"/>
    <w:rsid w:val="005745E7"/>
    <w:rsid w:val="005777F7"/>
    <w:rsid w:val="00580B4D"/>
    <w:rsid w:val="005810DF"/>
    <w:rsid w:val="0058784F"/>
    <w:rsid w:val="00590F00"/>
    <w:rsid w:val="005A52E7"/>
    <w:rsid w:val="005A5D26"/>
    <w:rsid w:val="005A5D7C"/>
    <w:rsid w:val="005A657B"/>
    <w:rsid w:val="005B133D"/>
    <w:rsid w:val="005C0535"/>
    <w:rsid w:val="005C631E"/>
    <w:rsid w:val="005C6A9C"/>
    <w:rsid w:val="005C73FE"/>
    <w:rsid w:val="005D06B5"/>
    <w:rsid w:val="005D6115"/>
    <w:rsid w:val="005E1815"/>
    <w:rsid w:val="005E2A7D"/>
    <w:rsid w:val="005E37FA"/>
    <w:rsid w:val="005E4193"/>
    <w:rsid w:val="005E4526"/>
    <w:rsid w:val="005E6499"/>
    <w:rsid w:val="005E6C97"/>
    <w:rsid w:val="005F0B36"/>
    <w:rsid w:val="00603842"/>
    <w:rsid w:val="00606BAE"/>
    <w:rsid w:val="0062380C"/>
    <w:rsid w:val="006245AF"/>
    <w:rsid w:val="00627DAE"/>
    <w:rsid w:val="006405A7"/>
    <w:rsid w:val="00651B9B"/>
    <w:rsid w:val="00655CF7"/>
    <w:rsid w:val="00656514"/>
    <w:rsid w:val="00656DBE"/>
    <w:rsid w:val="0066406B"/>
    <w:rsid w:val="00681587"/>
    <w:rsid w:val="006903B7"/>
    <w:rsid w:val="00692C3B"/>
    <w:rsid w:val="0069477B"/>
    <w:rsid w:val="00694EC0"/>
    <w:rsid w:val="0069505B"/>
    <w:rsid w:val="006959F3"/>
    <w:rsid w:val="006A007B"/>
    <w:rsid w:val="006A0A2C"/>
    <w:rsid w:val="006A1126"/>
    <w:rsid w:val="006A1934"/>
    <w:rsid w:val="006A4784"/>
    <w:rsid w:val="006A4E5A"/>
    <w:rsid w:val="006B3899"/>
    <w:rsid w:val="006C10A4"/>
    <w:rsid w:val="006C216E"/>
    <w:rsid w:val="006C243F"/>
    <w:rsid w:val="006C6244"/>
    <w:rsid w:val="006E13F6"/>
    <w:rsid w:val="006E4A82"/>
    <w:rsid w:val="006E62A7"/>
    <w:rsid w:val="006F4062"/>
    <w:rsid w:val="006F785D"/>
    <w:rsid w:val="00701A41"/>
    <w:rsid w:val="00701FED"/>
    <w:rsid w:val="00704E44"/>
    <w:rsid w:val="00704F52"/>
    <w:rsid w:val="00707BF1"/>
    <w:rsid w:val="00707E0F"/>
    <w:rsid w:val="00724FFA"/>
    <w:rsid w:val="0073113A"/>
    <w:rsid w:val="00736738"/>
    <w:rsid w:val="0073720D"/>
    <w:rsid w:val="00740EA9"/>
    <w:rsid w:val="00743152"/>
    <w:rsid w:val="007464B1"/>
    <w:rsid w:val="0074777A"/>
    <w:rsid w:val="007531D0"/>
    <w:rsid w:val="00753999"/>
    <w:rsid w:val="00755535"/>
    <w:rsid w:val="00757073"/>
    <w:rsid w:val="00764278"/>
    <w:rsid w:val="00767AE6"/>
    <w:rsid w:val="00770209"/>
    <w:rsid w:val="00772E4F"/>
    <w:rsid w:val="0077559C"/>
    <w:rsid w:val="007776A7"/>
    <w:rsid w:val="0077772F"/>
    <w:rsid w:val="00781595"/>
    <w:rsid w:val="0078299E"/>
    <w:rsid w:val="00786873"/>
    <w:rsid w:val="007874DF"/>
    <w:rsid w:val="00787DA9"/>
    <w:rsid w:val="007900DA"/>
    <w:rsid w:val="00795945"/>
    <w:rsid w:val="00795B56"/>
    <w:rsid w:val="007A3487"/>
    <w:rsid w:val="007A73B4"/>
    <w:rsid w:val="007B022F"/>
    <w:rsid w:val="007B505D"/>
    <w:rsid w:val="007C0305"/>
    <w:rsid w:val="007C1082"/>
    <w:rsid w:val="007C65FD"/>
    <w:rsid w:val="007D1BBC"/>
    <w:rsid w:val="007D59F9"/>
    <w:rsid w:val="007D73DF"/>
    <w:rsid w:val="007D742C"/>
    <w:rsid w:val="007E10E4"/>
    <w:rsid w:val="007E2342"/>
    <w:rsid w:val="007E37C9"/>
    <w:rsid w:val="007E4A08"/>
    <w:rsid w:val="007F121D"/>
    <w:rsid w:val="007F12AF"/>
    <w:rsid w:val="007F7D2D"/>
    <w:rsid w:val="00800886"/>
    <w:rsid w:val="00800C51"/>
    <w:rsid w:val="00811124"/>
    <w:rsid w:val="0081202F"/>
    <w:rsid w:val="008224C1"/>
    <w:rsid w:val="008228F9"/>
    <w:rsid w:val="008265D9"/>
    <w:rsid w:val="00826EAE"/>
    <w:rsid w:val="00831292"/>
    <w:rsid w:val="0083451A"/>
    <w:rsid w:val="008373E0"/>
    <w:rsid w:val="00840B05"/>
    <w:rsid w:val="00841856"/>
    <w:rsid w:val="008420FE"/>
    <w:rsid w:val="00846DC4"/>
    <w:rsid w:val="00850866"/>
    <w:rsid w:val="008535BC"/>
    <w:rsid w:val="008535FA"/>
    <w:rsid w:val="00855AA6"/>
    <w:rsid w:val="00864814"/>
    <w:rsid w:val="008750BA"/>
    <w:rsid w:val="00877305"/>
    <w:rsid w:val="00884D7D"/>
    <w:rsid w:val="00885A81"/>
    <w:rsid w:val="0088647A"/>
    <w:rsid w:val="00890515"/>
    <w:rsid w:val="008966CA"/>
    <w:rsid w:val="00896CFD"/>
    <w:rsid w:val="00897D3D"/>
    <w:rsid w:val="008A23F9"/>
    <w:rsid w:val="008A26EC"/>
    <w:rsid w:val="008A33E9"/>
    <w:rsid w:val="008A5208"/>
    <w:rsid w:val="008A58E8"/>
    <w:rsid w:val="008A6B09"/>
    <w:rsid w:val="008B336D"/>
    <w:rsid w:val="008C4E9E"/>
    <w:rsid w:val="008C53ED"/>
    <w:rsid w:val="008D0A34"/>
    <w:rsid w:val="008D1D18"/>
    <w:rsid w:val="008D6927"/>
    <w:rsid w:val="008D6CEB"/>
    <w:rsid w:val="008E22D5"/>
    <w:rsid w:val="008E39E4"/>
    <w:rsid w:val="008E45A8"/>
    <w:rsid w:val="008E759D"/>
    <w:rsid w:val="008F4D71"/>
    <w:rsid w:val="008F4DBB"/>
    <w:rsid w:val="008F7C09"/>
    <w:rsid w:val="00906E5C"/>
    <w:rsid w:val="00912ECF"/>
    <w:rsid w:val="00921793"/>
    <w:rsid w:val="00923956"/>
    <w:rsid w:val="00925CBB"/>
    <w:rsid w:val="009260C2"/>
    <w:rsid w:val="00932819"/>
    <w:rsid w:val="009367BA"/>
    <w:rsid w:val="00941BFF"/>
    <w:rsid w:val="0095220A"/>
    <w:rsid w:val="00952E27"/>
    <w:rsid w:val="00954EA4"/>
    <w:rsid w:val="00964BF0"/>
    <w:rsid w:val="00964EAB"/>
    <w:rsid w:val="00965315"/>
    <w:rsid w:val="0096652C"/>
    <w:rsid w:val="0097129A"/>
    <w:rsid w:val="009712C0"/>
    <w:rsid w:val="00973EEE"/>
    <w:rsid w:val="00980973"/>
    <w:rsid w:val="00987688"/>
    <w:rsid w:val="0099161D"/>
    <w:rsid w:val="009A0B3C"/>
    <w:rsid w:val="009B13B2"/>
    <w:rsid w:val="009B2B11"/>
    <w:rsid w:val="009B70AE"/>
    <w:rsid w:val="009B7E39"/>
    <w:rsid w:val="009C2B63"/>
    <w:rsid w:val="009C6935"/>
    <w:rsid w:val="009D00DE"/>
    <w:rsid w:val="009D2348"/>
    <w:rsid w:val="009D6DF5"/>
    <w:rsid w:val="009E0326"/>
    <w:rsid w:val="009E35DC"/>
    <w:rsid w:val="009E7B1D"/>
    <w:rsid w:val="009F1E90"/>
    <w:rsid w:val="009F66FB"/>
    <w:rsid w:val="00A02674"/>
    <w:rsid w:val="00A07023"/>
    <w:rsid w:val="00A07ECE"/>
    <w:rsid w:val="00A1530F"/>
    <w:rsid w:val="00A211E0"/>
    <w:rsid w:val="00A2190C"/>
    <w:rsid w:val="00A21E37"/>
    <w:rsid w:val="00A25FF2"/>
    <w:rsid w:val="00A3138F"/>
    <w:rsid w:val="00A34CB7"/>
    <w:rsid w:val="00A37BCF"/>
    <w:rsid w:val="00A44AFF"/>
    <w:rsid w:val="00A451C7"/>
    <w:rsid w:val="00A6088C"/>
    <w:rsid w:val="00A62A9B"/>
    <w:rsid w:val="00A706CB"/>
    <w:rsid w:val="00A74384"/>
    <w:rsid w:val="00A820D3"/>
    <w:rsid w:val="00A911AE"/>
    <w:rsid w:val="00A93C1D"/>
    <w:rsid w:val="00A9479A"/>
    <w:rsid w:val="00A95990"/>
    <w:rsid w:val="00A97680"/>
    <w:rsid w:val="00AB5B48"/>
    <w:rsid w:val="00AB6431"/>
    <w:rsid w:val="00AC29F3"/>
    <w:rsid w:val="00AD313C"/>
    <w:rsid w:val="00AD5F94"/>
    <w:rsid w:val="00AD6DC3"/>
    <w:rsid w:val="00AD76B1"/>
    <w:rsid w:val="00AE04B0"/>
    <w:rsid w:val="00AE2590"/>
    <w:rsid w:val="00AE2709"/>
    <w:rsid w:val="00AE7CE5"/>
    <w:rsid w:val="00AF4882"/>
    <w:rsid w:val="00AF7D36"/>
    <w:rsid w:val="00B0490E"/>
    <w:rsid w:val="00B04CC2"/>
    <w:rsid w:val="00B11A21"/>
    <w:rsid w:val="00B154D6"/>
    <w:rsid w:val="00B169D0"/>
    <w:rsid w:val="00B214B0"/>
    <w:rsid w:val="00B21B76"/>
    <w:rsid w:val="00B22CB2"/>
    <w:rsid w:val="00B30E19"/>
    <w:rsid w:val="00B33FDE"/>
    <w:rsid w:val="00B45ECB"/>
    <w:rsid w:val="00B50513"/>
    <w:rsid w:val="00B50D92"/>
    <w:rsid w:val="00B51E25"/>
    <w:rsid w:val="00B60B9A"/>
    <w:rsid w:val="00B61431"/>
    <w:rsid w:val="00B619CC"/>
    <w:rsid w:val="00B634E8"/>
    <w:rsid w:val="00B63BBE"/>
    <w:rsid w:val="00B67F34"/>
    <w:rsid w:val="00B7590B"/>
    <w:rsid w:val="00B802A4"/>
    <w:rsid w:val="00B904A0"/>
    <w:rsid w:val="00B90BF1"/>
    <w:rsid w:val="00B9567B"/>
    <w:rsid w:val="00B97391"/>
    <w:rsid w:val="00BA0B86"/>
    <w:rsid w:val="00BA5D30"/>
    <w:rsid w:val="00BB09F2"/>
    <w:rsid w:val="00BB1244"/>
    <w:rsid w:val="00BB1F3E"/>
    <w:rsid w:val="00BB2C36"/>
    <w:rsid w:val="00BB5D58"/>
    <w:rsid w:val="00BC5307"/>
    <w:rsid w:val="00BD37B3"/>
    <w:rsid w:val="00BD5D6D"/>
    <w:rsid w:val="00BE3932"/>
    <w:rsid w:val="00BF1D85"/>
    <w:rsid w:val="00BF7D38"/>
    <w:rsid w:val="00C00A7B"/>
    <w:rsid w:val="00C073EC"/>
    <w:rsid w:val="00C13EED"/>
    <w:rsid w:val="00C1498C"/>
    <w:rsid w:val="00C1535F"/>
    <w:rsid w:val="00C20511"/>
    <w:rsid w:val="00C22889"/>
    <w:rsid w:val="00C2513B"/>
    <w:rsid w:val="00C3568C"/>
    <w:rsid w:val="00C427F5"/>
    <w:rsid w:val="00C45830"/>
    <w:rsid w:val="00C6184E"/>
    <w:rsid w:val="00C62F3D"/>
    <w:rsid w:val="00C6302A"/>
    <w:rsid w:val="00C66FB9"/>
    <w:rsid w:val="00C75DE6"/>
    <w:rsid w:val="00C8082B"/>
    <w:rsid w:val="00C82E6E"/>
    <w:rsid w:val="00C85D8C"/>
    <w:rsid w:val="00C873D6"/>
    <w:rsid w:val="00C90FA8"/>
    <w:rsid w:val="00C968AA"/>
    <w:rsid w:val="00CA141F"/>
    <w:rsid w:val="00CB07E9"/>
    <w:rsid w:val="00CB2DD1"/>
    <w:rsid w:val="00CB503E"/>
    <w:rsid w:val="00CB5D33"/>
    <w:rsid w:val="00CB71C9"/>
    <w:rsid w:val="00CC0511"/>
    <w:rsid w:val="00CD1F1E"/>
    <w:rsid w:val="00CD232C"/>
    <w:rsid w:val="00CD6B61"/>
    <w:rsid w:val="00CE7336"/>
    <w:rsid w:val="00CF0A55"/>
    <w:rsid w:val="00CF1A63"/>
    <w:rsid w:val="00CF1CD0"/>
    <w:rsid w:val="00CF5825"/>
    <w:rsid w:val="00CF5EBD"/>
    <w:rsid w:val="00CF7E7B"/>
    <w:rsid w:val="00D0156D"/>
    <w:rsid w:val="00D01DBD"/>
    <w:rsid w:val="00D06028"/>
    <w:rsid w:val="00D06581"/>
    <w:rsid w:val="00D12223"/>
    <w:rsid w:val="00D12576"/>
    <w:rsid w:val="00D15DDB"/>
    <w:rsid w:val="00D20090"/>
    <w:rsid w:val="00D21276"/>
    <w:rsid w:val="00D21941"/>
    <w:rsid w:val="00D2303A"/>
    <w:rsid w:val="00D26684"/>
    <w:rsid w:val="00D27240"/>
    <w:rsid w:val="00D41D5C"/>
    <w:rsid w:val="00D42687"/>
    <w:rsid w:val="00D42F9A"/>
    <w:rsid w:val="00D44A79"/>
    <w:rsid w:val="00D46FD4"/>
    <w:rsid w:val="00D5071F"/>
    <w:rsid w:val="00D54EAE"/>
    <w:rsid w:val="00D62578"/>
    <w:rsid w:val="00D6340A"/>
    <w:rsid w:val="00D63F3B"/>
    <w:rsid w:val="00D7051C"/>
    <w:rsid w:val="00D734FE"/>
    <w:rsid w:val="00D86BCD"/>
    <w:rsid w:val="00D86C88"/>
    <w:rsid w:val="00D915E2"/>
    <w:rsid w:val="00D926CC"/>
    <w:rsid w:val="00D94588"/>
    <w:rsid w:val="00DA2A11"/>
    <w:rsid w:val="00DA4511"/>
    <w:rsid w:val="00DB43FF"/>
    <w:rsid w:val="00DB7063"/>
    <w:rsid w:val="00DB7186"/>
    <w:rsid w:val="00DC1F11"/>
    <w:rsid w:val="00DC30E9"/>
    <w:rsid w:val="00DC59F4"/>
    <w:rsid w:val="00DD1194"/>
    <w:rsid w:val="00DD2C73"/>
    <w:rsid w:val="00DD2EC5"/>
    <w:rsid w:val="00DD4F53"/>
    <w:rsid w:val="00DD6B09"/>
    <w:rsid w:val="00DE0170"/>
    <w:rsid w:val="00DE1E9E"/>
    <w:rsid w:val="00DE24C5"/>
    <w:rsid w:val="00DE352F"/>
    <w:rsid w:val="00DE3654"/>
    <w:rsid w:val="00DE68B3"/>
    <w:rsid w:val="00DF0452"/>
    <w:rsid w:val="00DF5A8F"/>
    <w:rsid w:val="00DF6813"/>
    <w:rsid w:val="00DF7C71"/>
    <w:rsid w:val="00E0031E"/>
    <w:rsid w:val="00E00B36"/>
    <w:rsid w:val="00E02435"/>
    <w:rsid w:val="00E06008"/>
    <w:rsid w:val="00E10066"/>
    <w:rsid w:val="00E121D6"/>
    <w:rsid w:val="00E12749"/>
    <w:rsid w:val="00E14294"/>
    <w:rsid w:val="00E211BA"/>
    <w:rsid w:val="00E2671F"/>
    <w:rsid w:val="00E268BE"/>
    <w:rsid w:val="00E27877"/>
    <w:rsid w:val="00E27EED"/>
    <w:rsid w:val="00E35289"/>
    <w:rsid w:val="00E35947"/>
    <w:rsid w:val="00E36F96"/>
    <w:rsid w:val="00E376F8"/>
    <w:rsid w:val="00E4525C"/>
    <w:rsid w:val="00E45C38"/>
    <w:rsid w:val="00E468DB"/>
    <w:rsid w:val="00E505D1"/>
    <w:rsid w:val="00E54EC4"/>
    <w:rsid w:val="00E557F7"/>
    <w:rsid w:val="00E56E20"/>
    <w:rsid w:val="00E61133"/>
    <w:rsid w:val="00E611DB"/>
    <w:rsid w:val="00E62882"/>
    <w:rsid w:val="00E630EF"/>
    <w:rsid w:val="00E63280"/>
    <w:rsid w:val="00E73299"/>
    <w:rsid w:val="00E74830"/>
    <w:rsid w:val="00E7635A"/>
    <w:rsid w:val="00E77EF4"/>
    <w:rsid w:val="00E80F72"/>
    <w:rsid w:val="00E81E03"/>
    <w:rsid w:val="00E82CF5"/>
    <w:rsid w:val="00E86108"/>
    <w:rsid w:val="00E8674A"/>
    <w:rsid w:val="00E97FF1"/>
    <w:rsid w:val="00EA1E8A"/>
    <w:rsid w:val="00EA1F48"/>
    <w:rsid w:val="00EA25C2"/>
    <w:rsid w:val="00EA366D"/>
    <w:rsid w:val="00EA5043"/>
    <w:rsid w:val="00EA54C3"/>
    <w:rsid w:val="00EA6D6F"/>
    <w:rsid w:val="00EB5FDE"/>
    <w:rsid w:val="00EC187D"/>
    <w:rsid w:val="00EC345D"/>
    <w:rsid w:val="00EC5428"/>
    <w:rsid w:val="00ED097D"/>
    <w:rsid w:val="00ED0B12"/>
    <w:rsid w:val="00EE5501"/>
    <w:rsid w:val="00EE5EAC"/>
    <w:rsid w:val="00EE67A0"/>
    <w:rsid w:val="00EF31EA"/>
    <w:rsid w:val="00EF76B5"/>
    <w:rsid w:val="00F02D71"/>
    <w:rsid w:val="00F03059"/>
    <w:rsid w:val="00F15E3B"/>
    <w:rsid w:val="00F15FD8"/>
    <w:rsid w:val="00F171D9"/>
    <w:rsid w:val="00F17F4C"/>
    <w:rsid w:val="00F22057"/>
    <w:rsid w:val="00F23B99"/>
    <w:rsid w:val="00F32692"/>
    <w:rsid w:val="00F32A90"/>
    <w:rsid w:val="00F32F06"/>
    <w:rsid w:val="00F374E7"/>
    <w:rsid w:val="00F375A8"/>
    <w:rsid w:val="00F41890"/>
    <w:rsid w:val="00F43AA1"/>
    <w:rsid w:val="00F50522"/>
    <w:rsid w:val="00F52F4B"/>
    <w:rsid w:val="00F555FE"/>
    <w:rsid w:val="00F558B3"/>
    <w:rsid w:val="00F57190"/>
    <w:rsid w:val="00F609B6"/>
    <w:rsid w:val="00F60F75"/>
    <w:rsid w:val="00F6124A"/>
    <w:rsid w:val="00F674F9"/>
    <w:rsid w:val="00F7196D"/>
    <w:rsid w:val="00F720FD"/>
    <w:rsid w:val="00F81DF0"/>
    <w:rsid w:val="00F855B9"/>
    <w:rsid w:val="00F85CC3"/>
    <w:rsid w:val="00F87593"/>
    <w:rsid w:val="00F92794"/>
    <w:rsid w:val="00F945D2"/>
    <w:rsid w:val="00F95725"/>
    <w:rsid w:val="00FA26A7"/>
    <w:rsid w:val="00FA564F"/>
    <w:rsid w:val="00FB3445"/>
    <w:rsid w:val="00FB4D25"/>
    <w:rsid w:val="00FC0F16"/>
    <w:rsid w:val="00FC14DF"/>
    <w:rsid w:val="00FC43F5"/>
    <w:rsid w:val="00FD124D"/>
    <w:rsid w:val="00FD233E"/>
    <w:rsid w:val="00FE0A01"/>
    <w:rsid w:val="00FE2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44B96-925B-47AB-A66B-E0B0AEC8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55"/>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F0A55"/>
    <w:rPr>
      <w:color w:val="0000FF"/>
      <w:u w:val="single"/>
    </w:rPr>
  </w:style>
  <w:style w:type="paragraph" w:styleId="a3">
    <w:name w:val="Balloon Text"/>
    <w:basedOn w:val="a"/>
    <w:link w:val="a4"/>
    <w:uiPriority w:val="99"/>
    <w:semiHidden/>
    <w:unhideWhenUsed/>
    <w:rsid w:val="00CF0A55"/>
    <w:rPr>
      <w:rFonts w:ascii="Tahoma" w:hAnsi="Tahoma" w:cs="Tahoma"/>
      <w:sz w:val="16"/>
      <w:szCs w:val="16"/>
    </w:rPr>
  </w:style>
  <w:style w:type="character" w:customStyle="1" w:styleId="a4">
    <w:name w:val="טקסט בלונים תו"/>
    <w:basedOn w:val="a0"/>
    <w:link w:val="a3"/>
    <w:uiPriority w:val="99"/>
    <w:semiHidden/>
    <w:rsid w:val="00CF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alert.net/en/calls.aspx?idc=2767" TargetMode="External"/><Relationship Id="rId13" Type="http://schemas.openxmlformats.org/officeDocument/2006/relationships/hyperlink" Target="http://www.wto.org/english/res_e/booksp_e/world_trade_report13_e.pdf" TargetMode="External"/><Relationship Id="rId3" Type="http://schemas.openxmlformats.org/officeDocument/2006/relationships/webSettings" Target="webSettings.xml"/><Relationship Id="rId7" Type="http://schemas.openxmlformats.org/officeDocument/2006/relationships/hyperlink" Target="http://europa.eu/rapid/press-release_IP-13-750_en.htm" TargetMode="External"/><Relationship Id="rId12" Type="http://schemas.openxmlformats.org/officeDocument/2006/relationships/hyperlink" Target="http://epp.eurostat.ec.europa.eu/cache/ITY_PUBLIC/2-30072013-BP/EN/2-30072013-BP-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JOHtml.do?uri=OJ:L:2012:354:SOM:EN:HTML" TargetMode="External"/><Relationship Id="rId11" Type="http://schemas.openxmlformats.org/officeDocument/2006/relationships/hyperlink" Target="http://ec.europa.eu/environment/water/water-dangersub/pri_substances.htm" TargetMode="External"/><Relationship Id="rId5" Type="http://schemas.openxmlformats.org/officeDocument/2006/relationships/image" Target="cid:image001.jpg@01CE82DB.C3D4E080" TargetMode="External"/><Relationship Id="rId15" Type="http://schemas.openxmlformats.org/officeDocument/2006/relationships/theme" Target="theme/theme1.xml"/><Relationship Id="rId10" Type="http://schemas.openxmlformats.org/officeDocument/2006/relationships/hyperlink" Target="http://ec.europa.eu/environment/water/water-framework/priority_substances.htm" TargetMode="External"/><Relationship Id="rId4" Type="http://schemas.openxmlformats.org/officeDocument/2006/relationships/image" Target="media/image1.jpeg"/><Relationship Id="rId9" Type="http://schemas.openxmlformats.org/officeDocument/2006/relationships/hyperlink" Target="http://ec.europa.eu/internal_market/payments/docs/framework/130724_proposal-revised-psd2_en.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4895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tamarba</dc:creator>
  <cp:lastModifiedBy>Braksmayer Sinaya</cp:lastModifiedBy>
  <cp:revision>2</cp:revision>
  <dcterms:created xsi:type="dcterms:W3CDTF">2015-06-04T05:09:00Z</dcterms:created>
  <dcterms:modified xsi:type="dcterms:W3CDTF">2015-06-04T05:09:00Z</dcterms:modified>
</cp:coreProperties>
</file>